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34B" w:rsidRPr="0063734B" w:rsidRDefault="0063734B" w:rsidP="0063734B">
      <w:pPr>
        <w:pStyle w:val="Heading3"/>
        <w:jc w:val="center"/>
        <w:rPr>
          <w:rFonts w:ascii="Times New Roman" w:hAnsi="Times New Roman" w:cs="Times New Roman"/>
          <w:color w:val="auto"/>
        </w:rPr>
      </w:pPr>
      <w:r w:rsidRPr="0063734B">
        <w:rPr>
          <w:rStyle w:val="Strong"/>
          <w:rFonts w:ascii="Times New Roman" w:hAnsi="Times New Roman" w:cs="Times New Roman"/>
          <w:bCs w:val="0"/>
          <w:color w:val="auto"/>
        </w:rPr>
        <w:t>Thermodynamic Stability and Ensemble Behavior of RNA Structure</w:t>
      </w:r>
    </w:p>
    <w:p w:rsidR="0063734B" w:rsidRPr="0063734B" w:rsidRDefault="0063734B" w:rsidP="0063734B">
      <w:pPr>
        <w:pStyle w:val="NormalWeb"/>
        <w:jc w:val="both"/>
      </w:pPr>
      <w:r w:rsidRPr="0063734B">
        <w:t>The minimum free energy (MFE) of −847.20 kcal/</w:t>
      </w:r>
      <w:proofErr w:type="spellStart"/>
      <w:r w:rsidRPr="0063734B">
        <w:t>mol</w:t>
      </w:r>
      <w:proofErr w:type="spellEnd"/>
      <w:r w:rsidRPr="0063734B">
        <w:t xml:space="preserve"> indicates that the predicted RNA secondary structure is </w:t>
      </w:r>
      <w:r w:rsidRPr="0063734B">
        <w:rPr>
          <w:rStyle w:val="Strong"/>
          <w:b w:val="0"/>
        </w:rPr>
        <w:t>thermodynamically highly stable</w:t>
      </w:r>
      <w:r w:rsidRPr="0063734B">
        <w:t>, reflecting extensive base pairing and strong intramolecular interactions. The thermodynamic ensemble free energy (−876.35 kcal/</w:t>
      </w:r>
      <w:proofErr w:type="spellStart"/>
      <w:r w:rsidRPr="0063734B">
        <w:t>mol</w:t>
      </w:r>
      <w:proofErr w:type="spellEnd"/>
      <w:r w:rsidRPr="0063734B">
        <w:t xml:space="preserve">) is even lower than the MFE, suggesting that </w:t>
      </w:r>
      <w:r w:rsidRPr="0063734B">
        <w:rPr>
          <w:rStyle w:val="Strong"/>
          <w:b w:val="0"/>
        </w:rPr>
        <w:t>overall RNA stability is not dominated by a single structure</w:t>
      </w:r>
      <w:r w:rsidRPr="0063734B">
        <w:t>, but rather arises from the collective contribution of multiple energetically favorable conformations within the ensemble.</w:t>
      </w:r>
      <w:bookmarkStart w:id="0" w:name="_GoBack"/>
      <w:bookmarkEnd w:id="0"/>
    </w:p>
    <w:p w:rsidR="0063734B" w:rsidRPr="0063734B" w:rsidRDefault="0063734B" w:rsidP="0063734B">
      <w:pPr>
        <w:pStyle w:val="NormalWeb"/>
        <w:jc w:val="both"/>
      </w:pPr>
      <w:r w:rsidRPr="0063734B">
        <w:t xml:space="preserve">The MFE structure shows a frequency of 0.00% in the ensemble, indicating that although it is thermodynamically optimal, it is </w:t>
      </w:r>
      <w:r w:rsidRPr="0063734B">
        <w:rPr>
          <w:rStyle w:val="Strong"/>
          <w:b w:val="0"/>
        </w:rPr>
        <w:t>not the most populated conformation under physiological conditions</w:t>
      </w:r>
      <w:r w:rsidRPr="0063734B">
        <w:t xml:space="preserve">. Instead, the RNA exists as a </w:t>
      </w:r>
      <w:r w:rsidRPr="0063734B">
        <w:rPr>
          <w:rStyle w:val="Strong"/>
          <w:b w:val="0"/>
        </w:rPr>
        <w:t>dynamic ensemble of alternative structures</w:t>
      </w:r>
      <w:r w:rsidRPr="0063734B">
        <w:t xml:space="preserve">, which contributes to its </w:t>
      </w:r>
      <w:r w:rsidRPr="0063734B">
        <w:rPr>
          <w:rStyle w:val="Strong"/>
          <w:b w:val="0"/>
        </w:rPr>
        <w:t>functional and thermodynamic robustness</w:t>
      </w:r>
      <w:r w:rsidRPr="0063734B">
        <w:t xml:space="preserve">. The high ensemble diversity value (390.52) further supports this observation, demonstrating substantial conformational heterogeneity and structural flexibility. Together, these results indicate that the RNA is </w:t>
      </w:r>
      <w:r w:rsidRPr="0063734B">
        <w:rPr>
          <w:rStyle w:val="Strong"/>
          <w:b w:val="0"/>
        </w:rPr>
        <w:t>globally stable at the thermodynamic level</w:t>
      </w:r>
      <w:r w:rsidRPr="0063734B">
        <w:t xml:space="preserve">, while remaining </w:t>
      </w:r>
      <w:r w:rsidRPr="0063734B">
        <w:rPr>
          <w:rStyle w:val="Strong"/>
          <w:b w:val="0"/>
        </w:rPr>
        <w:t>structurally dynamic</w:t>
      </w:r>
      <w:r w:rsidRPr="0063734B">
        <w:t>, a property often associated with regulatory or functionally adaptable RNAs.</w:t>
      </w:r>
    </w:p>
    <w:p w:rsidR="00676568" w:rsidRPr="0063734B" w:rsidRDefault="00676568" w:rsidP="0063734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76568" w:rsidRPr="00637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C517A"/>
    <w:multiLevelType w:val="multilevel"/>
    <w:tmpl w:val="EC8A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34B"/>
    <w:rsid w:val="0063734B"/>
    <w:rsid w:val="0067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B63B"/>
  <w15:chartTrackingRefBased/>
  <w15:docId w15:val="{3F0684B3-FD75-4024-8543-336987DD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7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3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734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373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7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5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2025-12-26T05:27:00Z</dcterms:created>
  <dcterms:modified xsi:type="dcterms:W3CDTF">2025-12-26T05:31:00Z</dcterms:modified>
</cp:coreProperties>
</file>