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568" w:rsidRPr="00FB4D5D" w:rsidRDefault="00FB4D5D" w:rsidP="00FB4D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4D5D">
        <w:rPr>
          <w:rFonts w:ascii="Times New Roman" w:hAnsi="Times New Roman" w:cs="Times New Roman"/>
          <w:b/>
          <w:bCs/>
          <w:sz w:val="24"/>
          <w:szCs w:val="24"/>
        </w:rPr>
        <w:t>Protein Analysis (Structure &amp; Properties)</w:t>
      </w:r>
    </w:p>
    <w:p w:rsidR="00FB4D5D" w:rsidRPr="00FE04B3" w:rsidRDefault="00FB4D5D" w:rsidP="00FB4D5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04B3">
        <w:rPr>
          <w:rFonts w:ascii="Times New Roman" w:hAnsi="Times New Roman" w:cs="Times New Roman"/>
          <w:b/>
          <w:sz w:val="24"/>
          <w:szCs w:val="24"/>
          <w:u w:val="single"/>
        </w:rPr>
        <w:t xml:space="preserve">Protein properties: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0"/>
        <w:gridCol w:w="3240"/>
      </w:tblGrid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Number of amino acids</w:t>
            </w:r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682</w:t>
            </w:r>
          </w:p>
        </w:tc>
        <w:bookmarkStart w:id="0" w:name="_GoBack"/>
        <w:bookmarkEnd w:id="0"/>
      </w:tr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Theoretical </w:t>
            </w:r>
            <w:proofErr w:type="spellStart"/>
            <w:r w:rsidRPr="00FB4D5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pI</w:t>
            </w:r>
            <w:proofErr w:type="spellEnd"/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9.29</w:t>
            </w:r>
          </w:p>
        </w:tc>
      </w:tr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Molecular weight</w:t>
            </w:r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74609.30</w:t>
            </w:r>
          </w:p>
        </w:tc>
      </w:tr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pStyle w:val="HTMLPreformatted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Instability index</w:t>
            </w:r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73.89</w:t>
            </w:r>
          </w:p>
        </w:tc>
      </w:tr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Aliphatic index</w:t>
            </w:r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69.79</w:t>
            </w:r>
          </w:p>
        </w:tc>
      </w:tr>
      <w:tr w:rsidR="00FB4D5D" w:rsidRPr="00FB4D5D" w:rsidTr="00FB4D5D">
        <w:trPr>
          <w:jc w:val="center"/>
        </w:trPr>
        <w:tc>
          <w:tcPr>
            <w:tcW w:w="378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Grand av</w:t>
            </w:r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erage of </w:t>
            </w:r>
            <w:proofErr w:type="spellStart"/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hydropathicity</w:t>
            </w:r>
            <w:proofErr w:type="spellEnd"/>
            <w:r w:rsidRPr="00FB4D5D">
              <w:rPr>
                <w:rStyle w:val="Strong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(GRAVY)</w:t>
            </w:r>
          </w:p>
        </w:tc>
        <w:tc>
          <w:tcPr>
            <w:tcW w:w="3240" w:type="dxa"/>
          </w:tcPr>
          <w:p w:rsidR="00FB4D5D" w:rsidRPr="00FB4D5D" w:rsidRDefault="00FB4D5D" w:rsidP="00FB4D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D5D">
              <w:rPr>
                <w:rFonts w:ascii="Times New Roman" w:hAnsi="Times New Roman" w:cs="Times New Roman"/>
                <w:sz w:val="24"/>
                <w:szCs w:val="24"/>
              </w:rPr>
              <w:t>0.293</w:t>
            </w:r>
          </w:p>
        </w:tc>
      </w:tr>
    </w:tbl>
    <w:p w:rsidR="0068689E" w:rsidRDefault="0068689E" w:rsidP="0068689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Protparam</w:t>
      </w:r>
      <w:proofErr w:type="spellEnd"/>
    </w:p>
    <w:p w:rsidR="0068689E" w:rsidRPr="00FE04B3" w:rsidRDefault="00FE04B3" w:rsidP="0068689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04B3">
        <w:rPr>
          <w:rFonts w:ascii="Times New Roman" w:hAnsi="Times New Roman" w:cs="Times New Roman"/>
          <w:b/>
          <w:sz w:val="24"/>
          <w:szCs w:val="24"/>
          <w:u w:val="single"/>
        </w:rPr>
        <w:t xml:space="preserve">Predicted Functions </w:t>
      </w:r>
    </w:p>
    <w:p w:rsidR="00FE04B3" w:rsidRPr="0068689E" w:rsidRDefault="00FE04B3" w:rsidP="00FE04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analysis</w:t>
      </w:r>
      <w:r w:rsidRPr="00FE04B3">
        <w:rPr>
          <w:rFonts w:ascii="Times New Roman" w:hAnsi="Times New Roman" w:cs="Times New Roman"/>
          <w:sz w:val="24"/>
          <w:szCs w:val="24"/>
        </w:rPr>
        <w:t xml:space="preserve">, the predicted protein is likely involved in the regulation of cell cycle progression, with a prominent role in the G1/S transition. Functional annotations indicate participation in biological processes such as regulation of the mitotic cell cycle, DNA damage response, and negative regulation of cyclin-dependent protein kinase activity. The molecular function analysis suggests that the protein acts as a cyclin-dependent protein serine/threonine kinase regulator, with additional roles in protein kinase binding and enzyme regulator or inhibitor activity, implying that it modulates kinase activity rather than functioning as a kinase itself. Cellular component predictions localize the protein primarily to the nucleus, where it is associated with cyclin-dependent protein kinase holoenzyme complexes, including Cyclin D–CDK4, Cyclin A–CDK2, and PCNA–p21 complexes. Overall, </w:t>
      </w:r>
      <w:proofErr w:type="spellStart"/>
      <w:r w:rsidRPr="00FE04B3">
        <w:rPr>
          <w:rFonts w:ascii="Times New Roman" w:hAnsi="Times New Roman" w:cs="Times New Roman"/>
          <w:sz w:val="24"/>
          <w:szCs w:val="24"/>
        </w:rPr>
        <w:t>InterPro</w:t>
      </w:r>
      <w:proofErr w:type="spellEnd"/>
      <w:r w:rsidRPr="00FE04B3">
        <w:rPr>
          <w:rFonts w:ascii="Times New Roman" w:hAnsi="Times New Roman" w:cs="Times New Roman"/>
          <w:sz w:val="24"/>
          <w:szCs w:val="24"/>
        </w:rPr>
        <w:t>-based functional predictions suggest that this protein plays a critical role in maintaining proper cell cycle control and genomic stability by regulating CDK activity during cell cycle progression.</w:t>
      </w:r>
    </w:p>
    <w:sectPr w:rsidR="00FE04B3" w:rsidRPr="0068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D5D"/>
    <w:rsid w:val="00676568"/>
    <w:rsid w:val="0068689E"/>
    <w:rsid w:val="00FB4D5D"/>
    <w:rsid w:val="00FE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8FD2"/>
  <w15:chartTrackingRefBased/>
  <w15:docId w15:val="{073A7801-C865-4C7B-BA34-A359F6FB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4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B4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4D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4D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2025-12-26T04:46:00Z</dcterms:created>
  <dcterms:modified xsi:type="dcterms:W3CDTF">2025-12-26T05:17:00Z</dcterms:modified>
</cp:coreProperties>
</file>