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3000"/>
      </w:pPr>
      <w:r>
        <w:rPr>
          <w:sz w:val="64"/>
          <w:szCs w:val="64"/>
        </w:rPr>
        <w:t xml:space="preserve">REPORT</w:t>
      </w:r>
    </w:p>
    <w:p>
      <w:r>
        <w:br w:type="page"/>
      </w:r>
    </w:p>
    <w:p>
      <w:pPr>
        <w:tabs>
          <w:tab w:val="right" w:leader="dot" w:pos="9062"/>
        </w:tabs>
      </w:pPr>
      <w:r>
        <w:fldChar w:fldCharType="begin"/>
      </w:r>
      <w:r>
        <w:instrText xml:space="preserve">TOC \o 1-9 \h \z \u</w:instrText>
      </w:r>
      <w:r>
        <w:fldChar w:fldCharType="separate"/>
      </w:r>
      <w:hyperlink w:anchor="_Toc1" w:history="1">
        <w:r>
          <w:t>1. Last month</w:t>
        </w:r>
        <w:r>
          <w:tab/>
        </w:r>
        <w:r>
          <w:fldChar w:fldCharType="begin"/>
        </w:r>
        <w:r>
          <w:instrText xml:space="preserve">PAGEREF _Toc1 \h</w:instrText>
        </w:r>
        <w:r>
          <w:fldChar w:fldCharType="end"/>
        </w:r>
      </w:hyperlink>
    </w:p>
    <w:p>
      <w:pPr>
        <w:tabs>
          <w:tab w:val="right" w:leader="dot" w:pos="9062"/>
        </w:tabs>
      </w:pPr>
      <w:hyperlink w:anchor="_Toc2" w:history="1">
        <w:r>
          <w:t>2. Last year</w:t>
        </w:r>
        <w:r>
          <w:tab/>
        </w:r>
        <w:r>
          <w:fldChar w:fldCharType="begin"/>
        </w:r>
        <w:r>
          <w:instrText xml:space="preserve">PAGEREF _Toc2 \h</w:instrText>
        </w:r>
        <w:r>
          <w:fldChar w:fldCharType="end"/>
        </w:r>
      </w:hyperlink>
    </w:p>
    <w:p>
      <w:pPr>
        <w:tabs>
          <w:tab w:val="right" w:leader="dot" w:pos="9062"/>
        </w:tabs>
        <w:ind w:left="200"/>
      </w:pPr>
      <w:hyperlink w:anchor="_Toc3" w:history="1">
        <w:r>
          <w:t>2.1 Table</w:t>
        </w:r>
        <w:r>
          <w:tab/>
        </w:r>
        <w:r>
          <w:fldChar w:fldCharType="begin"/>
        </w:r>
        <w:r>
          <w:instrText xml:space="preserve">PAGEREF _Toc3 \h</w:instrText>
        </w:r>
        <w:r>
          <w:fldChar w:fldCharType="end"/>
        </w:r>
      </w:hyperlink>
    </w:p>
    <w:p>
      <w:pPr>
        <w:tabs>
          <w:tab w:val="right" w:leader="dot" w:pos="9062"/>
        </w:tabs>
        <w:ind w:left="200"/>
      </w:pPr>
      <w:hyperlink w:anchor="_Toc4" w:history="1">
        <w:r>
          <w:t>2.2 Charts</w:t>
        </w:r>
        <w:r>
          <w:tab/>
        </w:r>
        <w:r>
          <w:fldChar w:fldCharType="begin"/>
        </w:r>
        <w:r>
          <w:instrText xml:space="preserve">PAGEREF _Toc4 \h</w:instrText>
        </w:r>
        <w:r>
          <w:fldChar w:fldCharType="end"/>
        </w:r>
      </w:hyperlink>
    </w:p>
    <w:p>
      <w:r>
        <w:fldChar w:fldCharType="end"/>
      </w:r>
    </w:p>
    <w:p>
      <w:r>
        <w:br w:type="page"/>
      </w:r>
    </w:p>
    <w:p>
      <w:pPr>
        <w:sectPr>
          <w:pgSz w:orient="portrait" w:w="11905.511811023622" w:h="16837.79527559055"/>
          <w:pgMar w:top="1440" w:right="1440" w:bottom="1440" w:left="1440" w:header="720" w:footer="720" w:gutter="0"/>
          <w:cols w:num="1" w:space="720"/>
        </w:sectPr>
      </w:pPr>
    </w:p>
    <w:p>
      <w:pPr>
        <w:pStyle w:val="Heading1"/>
      </w:pPr>
      <w:bookmarkStart w:id="1" w:name="_Toc1"/>
      <w:r>
        <w:t>1. Last month</w:t>
      </w:r>
      <w:bookmarkEnd w:id="1"/>
    </w:p>
    <w:p>
      <w:pPr/>
      <w:r>
        <w:rPr/>
        <w:t xml:space="preserve">Customer id: 1</w:t>
      </w:r>
    </w:p>
    <w:p>
      <w:pPr/>
      <w:r>
        <w:rPr/>
        <w:t xml:space="preserve">Name: Zarko Stanisic</w:t>
      </w:r>
    </w:p>
    <w:p>
      <w:pPr/>
      <w:r>
        <w:rPr/>
        <w:t xml:space="preserve">Address: Naselje Milorada Pavlovica 13, Valjevo</w:t>
      </w:r>
    </w:p>
    <w:p>
      <w:pPr/>
      <w:r>
        <w:rPr/>
        <w:t xml:space="preserve">Consumed 48 kW last month. Expensive 20 kW and cheap 28 kW.</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tbl>
      <w:tblGrid>
        <w:gridCol/>
      </w:tblGrid>
      <w:tblPr>
        <w:tblStyle w:val="Chart"/>
      </w:tblPr>
      <w:tr>
        <w:trPr/>
        <w:tc>
          <w:tcPr/>
          <w:p>
            <w:r>
              <w:drawing>
                <wp:inline>
                  <wp:extent cx="4572000" cy="3657600"/>
                  <wp:docPr id="9" name="Chart9"/>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
        <w:br w:type="page"/>
      </w:r>
    </w:p>
    <w:p>
      <w:pPr>
        <w:pStyle w:val="Heading1"/>
      </w:pPr>
      <w:bookmarkStart w:id="2" w:name="_Toc2"/>
      <w:r>
        <w:t>2. Last year</w:t>
      </w:r>
      <w:bookmarkEnd w:id="2"/>
    </w:p>
    <w:p>
      <w:pPr>
        <w:pStyle w:val="Heading2"/>
      </w:pPr>
      <w:bookmarkStart w:id="3" w:name="_Toc3"/>
      <w:r>
        <w:t>2.1 Table</w:t>
      </w:r>
      <w:bookmarkEnd w:id="3"/>
    </w:p>
    <w:tbl>
      <w:tblGrid>
        <w:gridCol/>
        <w:gridCol/>
        <w:gridCol/>
        <w:gridCol/>
        <w:gridCol/>
        <w:gridCol/>
        <w:gridCol/>
        <w:gridCol/>
        <w:gridCol/>
      </w:tblGrid>
      <w:tblPr>
        <w:tblStyle w:val="Report"/>
      </w:tblPr>
      <w:tr>
        <w:trPr/>
        <w:tc>
          <w:tcPr/>
          <w:p>
            <w:pPr/>
            <w:r>
              <w:rPr/>
              <w:t xml:space="preserve">Expensive new kW</w:t>
            </w:r>
          </w:p>
        </w:tc>
        <w:tc>
          <w:tcPr/>
          <w:p>
            <w:pPr/>
            <w:r>
              <w:rPr/>
              <w:t xml:space="preserve">Expensive old kW</w:t>
            </w:r>
          </w:p>
        </w:tc>
        <w:tc>
          <w:tcPr/>
          <w:p>
            <w:pPr/>
            <w:r>
              <w:rPr/>
              <w:t xml:space="preserve">Expensive</w:t>
            </w:r>
          </w:p>
        </w:tc>
        <w:tc>
          <w:tcPr/>
          <w:p>
            <w:pPr/>
            <w:r>
              <w:rPr/>
              <w:t xml:space="preserve">Cheap new kW</w:t>
            </w:r>
          </w:p>
        </w:tc>
        <w:tc>
          <w:tcPr/>
          <w:p>
            <w:pPr/>
            <w:r>
              <w:rPr/>
              <w:t xml:space="preserve">Cheap old kW</w:t>
            </w:r>
          </w:p>
        </w:tc>
        <w:tc>
          <w:tcPr/>
          <w:p>
            <w:pPr/>
            <w:r>
              <w:rPr/>
              <w:t xml:space="preserve">Cheap</w:t>
            </w:r>
          </w:p>
        </w:tc>
        <w:tc>
          <w:tcPr/>
          <w:p>
            <w:pPr/>
            <w:r>
              <w:rPr/>
              <w:t xml:space="preserve">Sum kW</w:t>
            </w:r>
          </w:p>
        </w:tc>
        <w:tc>
          <w:tcPr/>
          <w:p>
            <w:pPr/>
            <w:r>
              <w:rPr/>
              <w:t xml:space="preserve">Period</w:t>
            </w:r>
          </w:p>
        </w:tc>
        <w:tc>
          <w:tcPr/>
          <w:p>
            <w:pPr/>
            <w:r>
              <w:rPr/>
              <w:t xml:space="preserve">Operater</w:t>
            </w:r>
          </w:p>
        </w:tc>
      </w:tr>
      <w:tr>
        <w:trPr/>
        <w:tc>
          <w:tcPr/>
          <w:p>
            <w:pPr/>
            <w:r>
              <w:rPr/>
              <w:t xml:space="preserve">300</w:t>
            </w:r>
          </w:p>
        </w:tc>
        <w:tc>
          <w:tcPr/>
          <w:p>
            <w:pPr/>
            <w:r>
              <w:rPr/>
              <w:t xml:space="preserve">320</w:t>
            </w:r>
          </w:p>
        </w:tc>
        <w:tc>
          <w:tcPr/>
          <w:p>
            <w:pPr/>
            <w:r>
              <w:rPr/>
              <w:t xml:space="preserve">20</w:t>
            </w:r>
          </w:p>
        </w:tc>
        <w:tc>
          <w:tcPr/>
          <w:p>
            <w:pPr/>
            <w:r>
              <w:rPr/>
              <w:t xml:space="preserve">372</w:t>
            </w:r>
          </w:p>
        </w:tc>
        <w:tc>
          <w:tcPr/>
          <w:p>
            <w:pPr/>
            <w:r>
              <w:rPr/>
              <w:t xml:space="preserve">400</w:t>
            </w:r>
          </w:p>
        </w:tc>
        <w:tc>
          <w:tcPr/>
          <w:p>
            <w:pPr/>
            <w:r>
              <w:rPr/>
              <w:t xml:space="preserve">28</w:t>
            </w:r>
          </w:p>
        </w:tc>
        <w:tc>
          <w:tcPr/>
          <w:p>
            <w:pPr/>
            <w:r>
              <w:rPr/>
              <w:t xml:space="preserve">48</w:t>
            </w:r>
          </w:p>
        </w:tc>
        <w:tc>
          <w:tcPr/>
          <w:p>
            <w:pPr/>
            <w:r>
              <w:rPr/>
              <w:t xml:space="preserve">2019-6</w:t>
            </w:r>
          </w:p>
        </w:tc>
        <w:tc>
          <w:tcPr/>
          <w:p>
            <w:pPr/>
            <w:r>
              <w:rPr/>
              <w:t xml:space="preserve">goran</w:t>
            </w:r>
          </w:p>
        </w:tc>
      </w:tr>
      <w:tr>
        <w:trPr/>
        <w:tc>
          <w:tcPr/>
          <w:p>
            <w:pPr/>
            <w:r>
              <w:rPr/>
              <w:t xml:space="preserve">250</w:t>
            </w:r>
          </w:p>
        </w:tc>
        <w:tc>
          <w:tcPr/>
          <w:p>
            <w:pPr/>
            <w:r>
              <w:rPr/>
              <w:t xml:space="preserve">300</w:t>
            </w:r>
          </w:p>
        </w:tc>
        <w:tc>
          <w:tcPr/>
          <w:p>
            <w:pPr/>
            <w:r>
              <w:rPr/>
              <w:t xml:space="preserve">50</w:t>
            </w:r>
          </w:p>
        </w:tc>
        <w:tc>
          <w:tcPr/>
          <w:p>
            <w:pPr/>
            <w:r>
              <w:rPr/>
              <w:t xml:space="preserve">370</w:t>
            </w:r>
          </w:p>
        </w:tc>
        <w:tc>
          <w:tcPr/>
          <w:p>
            <w:pPr/>
            <w:r>
              <w:rPr/>
              <w:t xml:space="preserve">372</w:t>
            </w:r>
          </w:p>
        </w:tc>
        <w:tc>
          <w:tcPr/>
          <w:p>
            <w:pPr/>
            <w:r>
              <w:rPr/>
              <w:t xml:space="preserve">2</w:t>
            </w:r>
          </w:p>
        </w:tc>
        <w:tc>
          <w:tcPr/>
          <w:p>
            <w:pPr/>
            <w:r>
              <w:rPr/>
              <w:t xml:space="preserve">52</w:t>
            </w:r>
          </w:p>
        </w:tc>
        <w:tc>
          <w:tcPr/>
          <w:p>
            <w:pPr/>
            <w:r>
              <w:rPr/>
              <w:t xml:space="preserve">2019-5</w:t>
            </w:r>
          </w:p>
        </w:tc>
        <w:tc>
          <w:tcPr/>
          <w:p>
            <w:pPr/>
            <w:r>
              <w:rPr/>
              <w:t xml:space="preserve">goran</w:t>
            </w:r>
          </w:p>
        </w:tc>
      </w:tr>
      <w:tr>
        <w:trPr/>
        <w:tc>
          <w:tcPr/>
          <w:p>
            <w:pPr/>
            <w:r>
              <w:rPr/>
              <w:t xml:space="preserve">240</w:t>
            </w:r>
          </w:p>
        </w:tc>
        <w:tc>
          <w:tcPr/>
          <w:p>
            <w:pPr/>
            <w:r>
              <w:rPr/>
              <w:t xml:space="preserve">250</w:t>
            </w:r>
          </w:p>
        </w:tc>
        <w:tc>
          <w:tcPr/>
          <w:p>
            <w:pPr/>
            <w:r>
              <w:rPr/>
              <w:t xml:space="preserve">10</w:t>
            </w:r>
          </w:p>
        </w:tc>
        <w:tc>
          <w:tcPr/>
          <w:p>
            <w:pPr/>
            <w:r>
              <w:rPr/>
              <w:t xml:space="preserve">360</w:t>
            </w:r>
          </w:p>
        </w:tc>
        <w:tc>
          <w:tcPr/>
          <w:p>
            <w:pPr/>
            <w:r>
              <w:rPr/>
              <w:t xml:space="preserve">370</w:t>
            </w:r>
          </w:p>
        </w:tc>
        <w:tc>
          <w:tcPr/>
          <w:p>
            <w:pPr/>
            <w:r>
              <w:rPr/>
              <w:t xml:space="preserve">10</w:t>
            </w:r>
          </w:p>
        </w:tc>
        <w:tc>
          <w:tcPr/>
          <w:p>
            <w:pPr/>
            <w:r>
              <w:rPr/>
              <w:t xml:space="preserve">20</w:t>
            </w:r>
          </w:p>
        </w:tc>
        <w:tc>
          <w:tcPr/>
          <w:p>
            <w:pPr/>
            <w:r>
              <w:rPr/>
              <w:t xml:space="preserve">2019-4</w:t>
            </w:r>
          </w:p>
        </w:tc>
        <w:tc>
          <w:tcPr/>
          <w:p>
            <w:pPr/>
            <w:r>
              <w:rPr/>
              <w:t xml:space="preserve">goran</w:t>
            </w:r>
          </w:p>
        </w:tc>
      </w:tr>
      <w:tr>
        <w:trPr/>
        <w:tc>
          <w:tcPr/>
          <w:p>
            <w:pPr/>
            <w:r>
              <w:rPr/>
              <w:t xml:space="preserve">180</w:t>
            </w:r>
          </w:p>
        </w:tc>
        <w:tc>
          <w:tcPr/>
          <w:p>
            <w:pPr/>
            <w:r>
              <w:rPr/>
              <w:t xml:space="preserve">240</w:t>
            </w:r>
          </w:p>
        </w:tc>
        <w:tc>
          <w:tcPr/>
          <w:p>
            <w:pPr/>
            <w:r>
              <w:rPr/>
              <w:t xml:space="preserve">60</w:t>
            </w:r>
          </w:p>
        </w:tc>
        <w:tc>
          <w:tcPr/>
          <w:p>
            <w:pPr/>
            <w:r>
              <w:rPr/>
              <w:t xml:space="preserve">360</w:t>
            </w:r>
          </w:p>
        </w:tc>
        <w:tc>
          <w:tcPr/>
          <w:p>
            <w:pPr/>
            <w:r>
              <w:rPr/>
              <w:t xml:space="preserve">360</w:t>
            </w:r>
          </w:p>
        </w:tc>
        <w:tc>
          <w:tcPr/>
          <w:p>
            <w:pPr/>
            <w:r>
              <w:rPr/>
              <w:t xml:space="preserve">0</w:t>
            </w:r>
          </w:p>
        </w:tc>
        <w:tc>
          <w:tcPr/>
          <w:p>
            <w:pPr/>
            <w:r>
              <w:rPr/>
              <w:t xml:space="preserve">60</w:t>
            </w:r>
          </w:p>
        </w:tc>
        <w:tc>
          <w:tcPr/>
          <w:p>
            <w:pPr/>
            <w:r>
              <w:rPr/>
              <w:t xml:space="preserve">2019-3</w:t>
            </w:r>
          </w:p>
        </w:tc>
        <w:tc>
          <w:tcPr/>
          <w:p>
            <w:pPr/>
            <w:r>
              <w:rPr/>
              <w:t xml:space="preserve">goran</w:t>
            </w:r>
          </w:p>
        </w:tc>
      </w:tr>
      <w:tr>
        <w:trPr/>
        <w:tc>
          <w:tcPr/>
          <w:p>
            <w:pPr/>
            <w:r>
              <w:rPr/>
              <w:t xml:space="preserve">160</w:t>
            </w:r>
          </w:p>
        </w:tc>
        <w:tc>
          <w:tcPr/>
          <w:p>
            <w:pPr/>
            <w:r>
              <w:rPr/>
              <w:t xml:space="preserve">180</w:t>
            </w:r>
          </w:p>
        </w:tc>
        <w:tc>
          <w:tcPr/>
          <w:p>
            <w:pPr/>
            <w:r>
              <w:rPr/>
              <w:t xml:space="preserve">20</w:t>
            </w:r>
          </w:p>
        </w:tc>
        <w:tc>
          <w:tcPr/>
          <w:p>
            <w:pPr/>
            <w:r>
              <w:rPr/>
              <w:t xml:space="preserve">328</w:t>
            </w:r>
          </w:p>
        </w:tc>
        <w:tc>
          <w:tcPr/>
          <w:p>
            <w:pPr/>
            <w:r>
              <w:rPr/>
              <w:t xml:space="preserve">360</w:t>
            </w:r>
          </w:p>
        </w:tc>
        <w:tc>
          <w:tcPr/>
          <w:p>
            <w:pPr/>
            <w:r>
              <w:rPr/>
              <w:t xml:space="preserve">32</w:t>
            </w:r>
          </w:p>
        </w:tc>
        <w:tc>
          <w:tcPr/>
          <w:p>
            <w:pPr/>
            <w:r>
              <w:rPr/>
              <w:t xml:space="preserve">52</w:t>
            </w:r>
          </w:p>
        </w:tc>
        <w:tc>
          <w:tcPr/>
          <w:p>
            <w:pPr/>
            <w:r>
              <w:rPr/>
              <w:t xml:space="preserve">2019-2</w:t>
            </w:r>
          </w:p>
        </w:tc>
        <w:tc>
          <w:tcPr/>
          <w:p>
            <w:pPr/>
            <w:r>
              <w:rPr/>
              <w:t xml:space="preserve">goran</w:t>
            </w:r>
          </w:p>
        </w:tc>
      </w:tr>
      <w:tr>
        <w:trPr/>
        <w:tc>
          <w:tcPr/>
          <w:p>
            <w:pPr/>
            <w:r>
              <w:rPr/>
              <w:t xml:space="preserve">123</w:t>
            </w:r>
          </w:p>
        </w:tc>
        <w:tc>
          <w:tcPr/>
          <w:p>
            <w:pPr/>
            <w:r>
              <w:rPr/>
              <w:t xml:space="preserve">160</w:t>
            </w:r>
          </w:p>
        </w:tc>
        <w:tc>
          <w:tcPr/>
          <w:p>
            <w:pPr/>
            <w:r>
              <w:rPr/>
              <w:t xml:space="preserve">37</w:t>
            </w:r>
          </w:p>
        </w:tc>
        <w:tc>
          <w:tcPr/>
          <w:p>
            <w:pPr/>
            <w:r>
              <w:rPr/>
              <w:t xml:space="preserve">321</w:t>
            </w:r>
          </w:p>
        </w:tc>
        <w:tc>
          <w:tcPr/>
          <w:p>
            <w:pPr/>
            <w:r>
              <w:rPr/>
              <w:t xml:space="preserve">328</w:t>
            </w:r>
          </w:p>
        </w:tc>
        <w:tc>
          <w:tcPr/>
          <w:p>
            <w:pPr/>
            <w:r>
              <w:rPr/>
              <w:t xml:space="preserve">7</w:t>
            </w:r>
          </w:p>
        </w:tc>
        <w:tc>
          <w:tcPr/>
          <w:p>
            <w:pPr/>
            <w:r>
              <w:rPr/>
              <w:t xml:space="preserve">44</w:t>
            </w:r>
          </w:p>
        </w:tc>
        <w:tc>
          <w:tcPr/>
          <w:p>
            <w:pPr/>
            <w:r>
              <w:rPr/>
              <w:t xml:space="preserve">2019-1</w:t>
            </w:r>
          </w:p>
        </w:tc>
        <w:tc>
          <w:tcPr/>
          <w:p>
            <w:pPr/>
            <w:r>
              <w:rPr/>
              <w:t xml:space="preserve">goran</w:t>
            </w:r>
          </w:p>
        </w:tc>
      </w:tr>
      <w:tr>
        <w:trPr/>
        <w:tc>
          <w:tcPr/>
          <w:p>
            <w:pPr/>
            <w:r>
              <w:rPr/>
              <w:t xml:space="preserve">Expensive: 197 kw</w:t>
            </w:r>
          </w:p>
        </w:tc>
        <w:tc>
          <w:tcPr/>
          <w:p>
            <w:pPr/>
            <w:r>
              <w:rPr/>
              <w:t xml:space="preserve">Cheap: 79 kw</w:t>
            </w:r>
          </w:p>
        </w:tc>
        <w:tc>
          <w:tcPr/>
          <w:p>
            <w:pPr/>
            <w:r>
              <w:rPr/>
              <w:t xml:space="preserve">Total: 276 kw</w:t>
            </w:r>
          </w:p>
        </w:tc>
        <w:tc>
          <w:tcPr/>
          <w:p/>
        </w:tc>
        <w:tc>
          <w:tcPr/>
          <w:p/>
        </w:tc>
        <w:tc>
          <w:tcPr/>
          <w:p/>
        </w:tc>
        <w:tc>
          <w:tcPr/>
          <w:p/>
        </w:tc>
        <w:tc>
          <w:tcPr/>
          <w:p/>
        </w:tc>
        <w:tc>
          <w:tcPr/>
          <w:p/>
        </w:tc>
      </w:tr>
    </w:tbl>
    <w:p>
      <w:r>
        <w:br w:type="page"/>
      </w:r>
    </w:p>
    <w:p>
      <w:pPr>
        <w:pStyle w:val="Heading2"/>
      </w:pPr>
      <w:bookmarkStart w:id="4" w:name="_Toc4"/>
      <w:r>
        <w:t>2.2 Charts</w:t>
      </w:r>
      <w:bookmarkEnd w:id="4"/>
    </w:p>
    <w:p>
      <w:r>
        <w:drawing>
          <wp:inline>
            <wp:extent cx="5486400" cy="3657600"/>
            <wp:docPr id="10" name="Chart10"/>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pPr>
        <w:sectPr>
          <w:headerReference w:type="default" r:id="rId7"/>
          <w:footerReference w:type="default" r:id="rId8"/>
          <w:pgSz w:orient="portrait" w:w="11905.511811023622" w:h="16837.79527559055"/>
          <w:pgMar w:top="1440" w:right="1440" w:bottom="1440" w:left="1440" w:header="720" w:footer="720" w:gutter="0"/>
          <w:cols w:num="1" w:space="720"/>
          <w:pgNumType w:start="3"/>
        </w:sectPr>
      </w:pPr>
    </w:p>
    <w:p>
      <w:r>
        <w:br w:type="page"/>
      </w:r>
    </w:p>
    <w:p>
      <w:pPr>
        <w:sectPr>
          <w:type w:val="continuous"/>
          <w:pgSz w:orient="portrait" w:w="11905.511811023622" w:h="16837.79527559055"/>
          <w:pgMar w:top="1440" w:right="1440" w:bottom="1440" w:left="1440" w:header="720" w:footer="720" w:gutter="0"/>
          <w:cols w:num="1" w:space="720"/>
        </w:sectPr>
      </w:pPr>
    </w:p>
    <w:p>
      <w:r>
        <w:drawing>
          <wp:inline>
            <wp:extent cx="2743200" cy="2286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
      <w:r>
        <w:drawing>
          <wp:inline>
            <wp:extent cx="2743200" cy="2286000"/>
            <wp:docPr id="12" name="Chart12"/>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
      <w:pPr>
        <w:sectPr>
          <w:type w:val="continuous"/>
          <w:pgSz w:orient="portrait" w:w="11905.511811023622" w:h="16837.79527559055"/>
          <w:pgMar w:top="1440" w:right="1440" w:bottom="1440" w:left="1440" w:header="720" w:footer="720" w:gutter="0"/>
          <w:cols w:num="2" w:space="72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Report </w:t>
    </w:r>
    <w:r>
      <w:fldChar w:fldCharType="begin"/>
    </w:r>
    <w:r>
      <w:instrText xml:space="preserve">DATE</w:instrText>
    </w:r>
    <w:r>
      <w:fldChar w:fldCharType="separate"/>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2"/>
      <w:szCs w:val="32"/>
      <w:b w:val="1"/>
      <w:bCs w:val="1"/>
    </w:rPr>
  </w:style>
  <w:style w:type="table" w:customStyle="1" w:styleId="Report">
    <w:name w:val="Report"/>
    <w:uiPriority w:val="99"/>
    <w:tblPr>
      <w:tblW w:w="0" w:type="auto"/>
      <w:tblLayout w:type="autofit"/>
      <w:tblCellMar>
        <w:top w:w="80" w:type="dxa"/>
        <w:left w:w="80" w:type="dxa"/>
        <w:right w:w="80" w:type="dxa"/>
        <w:bottom w:w="80" w:type="dxa"/>
      </w:tblCellMar>
      <w:tblBorders>
        <w:top w:val="single" w:sz="6" w:color="CCCCCC"/>
        <w:left w:val="single" w:sz="6" w:color="CCCCCC"/>
        <w:right w:val="single" w:sz="6" w:color="CCCCCC"/>
        <w:bottom w:val="single" w:sz="6" w:color="CCCCCC"/>
        <w:insideH w:val="single" w:sz="6" w:color="CCCCCC"/>
        <w:insideV w:val="single" w:sz="6" w:color="CCCCCC"/>
      </w:tblBorders>
    </w:tblPr>
    <w:tblStylePr w:type="firstRow">
      <w:tcPr>
        <w:tblBorders>
          <w:bottom w:val="single" w:sz="18" w:color="DDDDDD"/>
        </w:tblBorders>
        <w:tcPr>
          <w:shd w:val="clear" w:fill="CCCCCC"/>
        </w:tcPr>
      </w:tcPr>
    </w:tblStylePr>
  </w:style>
  <w:style w:type="table" w:customStyle="1" w:styleId="Chart">
    <w:name w:val="Chart"/>
    <w:uiPriority w:val="99"/>
    <w:tblPr>
      <w:jc w:val="center"/>
      <w:tblW w:w="0" w:type="auto"/>
      <w:tblLayout w:type="autofit"/>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footer" Target="footer4.xml"/><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s>
</file>

<file path=word/charts/chart1.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last-month-pie</a:t>
            </a:r>
            <a:endParaRPr/>
          </a:p>
        </c:rich>
      </c:tx>
    </c:title>
    <c:legend>
      <c:legendPos val="r"/>
    </c:legend>
    <c:plotArea>
      <c:layout/>
      <c:pieChart>
        <c:varyColors val="1"/>
        <c:ser>
          <c:idx val="0"/>
          <c:order val="0"/>
          <c:dLbls>
            <c:showVal val="0"/>
            <c:showCatName val="0"/>
            <c:showLegendKey val="0"/>
            <c:showSerName val="0"/>
            <c:showPercent val="1"/>
            <c:showLeaderLines val="0"/>
            <c:showBubbleSize val="0"/>
          </c:dLbls>
          <c:cat>
            <c:strLit>
              <c:ptCount val="2"/>
              <c:pt idx="0">
                <c:v>Expensive kW</c:v>
              </c:pt>
              <c:pt idx="1">
                <c:v>Cheap kW</c:v>
              </c:pt>
            </c:strLit>
          </c:cat>
          <c:val>
            <c:numLit>
              <c:ptCount val="2"/>
              <c:pt idx="0">
                <c:v>20</c:v>
              </c:pt>
              <c:pt idx="1">
                <c:v>28</c:v>
              </c:pt>
            </c:numLit>
          </c:val>
        </c:ser>
        <c:overlap val="100"/>
      </c:pieChart>
    </c:plotArea>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last-year-column-clustered</a:t>
            </a:r>
            <a:endParaRPr/>
          </a:p>
        </c:rich>
      </c:tx>
    </c:title>
    <c:plotArea>
      <c:layout/>
      <c:barChart>
        <c:varyColors val="0"/>
        <c:barDir val="col"/>
        <c:grouping val="clustered"/>
        <c:ser>
          <c:idx val="0"/>
          <c:order val="0"/>
          <c:tx>
            <c:strRef>
              <c:strCache>
                <c:ptCount val="1"/>
                <c:pt idx="0">
                  <c:v>Expensive</c:v>
                </c:pt>
              </c:strCache>
            </c:strRef>
          </c:tx>
          <c:dLbls>
            <c:showVal val="1"/>
            <c:showCatName val="0"/>
            <c:showLegendKey val="0"/>
            <c:showSerName val="0"/>
            <c:showPercent val="0"/>
            <c:showLeaderLines val="0"/>
            <c:showBubbleSize val="0"/>
          </c:dLbls>
          <c:cat>
            <c:strLit>
              <c:ptCount val="6"/>
              <c:pt idx="0">
                <c:v>2019-6</c:v>
              </c:pt>
              <c:pt idx="1">
                <c:v>2019-5</c:v>
              </c:pt>
              <c:pt idx="2">
                <c:v>2019-4</c:v>
              </c:pt>
              <c:pt idx="3">
                <c:v>2019-3</c:v>
              </c:pt>
              <c:pt idx="4">
                <c:v>2019-2</c:v>
              </c:pt>
              <c:pt idx="5">
                <c:v>2019-1</c:v>
              </c:pt>
            </c:strLit>
          </c:cat>
          <c:val>
            <c:numLit>
              <c:ptCount val="6"/>
              <c:pt idx="0">
                <c:v>20</c:v>
              </c:pt>
              <c:pt idx="1">
                <c:v>50</c:v>
              </c:pt>
              <c:pt idx="2">
                <c:v>10</c:v>
              </c:pt>
              <c:pt idx="3">
                <c:v>60</c:v>
              </c:pt>
              <c:pt idx="4">
                <c:v>20</c:v>
              </c:pt>
              <c:pt idx="5">
                <c:v>37</c:v>
              </c:pt>
            </c:numLit>
          </c:val>
        </c:ser>
        <c:ser>
          <c:idx val="1"/>
          <c:order val="1"/>
          <c:tx>
            <c:strRef>
              <c:strCache>
                <c:ptCount val="1"/>
                <c:pt idx="0">
                  <c:v>Cheap</c:v>
                </c:pt>
              </c:strCache>
            </c:strRef>
          </c:tx>
          <c:dLbls>
            <c:showVal val="1"/>
            <c:showCatName val="0"/>
            <c:showLegendKey val="0"/>
            <c:showSerName val="0"/>
            <c:showPercent val="0"/>
            <c:showLeaderLines val="0"/>
            <c:showBubbleSize val="0"/>
          </c:dLbls>
          <c:cat>
            <c:strLit>
              <c:ptCount val="6"/>
              <c:pt idx="0">
                <c:v>2019-6</c:v>
              </c:pt>
              <c:pt idx="1">
                <c:v>2019-5</c:v>
              </c:pt>
              <c:pt idx="2">
                <c:v>2019-4</c:v>
              </c:pt>
              <c:pt idx="3">
                <c:v>2019-3</c:v>
              </c:pt>
              <c:pt idx="4">
                <c:v>2019-2</c:v>
              </c:pt>
              <c:pt idx="5">
                <c:v>2019-1</c:v>
              </c:pt>
            </c:strLit>
          </c:cat>
          <c:val>
            <c:numLit>
              <c:ptCount val="6"/>
              <c:pt idx="0">
                <c:v>28</c:v>
              </c:pt>
              <c:pt idx="1">
                <c:v>2</c:v>
              </c:pt>
              <c:pt idx="2">
                <c:v>10</c:v>
              </c:pt>
              <c:pt idx="3">
                <c:v>0</c:v>
              </c:pt>
              <c:pt idx="4">
                <c:v>32</c:v>
              </c:pt>
              <c:pt idx="5">
                <c:v>7</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3.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last-year-bar</a:t>
            </a:r>
            <a:endParaRPr/>
          </a:p>
        </c:rich>
      </c:tx>
    </c:title>
    <c:plotArea>
      <c:layout/>
      <c:barChart>
        <c:varyColors val="0"/>
        <c:barDir val="bar"/>
        <c:grouping val="clustered"/>
        <c:ser>
          <c:idx val="0"/>
          <c:order val="0"/>
          <c:dLbls>
            <c:showVal val="1"/>
            <c:showCatName val="0"/>
            <c:showLegendKey val="0"/>
            <c:showSerName val="0"/>
            <c:showPercent val="0"/>
            <c:showLeaderLines val="0"/>
            <c:showBubbleSize val="0"/>
          </c:dLbls>
          <c:cat>
            <c:strLit>
              <c:ptCount val="2"/>
              <c:pt idx="0">
                <c:v>Expensive</c:v>
              </c:pt>
              <c:pt idx="1">
                <c:v>Cheap</c:v>
              </c:pt>
            </c:strLit>
          </c:cat>
          <c:val>
            <c:numLit>
              <c:ptCount val="2"/>
              <c:pt idx="0">
                <c:v>197</c:v>
              </c:pt>
              <c:pt idx="1">
                <c:v>79</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title>
          <c:tx>
            <c:rich>
              <a:bodyPr/>
              <a:lstStyle/>
              <a:p>
                <a:pPr>
                  <a:defRPr/>
                </a:pPr>
                <a:r>
                  <a:rPr lang="en-US"/>
                  <a:t>kw</a:t>
                </a:r>
              </a:p>
            </c:rich>
          </c:tx>
          <c:overlay val="0"/>
        </c:title>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4.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last-year-pie-3d</a:t>
            </a:r>
            <a:endParaRPr/>
          </a:p>
        </c:rich>
      </c:tx>
    </c:title>
    <c:legend>
      <c:legendPos val="r"/>
    </c:legend>
    <c:plotArea>
      <c:layout/>
      <c:pie3DChart>
        <c:varyColors val="1"/>
        <c:ser>
          <c:idx val="0"/>
          <c:order val="0"/>
          <c:dLbls>
            <c:showVal val="0"/>
            <c:showCatName val="0"/>
            <c:showLegendKey val="0"/>
            <c:showSerName val="0"/>
            <c:showPercent val="1"/>
            <c:showLeaderLines val="0"/>
            <c:showBubbleSize val="0"/>
          </c:dLbls>
          <c:cat>
            <c:strLit>
              <c:ptCount val="6"/>
              <c:pt idx="0">
                <c:v>2019-6</c:v>
              </c:pt>
              <c:pt idx="1">
                <c:v>2019-5</c:v>
              </c:pt>
              <c:pt idx="2">
                <c:v>2019-4</c:v>
              </c:pt>
              <c:pt idx="3">
                <c:v>2019-3</c:v>
              </c:pt>
              <c:pt idx="4">
                <c:v>2019-2</c:v>
              </c:pt>
              <c:pt idx="5">
                <c:v>2019-1</c:v>
              </c:pt>
            </c:strLit>
          </c:cat>
          <c:val>
            <c:numLit>
              <c:ptCount val="6"/>
              <c:pt idx="0">
                <c:v>48</c:v>
              </c:pt>
              <c:pt idx="1">
                <c:v>52</c:v>
              </c:pt>
              <c:pt idx="2">
                <c:v>20</c:v>
              </c:pt>
              <c:pt idx="3">
                <c:v>60</c:v>
              </c:pt>
              <c:pt idx="4">
                <c:v>52</c:v>
              </c:pt>
              <c:pt idx="5">
                <c:v>44</c:v>
              </c:pt>
            </c:numLit>
          </c:val>
        </c:ser>
        <c:overlap val="100"/>
      </c:pie3DChart>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2019-07-09T14:36:17+02:00</dcterms:created>
  <dcterms:modified xsi:type="dcterms:W3CDTF">2019-07-09T14:36:17+02:00</dcterms:modified>
</cp:coreProperties>
</file>

<file path=docProps/custom.xml><?xml version="1.0" encoding="utf-8"?>
<Properties xmlns="http://schemas.openxmlformats.org/officeDocument/2006/custom-properties" xmlns:vt="http://schemas.openxmlformats.org/officeDocument/2006/docPropsVTypes"/>
</file>