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Annual</w:t>
      </w:r>
      <w:r>
        <w:t xml:space="preserve"> </w:t>
      </w:r>
      <w:r>
        <w:t xml:space="preserve">Review</w:t>
      </w:r>
      <w:r>
        <w:t xml:space="preserve"> </w:t>
      </w:r>
      <w:r>
        <w:t xml:space="preserve">22/23</w:t>
      </w:r>
      <w:r>
        <w:t xml:space="preserve"> </w:t>
      </w:r>
      <w:r>
        <w:t xml:space="preserve">-</w:t>
      </w:r>
      <w:r>
        <w:t xml:space="preserve"> </w:t>
      </w:r>
      <w:r>
        <w:t xml:space="preserve">v2</w:t>
      </w:r>
    </w:p>
    <w:p>
      <w:pPr>
        <w:pStyle w:val="Author"/>
      </w:pPr>
      <w:r>
        <w:t xml:space="preserve">Zijian</w:t>
      </w:r>
      <w:r>
        <w:t xml:space="preserve"> </w:t>
      </w:r>
      <w:r>
        <w:t xml:space="preserve">Zark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08,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In this document, I present three pieces of work.</w:t>
      </w:r>
    </w:p>
    <w:p>
      <w:pPr>
        <w:pStyle w:val="BodyText"/>
      </w:pPr>
      <w:r>
        <w:t xml:space="preserve">The first is a novel model of intertemporal choice. The model</w:t>
      </w:r>
      <w:r>
        <w:t xml:space="preserve"> </w:t>
      </w:r>
      <w:r>
        <w:t xml:space="preserve">incorporates attentional mechanism into the expected discounted utility</w:t>
      </w:r>
      <w:r>
        <w:t xml:space="preserve"> </w:t>
      </w:r>
      <w:r>
        <w:t xml:space="preserve">framework. It assumes that people have limited attention to allocate</w:t>
      </w:r>
      <w:r>
        <w:t xml:space="preserve"> </w:t>
      </w:r>
      <w:r>
        <w:t xml:space="preserve">across sequential outcomes and tend to pay more attention to the</w:t>
      </w:r>
      <w:r>
        <w:t xml:space="preserve"> </w:t>
      </w:r>
      <w:r>
        <w:t xml:space="preserve">outcomes with larger rewards. I show that it can explain a broad set of</w:t>
      </w:r>
      <w:r>
        <w:t xml:space="preserve"> </w:t>
      </w:r>
      <w:r>
        <w:t xml:space="preserve">decision anomalies, and present an axiomatic characterization.</w:t>
      </w:r>
    </w:p>
    <w:p>
      <w:pPr>
        <w:pStyle w:val="BodyText"/>
      </w:pPr>
      <w:r>
        <w:t xml:space="preserve">The second is an experimental test on whether (and how) attentional</w:t>
      </w:r>
      <w:r>
        <w:t xml:space="preserve"> </w:t>
      </w:r>
      <w:r>
        <w:t xml:space="preserve">mechanism can influence intertemporal choice.</w:t>
      </w:r>
    </w:p>
    <w:p>
      <w:pPr>
        <w:pStyle w:val="BodyText"/>
      </w:pPr>
      <w:r>
        <w:t xml:space="preserve">The third is an experiment aiming to test how people jointly evaluate</w:t>
      </w:r>
      <w:r>
        <w:t xml:space="preserve"> </w:t>
      </w:r>
      <w:r>
        <w:t xml:space="preserve">risky outcomes and efforts. The findings from this experiment can inform</w:t>
      </w:r>
      <w:r>
        <w:t xml:space="preserve"> </w:t>
      </w:r>
      <w:r>
        <w:t xml:space="preserve">the research in rational inattention. I am working on the experimental</w:t>
      </w:r>
      <w:r>
        <w:t xml:space="preserve"> </w:t>
      </w:r>
      <w:r>
        <w:t xml:space="preserve">program.</w:t>
      </w:r>
    </w:p>
    <w:bookmarkEnd w:id="20"/>
    <w:bookmarkStart w:id="34" w:name="attentional-discounted-utilit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Attentional Discounted Utility</w:t>
      </w:r>
    </w:p>
    <w:bookmarkStart w:id="23" w:name="the-mode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The Model</w:t>
      </w:r>
    </w:p>
    <w:p>
      <w:pPr>
        <w:pStyle w:val="FirstParagraph"/>
      </w:pPr>
      <w:r>
        <w:t xml:space="preserve">Expected discounted utility framework has been widely used in behavioral</w:t>
      </w:r>
      <w:r>
        <w:t xml:space="preserve"> </w:t>
      </w:r>
      <w:r>
        <w:t xml:space="preserve">and economic research. Given a sequence of rewards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which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time period</w:t>
      </w:r>
      <w:r>
        <w:t xml:space="preserve"> </w:t>
      </w:r>
      <m:oMath>
        <m:r>
          <m:t>t</m:t>
        </m:r>
      </m:oMath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, the expected discounted utility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 be calculated by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D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discounting factor of time period</w:t>
      </w:r>
      <w:r>
        <w:t xml:space="preserve"> </w:t>
      </w:r>
      <m:oMath>
        <m:r>
          <m:t>t</m:t>
        </m:r>
      </m:oMath>
      <w:r>
        <w:t xml:space="preserve">, reward level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random variable defined on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denotes the decision maker’s instantaneous utility function,</w:t>
      </w:r>
      <w:r>
        <w:t xml:space="preserve"> </w:t>
      </w:r>
      <m:oMath>
        <m:r>
          <m:t>u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″</m:t>
        </m:r>
        <m:r>
          <m:rPr>
            <m:sty m:val="p"/>
          </m:rPr>
          <m:t>&lt;</m:t>
        </m:r>
        <m:r>
          <m:t>0</m:t>
        </m:r>
      </m:oMath>
      <w:r>
        <w:t xml:space="preserve">. The time length of this sequence, denoted by</w:t>
      </w:r>
      <w:r>
        <w:t xml:space="preserve"> </w:t>
      </w:r>
      <m:oMath>
        <m:r>
          <m:t>T</m:t>
        </m:r>
      </m:oMath>
      <w:r>
        <w:t xml:space="preserve">, is finite.</w:t>
      </w:r>
    </w:p>
    <w:p>
      <w:pPr>
        <w:pStyle w:val="BodyText"/>
      </w:pPr>
      <w:r>
        <w:t xml:space="preserve">The aim of this section is to incorporate attentional mechanism into</w:t>
      </w:r>
      <w:r>
        <w:t xml:space="preserve"> </w:t>
      </w:r>
      <w:r>
        <w:t xml:space="preserve">this valuation process of reward sequences. I assume that a decision</w:t>
      </w:r>
      <w:r>
        <w:t xml:space="preserve"> </w:t>
      </w:r>
      <w:r>
        <w:t xml:space="preserve">maker allocates attention across sequential outcomes when processing</w:t>
      </w:r>
      <w:r>
        <w:t xml:space="preserve"> </w:t>
      </w:r>
      <w:r>
        <w:t xml:space="preserve">information about rewards, and attends more to the outcomes with larger</w:t>
      </w:r>
      <w:r>
        <w:t xml:space="preserve"> </w:t>
      </w:r>
      <w:r>
        <w:t xml:space="preserve">rewards. I define the models that contain such features as</w:t>
      </w:r>
      <w:r>
        <w:t xml:space="preserve"> </w:t>
      </w:r>
      <w:r>
        <w:rPr>
          <w:iCs/>
          <w:i/>
        </w:rPr>
        <w:t xml:space="preserve">Attentional</w:t>
      </w:r>
      <w:r>
        <w:rPr>
          <w:iCs/>
          <w:i/>
        </w:rPr>
        <w:t xml:space="preserve"> </w:t>
      </w:r>
      <w:r>
        <w:rPr>
          <w:iCs/>
          <w:i/>
        </w:rPr>
        <w:t xml:space="preserve">Discounted Utility</w:t>
      </w:r>
      <w:r>
        <w:t xml:space="preserve"> </w:t>
      </w:r>
      <w:r>
        <w:t xml:space="preserve">(ADU). Previous studies exploring the ADU setting</w:t>
      </w:r>
      <w:r>
        <w:t xml:space="preserve"> </w:t>
      </w:r>
      <w:r>
        <w:t xml:space="preserve">include</w:t>
      </w:r>
      <w:r>
        <w:t xml:space="preserve"> </w:t>
      </w:r>
      <w:r>
        <w:t xml:space="preserve">Gershman and Bhui (2020)</w:t>
      </w:r>
      <w:r>
        <w:t xml:space="preserve"> </w:t>
      </w:r>
      <w:r>
        <w:t xml:space="preserve">and</w:t>
      </w:r>
      <w:r>
        <w:t xml:space="preserve"> </w:t>
      </w:r>
      <w:r>
        <w:t xml:space="preserve">Noor and Takeoka (2022)</w:t>
      </w:r>
      <w:r>
        <w:t xml:space="preserve">. Specifically,</w:t>
      </w:r>
      <w:r>
        <w:t xml:space="preserve"> </w:t>
      </w:r>
      <w:r>
        <w:t xml:space="preserve">I focus on a particular form of ADU, which I term as</w:t>
      </w:r>
      <w:r>
        <w:t xml:space="preserve"> </w:t>
      </w:r>
      <w:r>
        <w:rPr>
          <w:iCs/>
          <w:i/>
        </w:rPr>
        <w:t xml:space="preserve">ADU with Shannon</w:t>
      </w:r>
      <w:r>
        <w:rPr>
          <w:iCs/>
          <w:i/>
        </w:rPr>
        <w:t xml:space="preserve"> </w:t>
      </w:r>
      <w:r>
        <w:rPr>
          <w:iCs/>
          <w:i/>
        </w:rPr>
        <w:t xml:space="preserve">cost function</w:t>
      </w:r>
      <w:r>
        <w:t xml:space="preserve"> </w:t>
      </w:r>
      <w:r>
        <w:t xml:space="preserve">(ADUS). ADUS retains the architecture of expected</w:t>
      </w:r>
      <w:r>
        <w:t xml:space="preserve"> </w:t>
      </w:r>
      <w:r>
        <w:t xml:space="preserve">discounted utility, but simply modifies the conventional discounting</w:t>
      </w:r>
      <w:r>
        <w:t xml:space="preserve"> </w:t>
      </w:r>
      <w:r>
        <w:t xml:space="preserve">factor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, which I refer to as attention weight hereafter,</w:t>
      </w:r>
      <w:r>
        <w:t xml:space="preserve"> </w:t>
      </w:r>
      <w:r>
        <w:t xml:space="preserve">where</w:t>
      </w:r>
    </w:p>
    <w:p>
      <w:pPr>
        <w:pStyle w:val="BodyText"/>
      </w:pP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adopts a form resembling logistic</w:t>
      </w:r>
      <w:r>
        <w:t xml:space="preserve"> </w:t>
      </w:r>
      <w:r>
        <w:t xml:space="preserve">function. It indicates three properties of attention. First, the sum of</w:t>
      </w:r>
      <w:r>
        <w:t xml:space="preserve"> </w:t>
      </w:r>
      <w:r>
        <w:t xml:space="preserve">all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1, indicating the attention that is available to be</w:t>
      </w:r>
      <w:r>
        <w:t xml:space="preserve"> </w:t>
      </w:r>
      <w:r>
        <w:t xml:space="preserve">allocated across sequential outcomes is limited. Second,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indicating the decision maker is inclined to</w:t>
      </w:r>
      <w:r>
        <w:t xml:space="preserve"> </w:t>
      </w:r>
      <w:r>
        <w:t xml:space="preserve">allocate more attention to periods with larger potential rewards. This</w:t>
      </w:r>
      <w:r>
        <w:t xml:space="preserve"> </w:t>
      </w:r>
      <w:r>
        <w:t xml:space="preserve">is in line with existing evidence, suggesting people often pay much</w:t>
      </w:r>
      <w:r>
        <w:t xml:space="preserve"> </w:t>
      </w:r>
      <w:r>
        <w:t xml:space="preserve">attention to pleasant information and avoid to know unpleasant</w:t>
      </w:r>
      <w:r>
        <w:t xml:space="preserve"> </w:t>
      </w:r>
      <w:r>
        <w:t xml:space="preserve">information (e.g. ostrich effect). Third, it appears that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anchored in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. This indicates that the conventional discounting</w:t>
      </w:r>
      <w:r>
        <w:t xml:space="preserve"> </w:t>
      </w:r>
      <w:r>
        <w:t xml:space="preserve">factor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 represent the initial attention weight assigned to each</w:t>
      </w:r>
      <w:r>
        <w:t xml:space="preserve"> </w:t>
      </w:r>
      <w:r>
        <w:t xml:space="preserve">period, and the psychological process of attention adjustment</w:t>
      </w:r>
      <w:r>
        <w:t xml:space="preserve"> </w:t>
      </w:r>
      <w:r>
        <w:t xml:space="preserve">(converting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) is costly. 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quantifies the cost of attention adjustment. Notably,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positive</w:t>
      </w:r>
      <w:r>
        <w:t xml:space="preserve"> </w:t>
      </w:r>
      <w:r>
        <w:t xml:space="preserve">for every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within the sequence.</w:t>
      </w:r>
    </w:p>
    <w:p>
      <w:pPr>
        <w:pStyle w:val="BodyText"/>
      </w:pPr>
      <w:r>
        <w:t xml:space="preserve">I provide two rationales for Equation (</w:t>
      </w:r>
      <w:r>
        <w:t xml:space="preserve">). The first is based</w:t>
      </w:r>
      <w:r>
        <w:t xml:space="preserve"> </w:t>
      </w:r>
      <w:r>
        <w:t xml:space="preserve">on rational inattention theories. The second is an axiomatic theory. I</w:t>
      </w:r>
      <w:r>
        <w:t xml:space="preserve"> </w:t>
      </w:r>
      <w:r>
        <w:t xml:space="preserve">present the first here and discuss the second in Subsection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necessary notations and definitions are described as follows. Let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a potential realization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and</w:t>
      </w:r>
      <w:r>
        <w:t xml:space="preserve"> </w:t>
      </w:r>
      <m:oMath>
        <m:r>
          <m:rPr>
            <m:sty m:val="p"/>
            <m:scr m:val="script"/>
          </m:rP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the support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i.e. the smallest set</w:t>
      </w:r>
      <w:r>
        <w:t xml:space="preserve"> </w:t>
      </w:r>
      <w:r>
        <w:t xml:space="preserve">containing any potentially realized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r>
          <m:rPr>
            <m:sty m:val="p"/>
            <m:scr m:val="script"/>
          </m:rP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⊆</m:t>
        </m:r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≥</m:t>
            </m:r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bSup>
      </m:oMath>
      <w:r>
        <w:t xml:space="preserve">. In each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the attention weight assigned to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decided by a weight</w:t>
      </w:r>
      <w:r>
        <w:t xml:space="preserve"> </w:t>
      </w:r>
      <w:r>
        <w:t xml:space="preserve">function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I follow Noor and Takeoka</w:t>
      </w:r>
      <w:r>
        <w:t xml:space="preserve"> </w:t>
      </w:r>
      <w:r>
        <w:t xml:space="preserve">(2022, 2023)</w:t>
      </w:r>
      <w:r>
        <w:t xml:space="preserve"> </w:t>
      </w:r>
      <w:r>
        <w:t xml:space="preserve">to define the process that generates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as</w:t>
      </w:r>
      <w:r>
        <w:t xml:space="preserve"> </w:t>
      </w:r>
      <w:r>
        <w:rPr>
          <w:iCs/>
          <w:i/>
        </w:rPr>
        <w:t xml:space="preserve">constrained optimal discounting</w:t>
      </w:r>
      <w:r>
        <w:t xml:space="preserve">. The key assumption of constrained</w:t>
      </w:r>
      <w:r>
        <w:t xml:space="preserve"> </w:t>
      </w:r>
      <w:r>
        <w:t xml:space="preserve">optimal discounting process is that, when evaluating a reward sequence,</w:t>
      </w:r>
      <w:r>
        <w:t xml:space="preserve"> </w:t>
      </w:r>
      <w:r>
        <w:t xml:space="preserve">the decision maker wants to find an allocation policy for attention</w:t>
      </w:r>
      <w:r>
        <w:t xml:space="preserve"> </w:t>
      </w:r>
      <w:r>
        <w:t xml:space="preserve">weights, in order to maximize the anticipatory utility that she can</w:t>
      </w:r>
      <w:r>
        <w:t xml:space="preserve"> </w:t>
      </w:r>
      <w:r>
        <w:t xml:space="preserve">obtain from the sequence. Nonetheless, this attention re-allocation</w:t>
      </w:r>
      <w:r>
        <w:t xml:space="preserve"> </w:t>
      </w:r>
      <w:r>
        <w:t xml:space="preserve">process triggers a cognitive cost. She needs to balance the benefit of</w:t>
      </w:r>
      <w:r>
        <w:t xml:space="preserve"> </w:t>
      </w:r>
      <w:r>
        <w:t xml:space="preserve">focusing on periods containing larger rewards and the cognitive cost of</w:t>
      </w:r>
      <w:r>
        <w:t xml:space="preserve"> </w:t>
      </w:r>
      <w:r>
        <w:t xml:space="preserve">shifting attention. The formal definition is given by Definition 1.</w:t>
      </w:r>
    </w:p>
    <w:p>
      <w:pPr>
        <w:pStyle w:val="BodyText"/>
      </w:pPr>
      <w:r>
        <w:rPr>
          <w:bCs/>
          <w:b/>
        </w:rPr>
        <w:t xml:space="preserve">Definition 1</w:t>
      </w:r>
      <w:r>
        <w:t xml:space="preserve">: Let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be the support of all possible weight</w:t>
      </w:r>
      <w:r>
        <w:t xml:space="preserve"> </w:t>
      </w:r>
      <w:r>
        <w:t xml:space="preserve">functions. Given a stochastic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the following</w:t>
      </w:r>
      <w:r>
        <w:t xml:space="preserve"> </w:t>
      </w:r>
      <w:r>
        <w:t xml:space="preserve">optimization problem is called the</w:t>
      </w:r>
      <w:r>
        <w:t xml:space="preserve"> </w:t>
      </w:r>
      <w:r>
        <w:rPr>
          <w:iCs/>
          <w:i/>
        </w:rPr>
        <w:t xml:space="preserve">constrained optimal discounting</w:t>
      </w:r>
      <w:r>
        <w:t xml:space="preserve"> </w:t>
      </w:r>
      <w:r>
        <w:t xml:space="preserve">problem for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w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W</m:t>
                    </m:r>
                  </m:lim>
                </m:limLow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w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rPr>
                    <m:sty m:val="p"/>
                  </m:rPr>
                  <m:t>.</m:t>
                </m:r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m</m:t>
                </m:r>
              </m:e>
            </m:mr>
            <m:mr>
              <m:e/>
              <m:e>
                <m:r>
                  <m:t>w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{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constant,</w:t>
      </w:r>
      <w:r>
        <w:t xml:space="preserve"> </w:t>
      </w:r>
      <m:oMath>
        <m:r>
          <m:t>C</m:t>
        </m:r>
        <m:r>
          <m:rPr>
            <m:sty m:val="p"/>
          </m:rPr>
          <m:t>: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</m:e>
            </m:d>
          </m:e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→</m:t>
        </m:r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&gt;</m:t>
            </m:r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information cost</w:t>
      </w:r>
      <w:r>
        <w:t xml:space="preserve"> </w:t>
      </w:r>
      <w:r>
        <w:t xml:space="preserve">function,</w:t>
      </w:r>
      <w:r>
        <w:t xml:space="preserve"> </w:t>
      </w:r>
      <m:oMath>
        <m:r>
          <m:rPr>
            <m:sty m:val="p"/>
          </m:rPr>
          <m:t>∂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C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w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. That is, the information cost is</w:t>
      </w:r>
      <w:r>
        <w:t xml:space="preserve"> </w:t>
      </w:r>
      <w:r>
        <w:t xml:space="preserve">increasing and convex in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In Definition 1, the cognitive cost of shifting attention is decided by</w:t>
      </w:r>
      <w:r>
        <w:t xml:space="preserve"> </w:t>
      </w:r>
      <w:r>
        <w:t xml:space="preserve">an information cost function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. This implies that the cognitive</w:t>
      </w:r>
      <w:r>
        <w:t xml:space="preserve"> </w:t>
      </w:r>
      <w:r>
        <w:t xml:space="preserve">cost is generated by focusing on certain reward information. A</w:t>
      </w:r>
      <w:r>
        <w:t xml:space="preserve"> </w:t>
      </w:r>
      <w:r>
        <w:t xml:space="preserve">well-known specification of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the Shannon cost function,</w:t>
      </w:r>
      <w:r>
        <w:t xml:space="preserve"> </w:t>
      </w:r>
      <w:r>
        <w:t xml:space="preserve">proposed by</w:t>
      </w:r>
      <w:r>
        <w:t xml:space="preserve"> </w:t>
      </w:r>
      <w:r>
        <w:t xml:space="preserve">Matějka and McKay (2015)</w:t>
      </w:r>
      <w:r>
        <w:t xml:space="preserve">. The Shannon cost function was</w:t>
      </w:r>
      <w:r>
        <w:t xml:space="preserve"> </w:t>
      </w:r>
      <w:r>
        <w:t xml:space="preserve">originally used to justify the multinominal logit model in discrete</w:t>
      </w:r>
      <w:r>
        <w:t xml:space="preserve"> </w:t>
      </w:r>
      <w:r>
        <w:t xml:space="preserve">choice analysis, and so far has been topical in rational inattention</w:t>
      </w:r>
      <w:r>
        <w:t xml:space="preserve"> </w:t>
      </w:r>
      <w:r>
        <w:t xml:space="preserve">literature. To construct this style of information cost function,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introduce three assumptions. The first is that</w:t>
      </w:r>
      <w:r>
        <w:t xml:space="preserve"> </w:t>
      </w:r>
      <w:r>
        <w:t xml:space="preserve">the sum of all weights is 1, i.e. </w:t>
      </w:r>
      <m:oMath>
        <m:r>
          <m:t>m</m:t>
        </m:r>
        <m:r>
          <m:rPr>
            <m:sty m:val="p"/>
          </m:rPr>
          <m:t>≡</m:t>
        </m:r>
        <m:r>
          <m:t>1</m:t>
        </m:r>
      </m:oMath>
      <w:r>
        <w:t xml:space="preserve">. The second is, before</w:t>
      </w:r>
      <w:r>
        <w:t xml:space="preserve"> </w:t>
      </w:r>
      <w:r>
        <w:t xml:space="preserve">acquiring any information, the decision maker establishes an initial</w:t>
      </w:r>
      <w:r>
        <w:t xml:space="preserve"> </w:t>
      </w:r>
      <w:r>
        <w:t xml:space="preserve">weight allocation for different attributes (outcomes), which remains</w:t>
      </w:r>
      <w:r>
        <w:t xml:space="preserve"> </w:t>
      </w:r>
      <w:r>
        <w:t xml:space="preserve">invariant across states. The weights are then updated in a manner</w:t>
      </w:r>
      <w:r>
        <w:t xml:space="preserve"> </w:t>
      </w:r>
      <w:r>
        <w:t xml:space="preserve">consistent with Bayes rule. In ADU setting, it means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 third assumption is,</w:t>
      </w:r>
      <w:r>
        <w:t xml:space="preserve"> </w:t>
      </w:r>
      <w:r>
        <w:t xml:space="preserve">the information cost is linear to the information gains, measured by</w:t>
      </w:r>
      <w:r>
        <w:t xml:space="preserve"> </w:t>
      </w:r>
      <w:r>
        <w:t xml:space="preserve">Shannon mutual information. That</w:t>
      </w:r>
      <w:r>
        <w:t xml:space="preserve"> </w:t>
      </w:r>
      <w:r>
        <w:t xml:space="preserve">is,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1"/>
            </m:naryPr>
            <m:sub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w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e>
                      <m:r>
                        <m:t>d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 parameter denoting unit cost of information</w:t>
      </w:r>
      <w:r>
        <w:t xml:space="preserve"> </w:t>
      </w:r>
      <w:r>
        <w:t xml:space="preserve">(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),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that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occurs. With</w:t>
      </w:r>
      <w:r>
        <w:t xml:space="preserve"> </w:t>
      </w:r>
      <w:r>
        <w:t xml:space="preserve">Shannon cost function, the constrained optimal discounting problem can</w:t>
      </w:r>
      <w:r>
        <w:t xml:space="preserve"> </w:t>
      </w:r>
      <w:r>
        <w:t xml:space="preserve">be easily solved by Lagrangian method, and the solution is the same as</w:t>
      </w:r>
      <w:r>
        <w:t xml:space="preserve"> </w:t>
      </w:r>
      <w:r>
        <w:t xml:space="preserve">Equation (</w:t>
      </w:r>
      <w:r>
        <w:t xml:space="preserve">).</w:t>
      </w:r>
      <w:r>
        <w:t xml:space="preserve"> </w:t>
      </w:r>
      <w:r>
        <w:rPr>
          <w:rStyle w:val="FootnoteReference"/>
        </w:rPr>
        <w:footnoteReference w:id="22"/>
      </w:r>
    </w:p>
    <w:bookmarkEnd w:id="23"/>
    <w:bookmarkStart w:id="31" w:name="implications-in-intertemporal-choic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Implications in Intertemporal Choice</w:t>
      </w:r>
    </w:p>
    <w:bookmarkStart w:id="25" w:name="Xe5888123cfd3c0414fe82c2c6266e5e18e7a169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ADU is generally consistent with</w:t>
      </w:r>
      <w:r>
        <w:t xml:space="preserve"> </w:t>
      </w:r>
      <w:r>
        <w:t xml:space="preserve">“</w:t>
      </w:r>
      <w:r>
        <w:t xml:space="preserve">hidden zero effect</w:t>
      </w:r>
      <w:r>
        <w:t xml:space="preserve">”</w:t>
      </w:r>
    </w:p>
    <w:p>
      <w:pPr>
        <w:pStyle w:val="FirstParagraph"/>
      </w:pPr>
      <w:r>
        <w:t xml:space="preserve">Suppose a decision maker faces a choice between a small sooner reward</w:t>
      </w:r>
      <w:r>
        <w:t xml:space="preserve"> </w:t>
      </w:r>
      <w:r>
        <w:t xml:space="preserve">(SS) and a larger later reward (LL). The hidden zero effect</w:t>
      </w:r>
      <w:r>
        <w:t xml:space="preserve"> </w:t>
      </w:r>
      <w:r>
        <w:t xml:space="preserve">(Magen, Dweck, and Gross 2008)</w:t>
      </w:r>
      <w:r>
        <w:t xml:space="preserve"> </w:t>
      </w:r>
      <w:r>
        <w:t xml:space="preserve">implies she should exhibit more patience if</w:t>
      </w:r>
      <w:r>
        <w:t xml:space="preserve"> </w:t>
      </w:r>
      <w:r>
        <w:t xml:space="preserve">both SS and LL are framed as sequences rather than being framed as</w:t>
      </w:r>
      <w:r>
        <w:t xml:space="preserve"> </w:t>
      </w:r>
      <w:r>
        <w:t xml:space="preserve">single-period rewards. For instance, consider SS</w:t>
      </w:r>
      <w:r>
        <w:rPr>
          <w:vertAlign w:val="subscript"/>
        </w:rPr>
        <w:t xml:space="preserve">0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£100</w:t>
      </w:r>
      <w:r>
        <w:t xml:space="preserve"> </w:t>
      </w:r>
      <w:r>
        <w:t xml:space="preserve">today</w:t>
      </w:r>
      <w:r>
        <w:t xml:space="preserve">”</w:t>
      </w:r>
      <w:r>
        <w:t xml:space="preserve">, and LL</w:t>
      </w:r>
      <w:r>
        <w:rPr>
          <w:vertAlign w:val="subscript"/>
        </w:rPr>
        <w:t xml:space="preserve">0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£120 in 6 months</w:t>
      </w:r>
      <w:r>
        <w:t xml:space="preserve">”</w:t>
      </w:r>
      <w:r>
        <w:t xml:space="preserve">. Suppose we also have</w:t>
      </w:r>
    </w:p>
    <w:p>
      <w:pPr>
        <w:pStyle w:val="BodyText"/>
      </w:pPr>
      <w:r>
        <w:t xml:space="preserve">SS</w:t>
      </w:r>
      <w:r>
        <w:rPr>
          <w:vertAlign w:val="subscript"/>
        </w:rPr>
        <w:t xml:space="preserve">1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£100 today and £0 in 6 months</w:t>
      </w:r>
      <w:r>
        <w:t xml:space="preserve">”</w:t>
      </w:r>
    </w:p>
    <w:p>
      <w:pPr>
        <w:pStyle w:val="BodyText"/>
      </w:pPr>
      <w:r>
        <w:t xml:space="preserve">LL</w:t>
      </w:r>
      <w:r>
        <w:rPr>
          <w:vertAlign w:val="subscript"/>
        </w:rPr>
        <w:t xml:space="preserve">1</w:t>
      </w:r>
      <w:r>
        <w:t xml:space="preserve">:</w:t>
      </w:r>
      <w:r>
        <w:t xml:space="preserve"> </w:t>
      </w:r>
      <w:r>
        <w:t xml:space="preserve">“</w:t>
      </w:r>
      <w:r>
        <w:t xml:space="preserve">receive £0 today and £120 in 6 months</w:t>
      </w:r>
      <w:r>
        <w:t xml:space="preserve">”</w:t>
      </w:r>
    </w:p>
    <w:p>
      <w:pPr>
        <w:pStyle w:val="BodyText"/>
      </w:pPr>
      <w:r>
        <w:t xml:space="preserve">The hidden zero effect suggests people may be more likely to prefer</w:t>
      </w:r>
      <w:r>
        <w:t xml:space="preserve"> </w:t>
      </w:r>
      <w:r>
        <w:t xml:space="preserve">LL</w:t>
      </w:r>
      <w:r>
        <w:rPr>
          <w:vertAlign w:val="subscript"/>
        </w:rPr>
        <w:t xml:space="preserve">1</w:t>
      </w:r>
      <w:r>
        <w:t xml:space="preserve"> </w:t>
      </w:r>
      <w:r>
        <w:t xml:space="preserve">over SS</w:t>
      </w:r>
      <w:r>
        <w:rPr>
          <w:vertAlign w:val="subscript"/>
        </w:rPr>
        <w:t xml:space="preserve">1</w:t>
      </w:r>
      <w:r>
        <w:t xml:space="preserve"> </w:t>
      </w:r>
      <w:r>
        <w:t xml:space="preserve">than preferring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over SS</w:t>
      </w:r>
      <w:r>
        <w:rPr>
          <w:vertAlign w:val="subscript"/>
        </w:rPr>
        <w:t xml:space="preserve">0</w:t>
      </w:r>
      <w:r>
        <w:t xml:space="preserve">. Subsequent research</w:t>
      </w:r>
      <w:r>
        <w:t xml:space="preserve"> </w:t>
      </w:r>
      <w:r>
        <w:t xml:space="preserve">(e.g.</w:t>
      </w:r>
      <w:r>
        <w:t xml:space="preserve"> </w:t>
      </w:r>
      <w:r>
        <w:t xml:space="preserve">Read, Olivola, and Hardisty (2017)</w:t>
      </w:r>
      <w:r>
        <w:t xml:space="preserve">) suggests the effect is asymmetric. That is,</w:t>
      </w:r>
      <w:r>
        <w:t xml:space="preserve"> </w:t>
      </w:r>
      <w:r>
        <w:t xml:space="preserve">shifting SS</w:t>
      </w:r>
      <w:r>
        <w:rPr>
          <w:vertAlign w:val="subscript"/>
        </w:rPr>
        <w:t xml:space="preserve">0</w:t>
      </w:r>
      <w:r>
        <w:t xml:space="preserve"> </w:t>
      </w:r>
      <w:r>
        <w:t xml:space="preserve">to SS</w:t>
      </w:r>
      <w:r>
        <w:rPr>
          <w:vertAlign w:val="subscript"/>
        </w:rPr>
        <w:t xml:space="preserve">1</w:t>
      </w:r>
      <w:r>
        <w:t xml:space="preserve"> </w:t>
      </w:r>
      <w:r>
        <w:t xml:space="preserve">and keeping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unchanged do increase</w:t>
      </w:r>
      <w:r>
        <w:t xml:space="preserve"> </w:t>
      </w:r>
      <w:r>
        <w:t xml:space="preserve">patience, whereas shifting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to LL</w:t>
      </w:r>
      <w:r>
        <w:rPr>
          <w:vertAlign w:val="subscript"/>
        </w:rPr>
        <w:t xml:space="preserve">1</w:t>
      </w:r>
      <w:r>
        <w:t xml:space="preserve"> </w:t>
      </w:r>
      <w:r>
        <w:t xml:space="preserve">and keeping SS</w:t>
      </w:r>
      <w:r>
        <w:rPr>
          <w:vertAlign w:val="subscript"/>
        </w:rPr>
        <w:t xml:space="preserve">0</w:t>
      </w:r>
      <w:r>
        <w:t xml:space="preserve"> </w:t>
      </w:r>
      <w:r>
        <w:t xml:space="preserve">unchanged</w:t>
      </w:r>
      <w:r>
        <w:t xml:space="preserve"> </w:t>
      </w:r>
      <w:r>
        <w:t xml:space="preserve">cannot increase patience. This is naturally compatible with attentional</w:t>
      </w:r>
      <w:r>
        <w:t xml:space="preserve"> </w:t>
      </w:r>
      <w:r>
        <w:t xml:space="preserve">discounted utility.</w:t>
      </w:r>
    </w:p>
    <w:p>
      <w:pPr>
        <w:pStyle w:val="BodyText"/>
      </w:pPr>
      <w:r>
        <w:t xml:space="preserve">To illustrate, imagine that the framing of sequence length can influence</w:t>
      </w:r>
      <w:r>
        <w:t xml:space="preserve"> </w:t>
      </w:r>
      <w:r>
        <w:t xml:space="preserve">how the decision maker may perceive it. For SS</w:t>
      </w:r>
      <w:r>
        <w:rPr>
          <w:vertAlign w:val="subscript"/>
        </w:rPr>
        <w:t xml:space="preserve">0</w:t>
      </w:r>
      <w:r>
        <w:t xml:space="preserve">, the decision maker</w:t>
      </w:r>
      <w:r>
        <w:t xml:space="preserve"> </w:t>
      </w:r>
      <w:r>
        <w:t xml:space="preserve">perceives the length of sequence as</w:t>
      </w:r>
      <w:r>
        <w:t xml:space="preserve"> </w:t>
      </w:r>
      <w:r>
        <w:t xml:space="preserve">“</w:t>
      </w:r>
      <w:r>
        <w:t xml:space="preserve">today</w:t>
      </w:r>
      <w:r>
        <w:t xml:space="preserve">”</w:t>
      </w:r>
      <w:r>
        <w:t xml:space="preserve">; for SS</w:t>
      </w:r>
      <w:r>
        <w:rPr>
          <w:vertAlign w:val="subscript"/>
        </w:rPr>
        <w:t xml:space="preserve">1</w:t>
      </w:r>
      <w:r>
        <w:t xml:space="preserve">, she perceives</w:t>
      </w:r>
      <w:r>
        <w:t xml:space="preserve"> </w:t>
      </w:r>
      <w:r>
        <w:t xml:space="preserve">the length as</w:t>
      </w:r>
      <w:r>
        <w:t xml:space="preserve"> </w:t>
      </w:r>
      <w:r>
        <w:t xml:space="preserve">“</w:t>
      </w:r>
      <w:r>
        <w:t xml:space="preserve">6 months</w:t>
      </w:r>
      <w:r>
        <w:t xml:space="preserve">”</w:t>
      </w:r>
      <w:r>
        <w:t xml:space="preserve">. In the former case, she can allocate no</w:t>
      </w:r>
      <w:r>
        <w:t xml:space="preserve"> </w:t>
      </w:r>
      <w:r>
        <w:t xml:space="preserve">attention to the future; while in the latter case, she needs to pay some</w:t>
      </w:r>
      <w:r>
        <w:t xml:space="preserve"> </w:t>
      </w:r>
      <w:r>
        <w:t xml:space="preserve">attention to future periods, which contain no reward. Thus, the</w:t>
      </w:r>
      <w:r>
        <w:t xml:space="preserve"> </w:t>
      </w:r>
      <w:r>
        <w:t xml:space="preserve">attention allocated to the current period decreases when shifting from</w:t>
      </w:r>
      <w:r>
        <w:t xml:space="preserve"> </w:t>
      </w:r>
      <w:r>
        <w:t xml:space="preserve">SS</w:t>
      </w:r>
      <w:r>
        <w:rPr>
          <w:vertAlign w:val="subscript"/>
        </w:rPr>
        <w:t xml:space="preserve">0</w:t>
      </w:r>
      <w:r>
        <w:t xml:space="preserve"> </w:t>
      </w:r>
      <w:r>
        <w:t xml:space="preserve">to SS</w:t>
      </w:r>
      <w:r>
        <w:rPr>
          <w:vertAlign w:val="subscript"/>
        </w:rPr>
        <w:t xml:space="preserve">1</w:t>
      </w:r>
      <w:r>
        <w:t xml:space="preserve"> </w:t>
      </w:r>
      <w:r>
        <w:t xml:space="preserve">(given total amount of attention is limited). This leads</w:t>
      </w:r>
      <w:r>
        <w:t xml:space="preserve"> </w:t>
      </w:r>
      <w:r>
        <w:t xml:space="preserve">to a decrease in the value of sequence. By contrast, shifting from LL</w:t>
      </w:r>
      <w:r>
        <w:rPr>
          <w:vertAlign w:val="subscript"/>
        </w:rPr>
        <w:t xml:space="preserve">0</w:t>
      </w:r>
      <w:r>
        <w:t xml:space="preserve"> </w:t>
      </w:r>
      <w:r>
        <w:t xml:space="preserve">to LL</w:t>
      </w:r>
      <w:r>
        <w:rPr>
          <w:vertAlign w:val="subscript"/>
        </w:rPr>
        <w:t xml:space="preserve">1</w:t>
      </w:r>
      <w:r>
        <w:t xml:space="preserve"> </w:t>
      </w:r>
      <w:r>
        <w:t xml:space="preserve">does not change the length of sequence, thus does not change</w:t>
      </w:r>
      <w:r>
        <w:t xml:space="preserve"> </w:t>
      </w:r>
      <w:r>
        <w:t xml:space="preserve">the value.</w:t>
      </w:r>
    </w:p>
    <w:p>
      <w:pPr>
        <w:pStyle w:val="BodyText"/>
      </w:pPr>
      <w:r>
        <w:t xml:space="preserve">One might wonder for a period with no reward, why the attention weight</w:t>
      </w:r>
      <w:r>
        <w:t xml:space="preserve"> </w:t>
      </w:r>
      <w:r>
        <w:t xml:space="preserve">may still be positive (</w:t>
      </w:r>
      <w:r>
        <w:t xml:space="preserve">“</w:t>
      </w:r>
      <w:r>
        <w:t xml:space="preserve">why should I pay attention to a period when</w:t>
      </w:r>
      <w:r>
        <w:t xml:space="preserve"> </w:t>
      </w:r>
      <w:r>
        <w:t xml:space="preserve">there is no reward present</w:t>
      </w:r>
      <w:r>
        <w:t xml:space="preserve">”</w:t>
      </w:r>
      <w:r>
        <w:t xml:space="preserve">). The hidden zero effect provides an</w:t>
      </w:r>
      <w:r>
        <w:t xml:space="preserve"> </w:t>
      </w:r>
      <w:r>
        <w:t xml:space="preserve">empirical reason. Additionally, from the theoretical view, attention</w:t>
      </w:r>
      <w:r>
        <w:t xml:space="preserve"> </w:t>
      </w:r>
      <w:r>
        <w:t xml:space="preserve">acts as a filter that determines which information could enter awareness</w:t>
      </w:r>
      <w:r>
        <w:t xml:space="preserve"> </w:t>
      </w:r>
      <w:r>
        <w:t xml:space="preserve">or working memory.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If the decision maker is aware about the</w:t>
      </w:r>
      <w:r>
        <w:t xml:space="preserve"> </w:t>
      </w:r>
      <w:r>
        <w:t xml:space="preserve">information that the reward for a certain period is zero, it implies</w:t>
      </w:r>
      <w:r>
        <w:t xml:space="preserve"> </w:t>
      </w:r>
      <w:r>
        <w:t xml:space="preserve">attention may have already been directed to that period.</w:t>
      </w:r>
    </w:p>
    <w:p>
      <w:pPr>
        <w:pStyle w:val="BodyText"/>
      </w:pPr>
      <w:r>
        <w:t xml:space="preserve">Hereafter, I focus on ADU with Shannon cost function (ADUS) and document</w:t>
      </w:r>
      <w:r>
        <w:t xml:space="preserve"> </w:t>
      </w:r>
      <w:r>
        <w:t xml:space="preserve">five implications of the ADUS model in intertemporal choice. Each of</w:t>
      </w:r>
      <w:r>
        <w:t xml:space="preserve"> </w:t>
      </w:r>
      <w:r>
        <w:t xml:space="preserve">them can be precisely proved.</w:t>
      </w:r>
    </w:p>
    <w:bookmarkEnd w:id="25"/>
    <w:bookmarkStart w:id="26" w:name="X8ede95b29039238e68587435c5dae0093b7a790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The requirement of magnitude effect on utility function can be relaxed under ADUS</w:t>
      </w:r>
    </w:p>
    <w:p>
      <w:pPr>
        <w:pStyle w:val="FirstParagraph"/>
      </w:pPr>
      <w:r>
        <w:t xml:space="preserve">In conventional discounted utility models, to make the magnitude effect</w:t>
      </w:r>
      <w:r>
        <w:t xml:space="preserve"> </w:t>
      </w:r>
      <w:r>
        <w:t xml:space="preserve">holds true, the elasticity of utility function needs to be increasing</w:t>
      </w:r>
      <w:r>
        <w:t xml:space="preserve"> </w:t>
      </w:r>
      <w:r>
        <w:t xml:space="preserve">with reward level</w:t>
      </w:r>
      <w:r>
        <w:t xml:space="preserve"> </w:t>
      </w:r>
      <w:r>
        <w:t xml:space="preserve">(Loewenstein and Prelec 1992)</w:t>
      </w:r>
      <w:r>
        <w:t xml:space="preserve">. This requirement might</w:t>
      </w:r>
      <w:r>
        <w:t xml:space="preserve"> </w:t>
      </w:r>
      <w:r>
        <w:t xml:space="preserve">be too strong so that many commonly used utility functions (such as</w:t>
      </w:r>
      <w:r>
        <w:t xml:space="preserve"> </w:t>
      </w:r>
      <w:r>
        <w:t xml:space="preserve">power and CARA utility functions) does not satisfy it. By contrast, note</w:t>
      </w:r>
      <w:r>
        <w:t xml:space="preserve"> </w:t>
      </w: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This implies</w:t>
      </w:r>
      <w:r>
        <w:t xml:space="preserve"> </w:t>
      </w:r>
      <w:r>
        <w:t xml:space="preserve">that when comparing SS and LL, the decision maker could exhibit more</w:t>
      </w:r>
      <w:r>
        <w:t xml:space="preserve"> </w:t>
      </w:r>
      <w:r>
        <w:t xml:space="preserve">patience toward larger reward levels, which relaxes the requirement for</w:t>
      </w:r>
      <w:r>
        <w:t xml:space="preserve"> </w:t>
      </w:r>
      <w:r>
        <w:t xml:space="preserve">the magnitude effect</w:t>
      </w:r>
      <w:r>
        <w:t xml:space="preserve"> </w:t>
      </w:r>
      <w:r>
        <w:t xml:space="preserve">(Noor 2011)</w:t>
      </w:r>
      <w:r>
        <w:t xml:space="preserve">.</w:t>
      </w:r>
    </w:p>
    <w:p>
      <w:pPr>
        <w:pStyle w:val="BodyText"/>
      </w:pPr>
      <w:r>
        <w:t xml:space="preserve">To illustrate how specifically ADUS relaxes this requirement, we should</w:t>
      </w:r>
      <w:r>
        <w:t xml:space="preserve"> </w:t>
      </w:r>
      <w:r>
        <w:t xml:space="preserve">derive how a delayed reward is valued in ADUS. Suppose the value of</w:t>
      </w:r>
      <w:r>
        <w:t xml:space="preserve"> </w:t>
      </w:r>
      <w:r>
        <w:t xml:space="preserve">“</w:t>
      </w:r>
      <w:r>
        <w:t xml:space="preserve">receive a certain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r>
          <m:t>T</m:t>
        </m:r>
      </m:oMath>
      <w:r>
        <w:t xml:space="preserve">”</w:t>
      </w:r>
      <w:r>
        <w:t xml:space="preserve"> </w:t>
      </w:r>
      <w:r>
        <w:t xml:space="preserve">is calculated 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Then assuming the initial attention weight is in</w:t>
      </w:r>
      <w:r>
        <w:t xml:space="preserve"> </w:t>
      </w:r>
      <w:r>
        <w:t xml:space="preserve">exponential style, that is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≡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≤</m:t>
        </m:r>
        <m:r>
          <m:t>1</m:t>
        </m:r>
      </m:oMath>
      <w:r>
        <w:t xml:space="preserve">), we</w:t>
      </w:r>
      <w:r>
        <w:t xml:space="preserve"> </w:t>
      </w:r>
      <w:r>
        <w:t xml:space="preserve">should have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It can be proved that, if Equation (</w:t>
      </w:r>
      <w:r>
        <w:t xml:space="preserve">) and (</w:t>
      </w:r>
      <w:r>
        <w:t xml:space="preserve">) are</w:t>
      </w:r>
      <w:r>
        <w:t xml:space="preserve"> </w:t>
      </w:r>
      <w:r>
        <w:t xml:space="preserve">both satisfied, for all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power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p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  <m:sup>
            <m:r>
              <m:t>γ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&lt;</m:t>
        </m:r>
        <m:r>
          <m:t>1</m:t>
        </m:r>
      </m:oMath>
      <w:r>
        <w:t xml:space="preserve">, satisfies the curvature</w:t>
      </w:r>
      <w:r>
        <w:t xml:space="preserve"> </w:t>
      </w:r>
      <w:r>
        <w:t xml:space="preserve">requirement for magnitude effect, and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greater than a</w:t>
      </w:r>
      <w:r>
        <w:t xml:space="preserve"> </w:t>
      </w:r>
      <w:r>
        <w:t xml:space="preserve">positive finite number, CRRA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γ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γ</m:t>
        </m:r>
        <m:r>
          <m:rPr>
            <m:sty m:val="p"/>
          </m:rPr>
          <m:t>&gt;</m:t>
        </m:r>
        <m:r>
          <m:t>0</m:t>
        </m:r>
      </m:oMath>
      <w:r>
        <w:t xml:space="preserve">, also satisfies it.</w:t>
      </w:r>
    </w:p>
    <w:bookmarkEnd w:id="26"/>
    <w:bookmarkStart w:id="27" w:name="Xf7b570665c9bf21ce0967d4ba0ef89feaa52c56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ADUS specifies a novel condition for common difference effect</w:t>
      </w:r>
    </w:p>
    <w:p>
      <w:pPr>
        <w:pStyle w:val="FirstParagraph"/>
      </w:pPr>
      <w:r>
        <w:t xml:space="preserve">According to the common difference effect</w:t>
      </w:r>
      <w:r>
        <w:t xml:space="preserve"> </w:t>
      </w:r>
      <w:r>
        <w:t xml:space="preserve">(Loewenstein and Prelec 1992)</w:t>
      </w:r>
      <w:r>
        <w:t xml:space="preserve">,</w:t>
      </w:r>
      <w:r>
        <w:t xml:space="preserve"> </w:t>
      </w:r>
      <w:r>
        <w:t xml:space="preserve">suppose a decision maker is indifferent between SS and LL, increasing</w:t>
      </w:r>
      <w:r>
        <w:t xml:space="preserve"> </w:t>
      </w:r>
      <w:r>
        <w:t xml:space="preserve">the time delay before receiving the reward in both options by a same</w:t>
      </w:r>
      <w:r>
        <w:t xml:space="preserve"> </w:t>
      </w:r>
      <w:r>
        <w:t xml:space="preserve">amount can lead the decision maker to prefer LL over SS.</w:t>
      </w:r>
    </w:p>
    <w:p>
      <w:pPr>
        <w:pStyle w:val="BodyText"/>
      </w:pPr>
      <w:r>
        <w:t xml:space="preserve">The ADU models provide an alternative account for common difference</w:t>
      </w:r>
      <w:r>
        <w:t xml:space="preserve"> </w:t>
      </w:r>
      <w:r>
        <w:t xml:space="preserve">effect. Given attention is limited, when the delay of reward is</w:t>
      </w:r>
      <w:r>
        <w:t xml:space="preserve"> </w:t>
      </w:r>
      <w:r>
        <w:t xml:space="preserve">extended, that is, we insert some periods with zero reward into the</w:t>
      </w:r>
      <w:r>
        <w:t xml:space="preserve"> </w:t>
      </w:r>
      <w:r>
        <w:t xml:space="preserve">existing sequence, these newly inserted periods will grab attention from</w:t>
      </w:r>
      <w:r>
        <w:t xml:space="preserve"> </w:t>
      </w:r>
      <w:r>
        <w:t xml:space="preserve">other periods. As people tend to attend more to periods with larger</w:t>
      </w:r>
      <w:r>
        <w:t xml:space="preserve"> </w:t>
      </w:r>
      <w:r>
        <w:t xml:space="preserve">rewards, the period when the reward is delivered in LL will experience</w:t>
      </w:r>
      <w:r>
        <w:t xml:space="preserve"> </w:t>
      </w:r>
      <w:r>
        <w:t xml:space="preserve">less attention being diverted compared to that in SS. This disparity in</w:t>
      </w:r>
      <w:r>
        <w:t xml:space="preserve"> </w:t>
      </w:r>
      <w:r>
        <w:t xml:space="preserve">attention weighing can lead to a preference for LL over SS.</w:t>
      </w:r>
    </w:p>
    <w:p>
      <w:pPr>
        <w:pStyle w:val="BodyText"/>
      </w:pPr>
      <w:r>
        <w:t xml:space="preserve">Regarding Shannon cost function, assuming initial time preference is</w:t>
      </w:r>
      <w:r>
        <w:t xml:space="preserve"> </w:t>
      </w:r>
      <w:r>
        <w:t xml:space="preserve">stationary, i.e. 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, we can derive from Equation</w:t>
      </w:r>
      <w:r>
        <w:t xml:space="preserve"> </w:t>
      </w:r>
      <w:r>
        <w:t xml:space="preserve">(</w:t>
      </w:r>
      <w:r>
        <w:t xml:space="preserve">) and (</w:t>
      </w:r>
      <w:r>
        <w:t xml:space="preserve">) the conditions for common difference</w:t>
      </w:r>
      <w:r>
        <w:t xml:space="preserve"> </w:t>
      </w:r>
      <w:r>
        <w:t xml:space="preserve">effect. Clearly, if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the attention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will follow a</w:t>
      </w:r>
      <w:r>
        <w:t xml:space="preserve"> </w:t>
      </w:r>
      <w:r>
        <w:t xml:space="preserve">hyperbolic style. In this case, the common difference effect will always</w:t>
      </w:r>
      <w:r>
        <w:t xml:space="preserve"> </w:t>
      </w:r>
      <w:r>
        <w:t xml:space="preserve">hold true.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, the ADUS specifies a novel condition for common</w:t>
      </w:r>
      <w:r>
        <w:t xml:space="preserve"> </w:t>
      </w:r>
      <w:r>
        <w:t xml:space="preserve">difference effect. To illustrate, suppose SS is</w:t>
      </w:r>
      <w:r>
        <w:t xml:space="preserve"> </w:t>
      </w:r>
      <w:r>
        <w:t xml:space="preserve">“</w:t>
      </w:r>
      <w:r>
        <w:t xml:space="preserve">receive a certain</w:t>
      </w:r>
      <w:r>
        <w:t xml:space="preserve"> </w:t>
      </w:r>
      <w:r>
        <w:t xml:space="preserve">reward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”</w:t>
      </w:r>
      <w:r>
        <w:t xml:space="preserve"> </w:t>
      </w:r>
      <w:r>
        <w:t xml:space="preserve">and LL is</w:t>
      </w:r>
      <w:r>
        <w:t xml:space="preserve"> </w:t>
      </w:r>
      <w:r>
        <w:t xml:space="preserve">“</w:t>
      </w:r>
      <w:r>
        <w:t xml:space="preserve">receive a certain reward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”</w:t>
      </w:r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To make the common</w:t>
      </w:r>
      <w:r>
        <w:t xml:space="preserve"> </w:t>
      </w:r>
      <w:r>
        <w:t xml:space="preserve">difference effect hold true, we need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−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f>
          <m:fPr>
            <m:type m:val="bar"/>
          </m:fPr>
          <m:num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l</m:t>
                    </m:r>
                  </m:sub>
                </m:sSub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s</m:t>
                    </m:r>
                  </m:sub>
                </m:sSub>
              </m:e>
            </m:d>
          </m:den>
        </m:f>
        <m:r>
          <m:rPr>
            <m:sty m:val="p"/>
          </m:rPr>
          <m:t>&gt;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e>
        </m:d>
        <m:r>
          <m:rPr>
            <m:sty m:val="p"/>
          </m:rPr>
          <m:t>ln</m:t>
        </m:r>
        <m:r>
          <m:t>δ</m:t>
        </m:r>
      </m:oMath>
      <w:r>
        <w:t xml:space="preserve">. That is,</w:t>
      </w:r>
      <w:r>
        <w:t xml:space="preserve"> </w:t>
      </w:r>
      <w:r>
        <w:t xml:space="preserve">when the decision maker is impatient, she performs the common difference</w:t>
      </w:r>
      <w:r>
        <w:t xml:space="preserve"> </w:t>
      </w:r>
      <w:r>
        <w:t xml:space="preserve">effect if and only if</w:t>
      </w:r>
      <w:r>
        <w:t xml:space="preserve"> </w:t>
      </w:r>
      <w:r>
        <w:rPr>
          <w:iCs/>
          <w:i/>
        </w:rPr>
        <w:t xml:space="preserve">the difference between SS and LL in reward level</w:t>
      </w:r>
      <w:r>
        <w:rPr>
          <w:iCs/>
          <w:i/>
        </w:rPr>
        <w:t xml:space="preserve"> </w:t>
      </w:r>
      <w:r>
        <w:rPr>
          <w:iCs/>
          <w:i/>
        </w:rPr>
        <w:t xml:space="preserve">is significantly larger than that in time delay</w:t>
      </w:r>
      <w:r>
        <w:t xml:space="preserve">.</w:t>
      </w:r>
    </w:p>
    <w:bookmarkEnd w:id="27"/>
    <w:bookmarkStart w:id="28" w:name="X749138a5d545669f1f7f4a83a168a111a58bf52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Discount function may be concave for the near future and convex for the far future</w:t>
      </w:r>
    </w:p>
    <w:p>
      <w:pPr>
        <w:pStyle w:val="FirstParagraph"/>
      </w:pPr>
      <w:r>
        <w:t xml:space="preserve">Most models of time discounting (e.g. hyperbolic and quasi-hyperbolic</w:t>
      </w:r>
      <w:r>
        <w:t xml:space="preserve"> </w:t>
      </w:r>
      <w:r>
        <w:t xml:space="preserve">discounting) assume a convex discount function. However, some studies</w:t>
      </w:r>
      <w:r>
        <w:t xml:space="preserve"> </w:t>
      </w:r>
      <w:r>
        <w:t xml:space="preserve">suggest the discount function may be concave for the near future and</w:t>
      </w:r>
      <w:r>
        <w:t xml:space="preserve"> </w:t>
      </w:r>
      <w:r>
        <w:t xml:space="preserve">convex for the far future</w:t>
      </w:r>
      <w:r>
        <w:t xml:space="preserve"> </w:t>
      </w:r>
      <w:r>
        <w:t xml:space="preserve">(Onay and Öncüler 2007; Takeuchi 2011; DeJarnette et al. 2020)</w:t>
      </w:r>
      <w:r>
        <w:t xml:space="preserve">. This property can</w:t>
      </w:r>
      <w:r>
        <w:t xml:space="preserve"> </w:t>
      </w:r>
      <w:r>
        <w:t xml:space="preserve">emerge in ADUS due to the attention weight following a logistic-like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produces this style of discount</w:t>
      </w:r>
      <w:r>
        <w:t xml:space="preserve"> </w:t>
      </w:r>
      <w:r>
        <w:t xml:space="preserve">function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greater than a positive finite number. This is</w:t>
      </w:r>
      <w:r>
        <w:t xml:space="preserve"> </w:t>
      </w:r>
      <w:r>
        <w:t xml:space="preserve">illustrated in Figure</w:t>
      </w:r>
      <w:r>
        <w:t xml:space="preserve"> </w:t>
      </w:r>
      <w:r>
        <w:t xml:space="preserve">(a).</w:t>
      </w:r>
    </w:p>
    <w:bookmarkEnd w:id="28"/>
    <w:bookmarkStart w:id="29" w:name="X974e27632a8f90ffa8d014cebbb63b30759f045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ADUS offers an alternative account for S-shaped value function</w:t>
      </w:r>
    </w:p>
    <w:p>
      <w:pPr>
        <w:pStyle w:val="FirstParagraph"/>
      </w:pPr>
      <w:r>
        <w:t xml:space="preserve">The S-shaped value function has been widely adopted by behavioral</w:t>
      </w:r>
      <w:r>
        <w:t xml:space="preserve"> </w:t>
      </w:r>
      <w:r>
        <w:t xml:space="preserve">economists. Some theories justifies it by reference-dependent utility</w:t>
      </w:r>
      <w:r>
        <w:t xml:space="preserve"> </w:t>
      </w:r>
      <w:r>
        <w:t xml:space="preserve">(Kahneman and Tversky 1979; Koszegi and Rabin 2006)</w:t>
      </w:r>
      <w:r>
        <w:t xml:space="preserve">, while some others by</w:t>
      </w:r>
      <w:r>
        <w:t xml:space="preserve"> </w:t>
      </w:r>
      <w:r>
        <w:t xml:space="preserve">efficient coding of numerical values</w:t>
      </w:r>
      <w:r>
        <w:t xml:space="preserve"> </w:t>
      </w:r>
      <w:r>
        <w:t xml:space="preserve">(Frydman and Jin 2021)</w:t>
      </w:r>
      <w:r>
        <w:t xml:space="preserve">. I offer</w:t>
      </w:r>
      <w:r>
        <w:t xml:space="preserve"> </w:t>
      </w:r>
      <w:r>
        <w:t xml:space="preserve">an account based on selective attention to sequential outcomes.</w:t>
      </w:r>
    </w:p>
    <w:p>
      <w:pPr>
        <w:pStyle w:val="BodyText"/>
      </w:pPr>
      <w:r>
        <w:t xml:space="preserve">Imagine that a decision maker faces a choice between two lotteries. At</w:t>
      </w:r>
      <w:r>
        <w:t xml:space="preserve"> </w:t>
      </w:r>
      <w:r>
        <w:t xml:space="preserve">the moment when the choice is made, she does not receive any money from</w:t>
      </w:r>
      <w:r>
        <w:t xml:space="preserve"> </w:t>
      </w:r>
      <w:r>
        <w:t xml:space="preserve">either option. Thus, she may perceive the outcome of each option as</w:t>
      </w:r>
      <w:r>
        <w:t xml:space="preserve"> </w:t>
      </w:r>
      <w:r>
        <w:t xml:space="preserve">something that will happen in the future. She allocates attention</w:t>
      </w:r>
      <w:r>
        <w:t xml:space="preserve"> </w:t>
      </w:r>
      <w:r>
        <w:t xml:space="preserve">between the current period, which offers no reward, and the future</w:t>
      </w:r>
      <w:r>
        <w:t xml:space="preserve"> </w:t>
      </w:r>
      <w:r>
        <w:t xml:space="preserve">period when she could receive the money. When the amount of money that</w:t>
      </w:r>
      <w:r>
        <w:t xml:space="preserve"> </w:t>
      </w:r>
      <w:r>
        <w:t xml:space="preserve">she could receive is increased, not just does its utility increases, but</w:t>
      </w:r>
      <w:r>
        <w:t xml:space="preserve"> </w:t>
      </w:r>
      <w:r>
        <w:t xml:space="preserve">her attention is more directed towards that particular period.</w:t>
      </w:r>
    </w:p>
    <w:p>
      <w:pPr>
        <w:pStyle w:val="BodyText"/>
      </w:pPr>
      <w:r>
        <w:t xml:space="preserve">Assuming the decision maker perceives the outcome will be realized in</w:t>
      </w:r>
      <w:r>
        <w:t xml:space="preserve"> </w:t>
      </w:r>
      <w:r>
        <w:t xml:space="preserve">period</w:t>
      </w:r>
      <w:r>
        <w:t xml:space="preserve"> </w:t>
      </w:r>
      <m:oMath>
        <m:r>
          <m:t>T</m:t>
        </m:r>
      </m:oMath>
      <w:r>
        <w:t xml:space="preserve">, and in a certain state, the option she chooses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We can use Equation (</w:t>
      </w:r>
      <w:r>
        <w:t xml:space="preserve">) to derive the value function,</w:t>
      </w:r>
      <w:r>
        <w:t xml:space="preserve"> </w:t>
      </w:r>
      <w:r>
        <w:t xml:space="preserve">i.e. 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Both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 attention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exhibit diminishing sensitivity to the reward outcome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However, when the reward is small enough, their product may be</w:t>
      </w:r>
      <w:r>
        <w:t xml:space="preserve"> </w:t>
      </w:r>
      <w:r>
        <w:t xml:space="preserve">convex . Notably, when the curvature of utility function satisfies a</w:t>
      </w:r>
      <w:r>
        <w:t xml:space="preserve"> </w:t>
      </w:r>
      <w:r>
        <w:t xml:space="preserve">certain condition, or the unit cost of information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small</w:t>
      </w:r>
      <w:r>
        <w:t xml:space="preserve"> </w:t>
      </w:r>
      <w:r>
        <w:t xml:space="preserve">enough, we can obverse a S-shaped value function. Figure</w:t>
      </w:r>
      <w:r>
        <w:t xml:space="preserve"> </w:t>
      </w:r>
      <w:r>
        <w:t xml:space="preserve">(b) illustrates this.</w:t>
      </w:r>
    </w:p>
    <w:bookmarkEnd w:id="29"/>
    <w:bookmarkStart w:id="30" w:name="X143f0781cc1f715714c8fe69baf7df610b9b204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Inattentive decision makers perform less inconsistent behaviors</w:t>
      </w:r>
    </w:p>
    <w:p>
      <w:pPr>
        <w:pStyle w:val="FirstParagraph"/>
      </w:pPr>
      <w:r>
        <w:t xml:space="preserve">Imagine that a decision maker faces a task of allocating consumption</w:t>
      </w:r>
      <w:r>
        <w:t xml:space="preserve"> </w:t>
      </w:r>
      <w:r>
        <w:t xml:space="preserve">budget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across multiple periods, and in each period, she makes a new</w:t>
      </w:r>
      <w:r>
        <w:t xml:space="preserve"> </w:t>
      </w:r>
      <w:r>
        <w:t xml:space="preserve">consumption plan to optimize her overall attentional discounted utility.</w:t>
      </w:r>
      <w:r>
        <w:t xml:space="preserve"> </w:t>
      </w:r>
      <w:r>
        <w:t xml:space="preserve">Suppose she starts in period 0, then the task can be formulated as the</w:t>
      </w:r>
      <w:r>
        <w:t xml:space="preserve"> </w:t>
      </w:r>
      <w:r>
        <w:t xml:space="preserve">following optimization problem: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lim>
          </m:limLow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⋅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  </m:t>
          </m:r>
          <m:r>
            <m:t>s</m:t>
          </m:r>
          <m:r>
            <m:rPr>
              <m:sty m:val="p"/>
            </m:rPr>
            <m:t>.</m:t>
          </m:r>
          <m:r>
            <m:t>t</m:t>
          </m:r>
          <m:r>
            <m:rPr>
              <m:sty m:val="p"/>
            </m:rPr>
            <m:t>.</m:t>
          </m:r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consumption in period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attention weight,</w:t>
      </w:r>
      <w:r>
        <w:t xml:space="preserve"> </w:t>
      </w:r>
      <w:r>
        <w:t xml:space="preserve">which is calculated with ADUS. I develop a numerical method to solve</w:t>
      </w:r>
      <w:r>
        <w:t xml:space="preserve"> </w:t>
      </w:r>
      <w:r>
        <w:t xml:space="preserve">this optimization problem.</w:t>
      </w:r>
    </w:p>
    <w:p>
      <w:pPr>
        <w:pStyle w:val="BodyText"/>
      </w:pPr>
      <w:r>
        <w:t xml:space="preserve">Previously, researchers often employ</w:t>
      </w:r>
      <w:r>
        <w:t xml:space="preserve"> </w:t>
      </w:r>
      <w:r>
        <w:t xml:space="preserve">“</w:t>
      </w:r>
      <w:r>
        <w:t xml:space="preserve">present bias</w:t>
      </w:r>
      <w:r>
        <w:t xml:space="preserve">”</w:t>
      </w:r>
      <w:r>
        <w:t xml:space="preserve"> </w:t>
      </w:r>
      <w:r>
        <w:t xml:space="preserve">(Laibson 1997)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naiveté</w:t>
      </w:r>
      <w:r>
        <w:t xml:space="preserve">”</w:t>
      </w:r>
      <w:r>
        <w:t xml:space="preserve"> </w:t>
      </w:r>
      <w:r>
        <w:t xml:space="preserve">(O’Donoghue and Rabin 1999)</w:t>
      </w:r>
      <w:r>
        <w:t xml:space="preserve"> </w:t>
      </w:r>
      <w:r>
        <w:t xml:space="preserve">to account</w:t>
      </w:r>
      <w:r>
        <w:t xml:space="preserve"> </w:t>
      </w:r>
      <w:r>
        <w:t xml:space="preserve">for the phenomenon of dynamic inconsistency in this context. I provide</w:t>
      </w:r>
      <w:r>
        <w:t xml:space="preserve"> </w:t>
      </w:r>
      <w:r>
        <w:t xml:space="preserve">an account based on attention weight updating.</w:t>
      </w:r>
    </w:p>
    <w:p>
      <w:pPr>
        <w:pStyle w:val="BodyText"/>
      </w:pPr>
      <w:r>
        <w:t xml:space="preserve">I categorize each decision maker into two types based on how they</w:t>
      </w:r>
      <w:r>
        <w:t xml:space="preserve"> </w:t>
      </w:r>
      <w:r>
        <w:t xml:space="preserve">process information in this task -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inattentive</w:t>
      </w:r>
      <w:r>
        <w:t xml:space="preserve">. A</w:t>
      </w:r>
      <w:r>
        <w:t xml:space="preserve"> </w:t>
      </w:r>
      <w:r>
        <w:t xml:space="preserve">decision maker is considered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to the decision task if, in</w:t>
      </w:r>
      <w:r>
        <w:t xml:space="preserve"> </w:t>
      </w:r>
      <w:r>
        <w:t xml:space="preserve">each period, she remembers the information, including anticipatory</w:t>
      </w:r>
      <w:r>
        <w:t xml:space="preserve"> </w:t>
      </w:r>
      <w:r>
        <w:t xml:space="preserve">utility, acquired in the last period and use it to update attention</w:t>
      </w:r>
      <w:r>
        <w:t xml:space="preserve"> </w:t>
      </w:r>
      <w:r>
        <w:t xml:space="preserve">weights. Otherwise, she is classified as</w:t>
      </w:r>
      <w:r>
        <w:t xml:space="preserve"> </w:t>
      </w:r>
      <w:r>
        <w:rPr>
          <w:iCs/>
          <w:i/>
        </w:rPr>
        <w:t xml:space="preserve">inattentive</w:t>
      </w:r>
      <w:r>
        <w:t xml:space="preserve">.</w:t>
      </w:r>
    </w:p>
    <w:p>
      <w:pPr>
        <w:pStyle w:val="BodyText"/>
      </w:pPr>
      <w:r>
        <w:t xml:space="preserve">Suppose in period 0, the decision maker’s initial attention weight is</w:t>
      </w:r>
      <w:r>
        <w:t xml:space="preserve"> </w:t>
      </w:r>
      <w:r>
        <w:t xml:space="preserve">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, where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. Given the decision maker</w:t>
      </w:r>
      <w:r>
        <w:t xml:space="preserve"> </w:t>
      </w:r>
      <w:r>
        <w:t xml:space="preserve">is impatient (</w:t>
      </w:r>
      <m:oMath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), she tends to consume more in earlier periods</w:t>
      </w:r>
      <w:r>
        <w:t xml:space="preserve"> </w:t>
      </w:r>
      <w:r>
        <w:t xml:space="preserve">within the planning horizon. Then in period 1, an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decision</w:t>
      </w:r>
      <w:r>
        <w:t xml:space="preserve"> </w:t>
      </w:r>
      <w:r>
        <w:t xml:space="preserve">maker may update her initial attention weight into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formed in</w:t>
      </w:r>
      <w:r>
        <w:t xml:space="preserve"> </w:t>
      </w:r>
      <w:r>
        <w:t xml:space="preserve">period 0, which is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r>
          <m:rPr>
            <m:sty m:val="p"/>
          </m:rPr>
          <m:t>exp</m:t>
        </m:r>
        <m:r>
          <m:rPr>
            <m:sty m:val="p"/>
          </m:rPr>
          <m:t>{</m:t>
        </m:r>
        <m:f>
          <m:fPr>
            <m:type m:val="bar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r>
              <m:t>λ</m:t>
            </m:r>
          </m:den>
        </m:f>
        <m:r>
          <m:rPr>
            <m:sty m:val="p"/>
          </m:rPr>
          <m:t>}</m:t>
        </m:r>
      </m:oMath>
      <w:r>
        <w:t xml:space="preserve">, and so on. Consequently, the</w:t>
      </w:r>
      <w:r>
        <w:t xml:space="preserve"> </w:t>
      </w:r>
      <w:r>
        <w:t xml:space="preserve">earlier periods, which originally has more planned consumption, will now</w:t>
      </w:r>
      <w:r>
        <w:t xml:space="preserve"> </w:t>
      </w:r>
      <w:r>
        <w:t xml:space="preserve">receive more (initial) attention weights than they did in the last</w:t>
      </w:r>
      <w:r>
        <w:t xml:space="preserve"> </w:t>
      </w:r>
      <w:r>
        <w:t xml:space="preserve">period. This leads to an increased preference for raising consumption</w:t>
      </w:r>
      <w:r>
        <w:t xml:space="preserve"> </w:t>
      </w:r>
      <w:r>
        <w:t xml:space="preserve">levels in such periods.</w:t>
      </w:r>
    </w:p>
    <w:p>
      <w:pPr>
        <w:pStyle w:val="BodyText"/>
      </w:pPr>
      <w:r>
        <w:t xml:space="preserve">By contrast, if the decision maker is</w:t>
      </w:r>
      <w:r>
        <w:t xml:space="preserve"> </w:t>
      </w:r>
      <w:r>
        <w:rPr>
          <w:iCs/>
          <w:i/>
        </w:rPr>
        <w:t xml:space="preserve">inattentive</w:t>
      </w:r>
      <w:r>
        <w:t xml:space="preserve">, that is, she does</w:t>
      </w:r>
      <w:r>
        <w:t xml:space="preserve"> </w:t>
      </w:r>
      <w:r>
        <w:t xml:space="preserve">not mind much about the task and always forgets the information acquired</w:t>
      </w:r>
      <w:r>
        <w:t xml:space="preserve"> </w:t>
      </w:r>
      <w:r>
        <w:t xml:space="preserve">in the last period, then in period 1 and any subsequent period, her</w:t>
      </w:r>
      <w:r>
        <w:t xml:space="preserve"> </w:t>
      </w:r>
      <w:r>
        <w:t xml:space="preserve">initial attention weight will keep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. Thus, she</w:t>
      </w:r>
      <w:r>
        <w:t xml:space="preserve"> </w:t>
      </w:r>
      <w:r>
        <w:t xml:space="preserve">could perform less inconsistent behaviors than the attentive decision</w:t>
      </w:r>
      <w:r>
        <w:t xml:space="preserve"> </w:t>
      </w:r>
      <w:r>
        <w:t xml:space="preserve">makers.</w:t>
      </w:r>
      <w:r>
        <w:t xml:space="preserve"> </w:t>
      </w:r>
      <w:r>
        <w:t xml:space="preserve"> </w:t>
      </w:r>
      <w:r>
        <w:t xml:space="preserve">offers an illustration for this</w:t>
      </w:r>
      <w:r>
        <w:t xml:space="preserve"> </w:t>
      </w:r>
      <w:r>
        <w:t xml:space="preserve">contrast. The contrast may shed light on why some nudges that reduce the</w:t>
      </w:r>
      <w:r>
        <w:t xml:space="preserve"> </w:t>
      </w:r>
      <w:r>
        <w:t xml:space="preserve">demand for attention commitment, such as a default choice, can improve</w:t>
      </w:r>
      <w:r>
        <w:t xml:space="preserve"> </w:t>
      </w:r>
      <w:r>
        <w:t xml:space="preserve">the consistency in choices.</w:t>
      </w:r>
    </w:p>
    <w:bookmarkEnd w:id="30"/>
    <w:bookmarkEnd w:id="31"/>
    <w:bookmarkStart w:id="32" w:name="axiomization-of-adu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Axiomization of ADUS</w:t>
      </w:r>
      <w:r>
        <w:t xml:space="preserve"> </w:t>
      </w:r>
    </w:p>
    <w:p>
      <w:pPr>
        <w:pStyle w:val="FirstParagraph"/>
      </w:pPr>
      <w:r>
        <w:t xml:space="preserve">In this subsection, I provide an axiomatic rationale for using Shannon</w:t>
      </w:r>
      <w:r>
        <w:t xml:space="preserve"> </w:t>
      </w:r>
      <w:r>
        <w:t xml:space="preserve">cost function in ADU. I firstly define the preference relation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that can be represented by ADU, then propose four axioms to</w:t>
      </w:r>
      <w:r>
        <w:t xml:space="preserve"> </w:t>
      </w:r>
      <w:r>
        <w:t xml:space="preserve">characterize the Shannon cost function.</w:t>
      </w:r>
    </w:p>
    <w:p>
      <w:pPr>
        <w:pStyle w:val="BodyText"/>
      </w:pPr>
      <w:r>
        <w:rPr>
          <w:bCs/>
          <w:b/>
        </w:rPr>
        <w:t xml:space="preserve">Definition 2</w:t>
      </w:r>
      <w:r>
        <w:t xml:space="preserve">: Preference relation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has an ADU</w:t>
      </w:r>
      <w:r>
        <w:t xml:space="preserve"> </w:t>
      </w:r>
      <w:r>
        <w:t xml:space="preserve">representation if and only if, for any stochastic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, 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≿</m:t>
          </m:r>
          <m:r>
            <m:t>X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r>
            <m:rPr>
              <m:sty m:val="p"/>
            </m:rPr>
            <m:t>⇔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sSub>
                <m:e>
                  <m:r>
                    <m:rPr>
                      <m:sty m:val="p"/>
                    </m:rPr>
                    <m:t>′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′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T</m:t>
                </m:r>
              </m:sup>
              <m:e>
                <m:r>
                  <m:t>w</m:t>
                </m:r>
              </m:e>
            </m:nary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sSub>
              <m:e>
                <m:r>
                  <m:rPr>
                    <m:sty m:val="p"/>
                  </m:rPr>
                  <m:t>′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′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′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sSub>
                  <m:e>
                    <m:r>
                      <m:rPr>
                        <m:sty m:val="p"/>
                      </m:rPr>
                      <m:t>′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T</m:t>
                </m:r>
                <m:r>
                  <m:rPr>
                    <m:sty m:val="p"/>
                  </m:rPr>
                  <m:t>′</m:t>
                </m:r>
              </m:sup>
              <m:e>
                <m:r>
                  <m:t>w</m:t>
                </m:r>
              </m:e>
            </m:nary>
          </m:e>
        </m:nary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are the potential realizations of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,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are the solutions to the constrained</w:t>
      </w:r>
      <w:r>
        <w:t xml:space="preserve"> </w:t>
      </w:r>
      <w:r>
        <w:t xml:space="preserve">optimal discounting problems for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Axiom 1</w:t>
      </w:r>
      <w:r>
        <w:t xml:space="preserve">: (</w:t>
      </w:r>
      <w:r>
        <w:rPr>
          <w:iCs/>
          <w:i/>
        </w:rPr>
        <w:t xml:space="preserve">state independence</w:t>
      </w:r>
      <w:r>
        <w:t xml:space="preserve">) For any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≻</m:t>
        </m:r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implies</w:t>
      </w:r>
      <w:r>
        <w:t xml:space="preserve"> </w:t>
      </w:r>
      <m:oMath>
        <m:r>
          <m:t>α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  <m:r>
          <m:rPr>
            <m:sty m:val="p"/>
          </m:rPr>
          <m:t>≻</m:t>
        </m:r>
        <m:r>
          <m:t>α</m:t>
        </m:r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Axiom 1 implies that the determination of attention weights in one</w:t>
      </w:r>
      <w:r>
        <w:t xml:space="preserve"> </w:t>
      </w:r>
      <w:r>
        <w:t xml:space="preserve">potential realization of reward sequence will not interfere that in</w:t>
      </w:r>
      <w:r>
        <w:t xml:space="preserve"> </w:t>
      </w:r>
      <w:r>
        <w:t xml:space="preserve">another. If Axiom 1 is satisfied, each state in the constrained optimal</w:t>
      </w:r>
      <w:r>
        <w:t xml:space="preserve"> </w:t>
      </w:r>
      <w:r>
        <w:t xml:space="preserve">discounting problem has an independent solution.</w:t>
      </w:r>
    </w:p>
    <w:p>
      <w:pPr>
        <w:pStyle w:val="BodyText"/>
      </w:pPr>
      <w:r>
        <w:rPr>
          <w:bCs/>
          <w:b/>
        </w:rPr>
        <w:t xml:space="preserve">Axiom 2</w:t>
      </w:r>
      <w:r>
        <w:t xml:space="preserve">:</w:t>
      </w:r>
      <w:r>
        <w:t xml:space="preserve"> </w:t>
      </w:r>
      <w:r>
        <w:rPr>
          <w:iCs/>
          <w:i/>
        </w:rPr>
        <w:t xml:space="preserve">(sequential outcome betweenness)</w:t>
      </w:r>
      <w:r>
        <w:t xml:space="preserve"> </w:t>
      </w:r>
      <w:r>
        <w:t xml:space="preserve">For any non-negative</w:t>
      </w:r>
      <w:r>
        <w:t xml:space="preserve"> </w:t>
      </w:r>
      <w:r>
        <w:t xml:space="preserve">real number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deterministic reward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let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b</m:t>
        </m:r>
      </m:oMath>
      <w:r>
        <w:t xml:space="preserve"> </w:t>
      </w:r>
      <w:r>
        <w:t xml:space="preserve">denote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there always exists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such</w:t>
      </w:r>
      <w:r>
        <w:t xml:space="preserve"> </w:t>
      </w:r>
      <w:r>
        <w:t xml:space="preserve">that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∼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b</m:t>
        </m:r>
      </m:oMath>
      <w:r>
        <w:t xml:space="preserve">.</w:t>
      </w:r>
    </w:p>
    <w:p>
      <w:pPr>
        <w:pStyle w:val="BodyText"/>
      </w:pPr>
      <w:r>
        <w:t xml:space="preserve">Axiom 2 implies that if we add a new element to a given sequence, the</w:t>
      </w:r>
      <w:r>
        <w:t xml:space="preserve"> </w:t>
      </w:r>
      <w:r>
        <w:t xml:space="preserve">value of the new sequence will lies between the value of the original</w:t>
      </w:r>
      <w:r>
        <w:t xml:space="preserve"> </w:t>
      </w:r>
      <w:r>
        <w:t xml:space="preserve">sequence and the utility of the newly added element. The evidence of</w:t>
      </w:r>
      <w:r>
        <w:t xml:space="preserve"> </w:t>
      </w:r>
      <w:r>
        <w:t xml:space="preserve">“</w:t>
      </w:r>
      <w:r>
        <w:t xml:space="preserve">violation of dominance</w:t>
      </w:r>
      <w:r>
        <w:t xml:space="preserve">”</w:t>
      </w:r>
      <w:r>
        <w:t xml:space="preserve"> </w:t>
      </w:r>
      <w:r>
        <w:t xml:space="preserve">(Scholten and Read 2014)</w:t>
      </w:r>
      <w:r>
        <w:t xml:space="preserve"> </w:t>
      </w:r>
      <w:r>
        <w:t xml:space="preserve">may provide support for</w:t>
      </w:r>
      <w:r>
        <w:t xml:space="preserve"> </w:t>
      </w:r>
      <w:r>
        <w:t xml:space="preserve">this axiom.</w:t>
      </w:r>
    </w:p>
    <w:p>
      <w:pPr>
        <w:pStyle w:val="BodyText"/>
      </w:pPr>
      <w:r>
        <w:rPr>
          <w:bCs/>
          <w:b/>
        </w:rPr>
        <w:t xml:space="preserve">Axiom 3</w:t>
      </w:r>
      <w:r>
        <w:t xml:space="preserve">: (</w:t>
      </w:r>
      <w:r>
        <w:rPr>
          <w:iCs/>
          <w:i/>
        </w:rPr>
        <w:t xml:space="preserve">sequential</w:t>
      </w:r>
      <w:r>
        <w:t xml:space="preserve"> </w:t>
      </w:r>
      <w:r>
        <w:rPr>
          <w:iCs/>
          <w:i/>
        </w:rPr>
        <w:t xml:space="preserve">bracket independence</w:t>
      </w:r>
      <w:r>
        <w:t xml:space="preserve">) For any non-negative</w:t>
      </w:r>
      <w:r>
        <w:t xml:space="preserve"> </w:t>
      </w:r>
      <w:r>
        <w:t xml:space="preserve">real number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 deterministic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if there exist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&gt;</m:t>
            </m:r>
            <m:r>
              <m:t>0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b</m:t>
          </m:r>
          <m:r>
            <m:t>c</m:t>
          </m:r>
          <m:r>
            <m:rPr>
              <m:sty m:val="p"/>
            </m:rPr>
            <m:t>∼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b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3</m:t>
              </m:r>
            </m:sub>
          </m:sSub>
          <m:r>
            <m:t>c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b</m:t>
          </m:r>
          <m:r>
            <m:t>c</m:t>
          </m:r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denotes a sequence with immediate reward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period-1</w:t>
      </w:r>
      <w:r>
        <w:t xml:space="preserve"> </w:t>
      </w:r>
      <w:r>
        <w:t xml:space="preserve">reward</w:t>
      </w:r>
      <w:r>
        <w:t xml:space="preserve"> </w:t>
      </w:r>
      <m:oMath>
        <m:r>
          <m:t>c</m:t>
        </m:r>
      </m:oMath>
      <w:r>
        <w:t xml:space="preserve">, then we must have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Axiom 3 implies that if we segment a given sequence into different</w:t>
      </w:r>
      <w:r>
        <w:t xml:space="preserve"> </w:t>
      </w:r>
      <w:r>
        <w:t xml:space="preserve">elements, and find that the value of a linear combination of these</w:t>
      </w:r>
      <w:r>
        <w:t xml:space="preserve"> </w:t>
      </w:r>
      <w:r>
        <w:t xml:space="preserve">elements is equivalent to the value of the overall sequence, then in</w:t>
      </w:r>
      <w:r>
        <w:t xml:space="preserve"> </w:t>
      </w:r>
      <w:r>
        <w:t xml:space="preserve">this linear combination, the weight for any specific element can hold</w:t>
      </w:r>
      <w:r>
        <w:t xml:space="preserve"> </w:t>
      </w:r>
      <w:r>
        <w:t xml:space="preserve">constant no matter how we segment or bracket the other elements.</w:t>
      </w:r>
    </w:p>
    <w:p>
      <w:pPr>
        <w:pStyle w:val="BodyText"/>
      </w:pPr>
      <w:r>
        <w:rPr>
          <w:bCs/>
          <w:b/>
        </w:rPr>
        <w:t xml:space="preserve">Axiom 4</w:t>
      </w:r>
      <w:r>
        <w:t xml:space="preserve">: (</w:t>
      </w:r>
      <w:r>
        <w:rPr>
          <w:iCs/>
          <w:i/>
        </w:rPr>
        <w:t xml:space="preserve">aggregate invariance of constant sequences</w:t>
      </w:r>
      <w:r>
        <w:t xml:space="preserve">) For any</w:t>
      </w:r>
      <w:r>
        <w:t xml:space="preserve"> </w:t>
      </w:r>
      <w:r>
        <w:t xml:space="preserve">deterministic sequences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, given non-negative real number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if</w:t>
      </w:r>
      <w:r>
        <w:t xml:space="preserve"> </w:t>
      </w:r>
      <m:oMath>
        <m:r>
          <m:t>α</m:t>
        </m:r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  <m:r>
          <m:rPr>
            <m:sty m:val="p"/>
          </m:rPr>
          <m:t>′</m:t>
        </m:r>
        <m:r>
          <m:rPr>
            <m:sty m:val="p"/>
          </m:rPr>
          <m:t>≻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</m:oMath>
      <w:r>
        <w:t xml:space="preserve"> </w:t>
      </w:r>
      <w:r>
        <w:t xml:space="preserve">holds for every</w:t>
      </w:r>
      <w:r>
        <w:t xml:space="preserve"> </w:t>
      </w:r>
      <w:r>
        <w:t xml:space="preserve">period</w:t>
      </w:r>
      <w:r>
        <w:t xml:space="preserve"> </w:t>
      </w:r>
      <m:oMath>
        <m:r>
          <m:t>t</m:t>
        </m:r>
      </m:oMath>
      <w:r>
        <w:t xml:space="preserve">, then</w:t>
      </w:r>
      <w:r>
        <w:t xml:space="preserve"> </w:t>
      </w:r>
      <m:oMath>
        <m:r>
          <m:t>α</m:t>
        </m:r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  <m:r>
          <m:rPr>
            <m:sty m:val="p"/>
          </m:rPr>
          <m:t>′</m:t>
        </m:r>
        <m:r>
          <m:rPr>
            <m:sty m:val="p"/>
          </m:rPr>
          <m:t>≻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</m:oMath>
      <w:r>
        <w:t xml:space="preserve">.</w:t>
      </w:r>
    </w:p>
    <w:p>
      <w:pPr>
        <w:pStyle w:val="BodyText"/>
      </w:pPr>
      <w:r>
        <w:t xml:space="preserve">Axiom 4 implies that in a given sequence, if the utility of every</w:t>
      </w:r>
      <w:r>
        <w:t xml:space="preserve"> </w:t>
      </w:r>
      <w:r>
        <w:t xml:space="preserve">element plus an equal amount, then the overall utility of the sequence</w:t>
      </w:r>
      <w:r>
        <w:t xml:space="preserve"> </w:t>
      </w:r>
      <w:r>
        <w:t xml:space="preserve">should plus the same amount. Note in conventional discounted utility</w:t>
      </w:r>
      <w:r>
        <w:t xml:space="preserve"> </w:t>
      </w:r>
      <w:r>
        <w:t xml:space="preserve">models, sequences are typically assumed to be separable from each other.</w:t>
      </w:r>
      <w:r>
        <w:t xml:space="preserve"> </w:t>
      </w:r>
      <w:r>
        <w:t xml:space="preserve">In that case, any sequence can be</w:t>
      </w:r>
      <w:r>
        <w:t xml:space="preserve"> </w:t>
      </w:r>
      <w:r>
        <w:rPr>
          <w:iCs/>
          <w:i/>
        </w:rPr>
        <w:t xml:space="preserve">aggregate invariant</w:t>
      </w:r>
      <w:r>
        <w:t xml:space="preserve">. Thus, Axiom 4</w:t>
      </w:r>
      <w:r>
        <w:t xml:space="preserve"> </w:t>
      </w:r>
      <w:r>
        <w:t xml:space="preserve">can be viewed as a weaker version of</w:t>
      </w:r>
      <w:r>
        <w:t xml:space="preserve"> </w:t>
      </w:r>
      <w:r>
        <w:t xml:space="preserve">“</w:t>
      </w:r>
      <w:r>
        <w:t xml:space="preserve">separability of sequences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Theorem 1</w:t>
      </w:r>
      <w:r>
        <w:t xml:space="preserve">: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has an ADUS representation if and only if it</w:t>
      </w:r>
      <w:r>
        <w:t xml:space="preserve"> </w:t>
      </w:r>
      <w:r>
        <w:t xml:space="preserve">has an ADU representation and satisfies Axiom 1-4.</w:t>
      </w:r>
    </w:p>
    <w:bookmarkEnd w:id="32"/>
    <w:bookmarkStart w:id="33" w:name="empirical-analysi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Empirical Analysis</w:t>
      </w:r>
    </w:p>
    <w:bookmarkEnd w:id="33"/>
    <w:bookmarkEnd w:id="34"/>
    <w:bookmarkStart w:id="35" w:name="X89734d35a6e934f1851ce7ef620a26b9c67ef4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Experimental Tests of Attention over Sequential Outcomes</w:t>
      </w:r>
    </w:p>
    <w:bookmarkEnd w:id="35"/>
    <w:bookmarkStart w:id="36" w:name="valuation-of-risk-and-effor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Valuation of Risk and Effort</w:t>
      </w:r>
    </w:p>
    <w:bookmarkEnd w:id="36"/>
    <w:bookmarkStart w:id="37" w:name="time-schedu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Time Schedule</w:t>
      </w:r>
    </w:p>
    <w:bookmarkEnd w:id="37"/>
    <w:bookmarkStart w:id="74" w:name="reference"/>
    <w:p>
      <w:pPr>
        <w:pStyle w:val="Heading1"/>
      </w:pPr>
      <w:r>
        <w:t xml:space="preserve">Reference</w:t>
      </w:r>
    </w:p>
    <w:bookmarkStart w:id="73" w:name="refs"/>
    <w:bookmarkStart w:id="39" w:name="ref-broadbent_perception_1958"/>
    <w:p>
      <w:pPr>
        <w:pStyle w:val="Bibliography"/>
      </w:pPr>
      <w:r>
        <w:t xml:space="preserve">Broadbent, D. E. 1958.</w:t>
      </w:r>
      <w:r>
        <w:t xml:space="preserve"> </w:t>
      </w:r>
      <w:r>
        <w:rPr>
          <w:iCs/>
          <w:i/>
        </w:rPr>
        <w:t xml:space="preserve">Perception and Communication.</w:t>
      </w:r>
      <w:r>
        <w:t xml:space="preserve"> Elmsford: Pergamon Press.</w:t>
      </w:r>
      <w:r>
        <w:t xml:space="preserve"> </w:t>
      </w:r>
      <w:hyperlink r:id="rId38">
        <w:r>
          <w:rPr>
            <w:rStyle w:val="Hyperlink"/>
          </w:rPr>
          <w:t xml:space="preserve">https://doi.org/10.1037/10037-000</w:t>
        </w:r>
      </w:hyperlink>
      <w:r>
        <w:t xml:space="preserve">.</w:t>
      </w:r>
    </w:p>
    <w:bookmarkEnd w:id="39"/>
    <w:bookmarkStart w:id="41" w:name="ref-dejarnette_time_2020"/>
    <w:p>
      <w:pPr>
        <w:pStyle w:val="Bibliography"/>
      </w:pPr>
      <w:r>
        <w:t xml:space="preserve">DeJarnette, Patrick, David Dillenberger, Daniel Gottlieb, and Pietro Ortoleva. 2020.</w:t>
      </w:r>
      <w:r>
        <w:t xml:space="preserve"> </w:t>
      </w:r>
      <w:r>
        <w:t xml:space="preserve">“Time</w:t>
      </w:r>
      <w:r>
        <w:t xml:space="preserve"> </w:t>
      </w:r>
      <w:r>
        <w:t xml:space="preserve">Lotteries</w:t>
      </w:r>
      <w:r>
        <w:t xml:space="preserve"> </w:t>
      </w:r>
      <w:r>
        <w:t xml:space="preserve">and</w:t>
      </w:r>
      <w:r>
        <w:t xml:space="preserve"> </w:t>
      </w:r>
      <w:r>
        <w:t xml:space="preserve">Stochastic</w:t>
      </w:r>
      <w:r>
        <w:t xml:space="preserve"> </w:t>
      </w:r>
      <w:r>
        <w:t xml:space="preserve">Impatience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88 (2): 619–56.</w:t>
      </w:r>
      <w:r>
        <w:t xml:space="preserve"> </w:t>
      </w:r>
      <w:hyperlink r:id="rId40">
        <w:r>
          <w:rPr>
            <w:rStyle w:val="Hyperlink"/>
          </w:rPr>
          <w:t xml:space="preserve">https://doi.org/10.3982/ECTA16427</w:t>
        </w:r>
      </w:hyperlink>
      <w:r>
        <w:t xml:space="preserve">.</w:t>
      </w:r>
    </w:p>
    <w:bookmarkEnd w:id="41"/>
    <w:bookmarkStart w:id="43" w:name="ref-frydman_efficient_2021"/>
    <w:p>
      <w:pPr>
        <w:pStyle w:val="Bibliography"/>
      </w:pPr>
      <w:r>
        <w:t xml:space="preserve">Frydman, Cary, and Lawrence J Jin. 2021.</w:t>
      </w:r>
      <w:r>
        <w:t xml:space="preserve"> </w:t>
      </w:r>
      <w:r>
        <w:t xml:space="preserve">“Efficient</w:t>
      </w:r>
      <w:r>
        <w:t xml:space="preserve"> </w:t>
      </w:r>
      <w:r>
        <w:t xml:space="preserve">Coding</w:t>
      </w:r>
      <w:r>
        <w:t xml:space="preserve"> </w:t>
      </w:r>
      <w:r>
        <w:t xml:space="preserve">and</w:t>
      </w:r>
      <w:r>
        <w:t xml:space="preserve"> </w:t>
      </w:r>
      <w:r>
        <w:t xml:space="preserve">Risky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137 (1): 161–213.</w:t>
      </w:r>
      <w:r>
        <w:t xml:space="preserve"> </w:t>
      </w:r>
      <w:hyperlink r:id="rId42">
        <w:r>
          <w:rPr>
            <w:rStyle w:val="Hyperlink"/>
          </w:rPr>
          <w:t xml:space="preserve">https://doi.org/10.1093/qje/qjab031</w:t>
        </w:r>
      </w:hyperlink>
      <w:r>
        <w:t xml:space="preserve">.</w:t>
      </w:r>
    </w:p>
    <w:bookmarkEnd w:id="43"/>
    <w:bookmarkStart w:id="45" w:name="ref-gershman_rationally_2020"/>
    <w:p>
      <w:pPr>
        <w:pStyle w:val="Bibliography"/>
      </w:pPr>
      <w:r>
        <w:t xml:space="preserve">Gershman, Samuel J., and Rahul Bhui. 2020.</w:t>
      </w:r>
      <w:r>
        <w:t xml:space="preserve"> </w:t>
      </w:r>
      <w:r>
        <w:t xml:space="preserve">“Rationally Inattentive Intertemporal Choice.”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(1): 3365.</w:t>
      </w:r>
      <w:r>
        <w:t xml:space="preserve"> </w:t>
      </w:r>
      <w:hyperlink r:id="rId44">
        <w:r>
          <w:rPr>
            <w:rStyle w:val="Hyperlink"/>
          </w:rPr>
          <w:t xml:space="preserve">https://doi.org/10.1038/s41467-020-16852-y</w:t>
        </w:r>
      </w:hyperlink>
      <w:r>
        <w:t xml:space="preserve">.</w:t>
      </w:r>
    </w:p>
    <w:bookmarkEnd w:id="45"/>
    <w:bookmarkStart w:id="47" w:name="ref-kahneman_prospect_1979"/>
    <w:p>
      <w:pPr>
        <w:pStyle w:val="Bibliography"/>
      </w:pPr>
      <w:r>
        <w:t xml:space="preserve">Kahneman, Daniel, and Amos Tversky. 1979.</w:t>
      </w:r>
      <w:r>
        <w:t xml:space="preserve"> </w:t>
      </w:r>
      <w:r>
        <w:t xml:space="preserve">“Prospect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Decision</w:t>
      </w:r>
      <w:r>
        <w:t xml:space="preserve"> </w:t>
      </w:r>
      <w:r>
        <w:t xml:space="preserve">Under</w:t>
      </w:r>
      <w:r>
        <w:t xml:space="preserve"> </w:t>
      </w:r>
      <w:r>
        <w:t xml:space="preserve">Risk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47 (2): 263.</w:t>
      </w:r>
      <w:r>
        <w:t xml:space="preserve"> </w:t>
      </w:r>
      <w:hyperlink r:id="rId46">
        <w:r>
          <w:rPr>
            <w:rStyle w:val="Hyperlink"/>
          </w:rPr>
          <w:t xml:space="preserve">https://doi.org/10.2307/1914185</w:t>
        </w:r>
      </w:hyperlink>
      <w:r>
        <w:t xml:space="preserve">.</w:t>
      </w:r>
    </w:p>
    <w:bookmarkEnd w:id="47"/>
    <w:bookmarkStart w:id="49" w:name="ref-koszegi_model_2006"/>
    <w:p>
      <w:pPr>
        <w:pStyle w:val="Bibliography"/>
      </w:pPr>
      <w:r>
        <w:t xml:space="preserve">Koszegi, B., and M. Rabin. 2006.</w:t>
      </w:r>
      <w:r>
        <w:t xml:space="preserve"> </w:t>
      </w:r>
      <w:r>
        <w:t xml:space="preserve">“A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Reference</w:t>
      </w:r>
      <w:r>
        <w:t xml:space="preserve">-</w:t>
      </w:r>
      <w:r>
        <w:t xml:space="preserve">Dependent</w:t>
      </w:r>
      <w:r>
        <w:t xml:space="preserve"> </w:t>
      </w:r>
      <w:r>
        <w:t xml:space="preserve">Preferences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121 (4): 1133–65.</w:t>
      </w:r>
      <w:r>
        <w:t xml:space="preserve"> </w:t>
      </w:r>
      <w:hyperlink r:id="rId48">
        <w:r>
          <w:rPr>
            <w:rStyle w:val="Hyperlink"/>
          </w:rPr>
          <w:t xml:space="preserve">https://doi.org/10.1093/qje/121.4.1133</w:t>
        </w:r>
      </w:hyperlink>
      <w:r>
        <w:t xml:space="preserve">.</w:t>
      </w:r>
    </w:p>
    <w:bookmarkEnd w:id="49"/>
    <w:bookmarkStart w:id="51" w:name="ref-laibson_golden_1997"/>
    <w:p>
      <w:pPr>
        <w:pStyle w:val="Bibliography"/>
      </w:pPr>
      <w:r>
        <w:t xml:space="preserve">Laibson, D. 1997.</w:t>
      </w:r>
      <w:r>
        <w:t xml:space="preserve"> </w:t>
      </w:r>
      <w:r>
        <w:t xml:space="preserve">“Golden</w:t>
      </w:r>
      <w:r>
        <w:t xml:space="preserve"> </w:t>
      </w:r>
      <w:r>
        <w:t xml:space="preserve">Eggs</w:t>
      </w:r>
      <w:r>
        <w:t xml:space="preserve"> </w:t>
      </w:r>
      <w:r>
        <w:t xml:space="preserve">and</w:t>
      </w:r>
      <w:r>
        <w:t xml:space="preserve"> </w:t>
      </w:r>
      <w:r>
        <w:t xml:space="preserve">Hyperbolic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112 (2): 443–78.</w:t>
      </w:r>
      <w:r>
        <w:t xml:space="preserve"> </w:t>
      </w:r>
      <w:hyperlink r:id="rId50">
        <w:r>
          <w:rPr>
            <w:rStyle w:val="Hyperlink"/>
          </w:rPr>
          <w:t xml:space="preserve">https://doi.org/10.1162/003355397555253</w:t>
        </w:r>
      </w:hyperlink>
      <w:r>
        <w:t xml:space="preserve">.</w:t>
      </w:r>
    </w:p>
    <w:bookmarkEnd w:id="51"/>
    <w:bookmarkStart w:id="53" w:name="ref-loewenstein_anomalies_1992"/>
    <w:p>
      <w:pPr>
        <w:pStyle w:val="Bibliography"/>
      </w:pPr>
      <w:r>
        <w:t xml:space="preserve">Loewenstein, G., and D. Prelec. 1992.</w:t>
      </w:r>
      <w:r>
        <w:t xml:space="preserve"> </w:t>
      </w:r>
      <w:r>
        <w:t xml:space="preserve">“Anomalies 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and an</w:t>
      </w:r>
      <w:r>
        <w:t xml:space="preserve"> </w:t>
      </w:r>
      <w:r>
        <w:t xml:space="preserve">Interpretation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107 (2): 573–97.</w:t>
      </w:r>
      <w:r>
        <w:t xml:space="preserve"> </w:t>
      </w:r>
      <w:hyperlink r:id="rId52">
        <w:r>
          <w:rPr>
            <w:rStyle w:val="Hyperlink"/>
          </w:rPr>
          <w:t xml:space="preserve">https://doi.org/10.2307/2118482</w:t>
        </w:r>
      </w:hyperlink>
      <w:r>
        <w:t xml:space="preserve">.</w:t>
      </w:r>
    </w:p>
    <w:bookmarkEnd w:id="53"/>
    <w:bookmarkStart w:id="55" w:name="ref-magen_hidden-zero_2008"/>
    <w:p>
      <w:pPr>
        <w:pStyle w:val="Bibliography"/>
      </w:pPr>
      <w:r>
        <w:t xml:space="preserve">Magen, Eran, Carol S. Dweck, and James J. Gross. 2008.</w:t>
      </w:r>
      <w:r>
        <w:t xml:space="preserve"> </w:t>
      </w:r>
      <w:r>
        <w:t xml:space="preserve">“The</w:t>
      </w:r>
      <w:r>
        <w:t xml:space="preserve"> </w:t>
      </w:r>
      <w:r>
        <w:t xml:space="preserve">Hidden</w:t>
      </w:r>
      <w:r>
        <w:t xml:space="preserve">-</w:t>
      </w:r>
      <w:r>
        <w:t xml:space="preserve">Zero</w:t>
      </w:r>
      <w:r>
        <w:t xml:space="preserve"> </w:t>
      </w:r>
      <w:r>
        <w:t xml:space="preserve">Effect</w:t>
      </w:r>
      <w:r>
        <w:t xml:space="preserve">:</w:t>
      </w:r>
      <w:r>
        <w:t xml:space="preserve"> </w:t>
      </w:r>
      <w:r>
        <w:t xml:space="preserve">Representing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Choice</w:t>
      </w:r>
      <w:r>
        <w:t xml:space="preserve"> </w:t>
      </w:r>
      <w:r>
        <w:t xml:space="preserve">as an</w:t>
      </w:r>
      <w:r>
        <w:t xml:space="preserve"> </w:t>
      </w:r>
      <w:r>
        <w:t xml:space="preserve">Extended</w:t>
      </w:r>
      <w:r>
        <w:t xml:space="preserve"> </w:t>
      </w:r>
      <w:r>
        <w:t xml:space="preserve">Sequence</w:t>
      </w:r>
      <w:r>
        <w:t xml:space="preserve"> </w:t>
      </w:r>
      <w:r>
        <w:t xml:space="preserve">Reduces</w:t>
      </w:r>
      <w:r>
        <w:t xml:space="preserve"> </w:t>
      </w:r>
      <w:r>
        <w:t xml:space="preserve">Impulsive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19 (7): 648–49.</w:t>
      </w:r>
      <w:r>
        <w:t xml:space="preserve"> </w:t>
      </w:r>
      <w:hyperlink r:id="rId54">
        <w:r>
          <w:rPr>
            <w:rStyle w:val="Hyperlink"/>
          </w:rPr>
          <w:t xml:space="preserve">https://doi.org/10.1111/j.1467-9280.2008.02137.x</w:t>
        </w:r>
      </w:hyperlink>
      <w:r>
        <w:t xml:space="preserve">.</w:t>
      </w:r>
    </w:p>
    <w:bookmarkEnd w:id="55"/>
    <w:bookmarkStart w:id="57" w:name="ref-matejka_rational_2015"/>
    <w:p>
      <w:pPr>
        <w:pStyle w:val="Bibliography"/>
      </w:pPr>
      <w:r>
        <w:t xml:space="preserve">Matějka, Filip, and Alisdair McKay. 2015.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to</w:t>
      </w:r>
      <w:r>
        <w:t xml:space="preserve"> </w:t>
      </w:r>
      <w:r>
        <w:t xml:space="preserve">Discrete</w:t>
      </w:r>
      <w:r>
        <w:t xml:space="preserve"> </w:t>
      </w:r>
      <w:r>
        <w:t xml:space="preserve">Choices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Foundation</w:t>
      </w:r>
      <w:r>
        <w:t xml:space="preserve"> </w:t>
      </w:r>
      <w:r>
        <w:t xml:space="preserve">for the</w:t>
      </w:r>
      <w:r>
        <w:t xml:space="preserve"> </w:t>
      </w:r>
      <w:r>
        <w:t xml:space="preserve">Multinomial</w:t>
      </w:r>
      <w:r>
        <w:t xml:space="preserve"> </w:t>
      </w:r>
      <w:r>
        <w:t xml:space="preserve">Logit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105 (1): 272–98.</w:t>
      </w:r>
      <w:r>
        <w:t xml:space="preserve"> </w:t>
      </w:r>
      <w:hyperlink r:id="rId56">
        <w:r>
          <w:rPr>
            <w:rStyle w:val="Hyperlink"/>
          </w:rPr>
          <w:t xml:space="preserve">https://doi.org/10.1257/aer.20130047</w:t>
        </w:r>
      </w:hyperlink>
      <w:r>
        <w:t xml:space="preserve">.</w:t>
      </w:r>
    </w:p>
    <w:bookmarkEnd w:id="57"/>
    <w:bookmarkStart w:id="59" w:name="ref-noor_intertemporal_2011"/>
    <w:p>
      <w:pPr>
        <w:pStyle w:val="Bibliography"/>
      </w:pPr>
      <w:r>
        <w:t xml:space="preserve">Noor, Jawwad. 2011.</w:t>
      </w:r>
      <w:r>
        <w:t xml:space="preserve"> </w:t>
      </w:r>
      <w:r>
        <w:t xml:space="preserve">“Intertemporal Choice and the Magnitude Effect.”</w:t>
      </w:r>
      <w:r>
        <w:t xml:space="preserve"> </w:t>
      </w:r>
      <w:r>
        <w:rPr>
          <w:iCs/>
          <w:i/>
        </w:rPr>
        <w:t xml:space="preserve">Games and Economic Behavior</w:t>
      </w:r>
      <w:r>
        <w:t xml:space="preserve"> </w:t>
      </w:r>
      <w:r>
        <w:t xml:space="preserve">72 (1): 255–70.</w:t>
      </w:r>
      <w:r>
        <w:t xml:space="preserve"> </w:t>
      </w:r>
      <w:hyperlink r:id="rId58">
        <w:r>
          <w:rPr>
            <w:rStyle w:val="Hyperlink"/>
          </w:rPr>
          <w:t xml:space="preserve">https://doi.org/10.1016/j.geb.2010.06.006</w:t>
        </w:r>
      </w:hyperlink>
      <w:r>
        <w:t xml:space="preserve">.</w:t>
      </w:r>
    </w:p>
    <w:bookmarkEnd w:id="59"/>
    <w:bookmarkStart w:id="61" w:name="ref-noor_optimal_2022"/>
    <w:p>
      <w:pPr>
        <w:pStyle w:val="Bibliography"/>
      </w:pPr>
      <w:r>
        <w:t xml:space="preserve">Noor, Jawwad, and Norio Takeoka.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(2): 585–623.</w:t>
      </w:r>
      <w:r>
        <w:t xml:space="preserve"> </w:t>
      </w:r>
      <w:hyperlink r:id="rId60">
        <w:r>
          <w:rPr>
            <w:rStyle w:val="Hyperlink"/>
          </w:rPr>
          <w:t xml:space="preserve">https://doi.org/10.3982/ECTA16050</w:t>
        </w:r>
      </w:hyperlink>
      <w:r>
        <w:t xml:space="preserve">.</w:t>
      </w:r>
    </w:p>
    <w:bookmarkEnd w:id="61"/>
    <w:bookmarkStart w:id="62" w:name="ref-noor_constrained_2023"/>
    <w:p>
      <w:pPr>
        <w:pStyle w:val="Bibliography"/>
      </w:pPr>
      <w:r>
        <w:t xml:space="preserve">———. 2023.</w:t>
      </w:r>
      <w:r>
        <w:t xml:space="preserve"> </w:t>
      </w:r>
      <w:r>
        <w:t xml:space="preserve">“Constrained</w:t>
      </w:r>
      <w:r>
        <w:t xml:space="preserve"> </w:t>
      </w:r>
      <w:r>
        <w:t xml:space="preserve">Optimal</w:t>
      </w:r>
      <w:r>
        <w:t xml:space="preserve"> </w:t>
      </w:r>
      <w:r>
        <w:t xml:space="preserve">Discounting</w:t>
      </w:r>
      <w:r>
        <w:t xml:space="preserve">.”</w:t>
      </w:r>
    </w:p>
    <w:bookmarkEnd w:id="62"/>
    <w:bookmarkStart w:id="64" w:name="ref-odonoghue_doing_1999"/>
    <w:p>
      <w:pPr>
        <w:pStyle w:val="Bibliography"/>
      </w:pPr>
      <w:r>
        <w:t xml:space="preserve">O’Donoghue, Ted, and Matthew Rabin. 1999.</w:t>
      </w:r>
      <w:r>
        <w:t xml:space="preserve"> </w:t>
      </w:r>
      <w:r>
        <w:t xml:space="preserve">“Doing</w:t>
      </w:r>
      <w:r>
        <w:t xml:space="preserve"> </w:t>
      </w:r>
      <w:r>
        <w:t xml:space="preserve">It</w:t>
      </w:r>
      <w:r>
        <w:t xml:space="preserve"> </w:t>
      </w:r>
      <w:r>
        <w:t xml:space="preserve">Now</w:t>
      </w:r>
      <w:r>
        <w:t xml:space="preserve"> </w:t>
      </w:r>
      <w:r>
        <w:t xml:space="preserve">or</w:t>
      </w:r>
      <w:r>
        <w:t xml:space="preserve"> </w:t>
      </w:r>
      <w:r>
        <w:t xml:space="preserve">Later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89 (1): 103–24.</w:t>
      </w:r>
      <w:r>
        <w:t xml:space="preserve"> </w:t>
      </w:r>
      <w:hyperlink r:id="rId63">
        <w:r>
          <w:rPr>
            <w:rStyle w:val="Hyperlink"/>
          </w:rPr>
          <w:t xml:space="preserve">https://doi.org/10.1257/aer.89.1.103</w:t>
        </w:r>
      </w:hyperlink>
      <w:r>
        <w:t xml:space="preserve">.</w:t>
      </w:r>
    </w:p>
    <w:bookmarkEnd w:id="64"/>
    <w:bookmarkStart w:id="66" w:name="ref-onay_intertemporal_2007"/>
    <w:p>
      <w:pPr>
        <w:pStyle w:val="Bibliography"/>
      </w:pPr>
      <w:r>
        <w:t xml:space="preserve">Onay, Selçuk, and Ayse Öncüler. 2007.</w:t>
      </w:r>
      <w:r>
        <w:t xml:space="preserve"> </w:t>
      </w:r>
      <w:r>
        <w:t xml:space="preserve">“Intertemporal Choice Under Timing Risk: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 Approach.”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34 (2): 99–121.</w:t>
      </w:r>
      <w:r>
        <w:t xml:space="preserve"> </w:t>
      </w:r>
      <w:hyperlink r:id="rId65">
        <w:r>
          <w:rPr>
            <w:rStyle w:val="Hyperlink"/>
          </w:rPr>
          <w:t xml:space="preserve">https://doi.org/10.1007/s11166-007-9005-x</w:t>
        </w:r>
      </w:hyperlink>
      <w:r>
        <w:t xml:space="preserve">.</w:t>
      </w:r>
    </w:p>
    <w:bookmarkEnd w:id="66"/>
    <w:bookmarkStart w:id="68" w:name="ref-read_value_2017"/>
    <w:p>
      <w:pPr>
        <w:pStyle w:val="Bibliography"/>
      </w:pPr>
      <w:r>
        <w:t xml:space="preserve">Read, Daniel, Christopher Y. Olivola, and David J. Hardisty. 2017.</w:t>
      </w:r>
      <w:r>
        <w:t xml:space="preserve"> </w:t>
      </w:r>
      <w:r>
        <w:t xml:space="preserve">“The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Nothing</w:t>
      </w:r>
      <w:r>
        <w:t xml:space="preserve">:</w:t>
      </w:r>
      <w:r>
        <w:t xml:space="preserve"> </w:t>
      </w:r>
      <w:r>
        <w:t xml:space="preserve">Asymmetric</w:t>
      </w:r>
      <w:r>
        <w:t xml:space="preserve"> </w:t>
      </w:r>
      <w:r>
        <w:t xml:space="preserve">Attention</w:t>
      </w:r>
      <w:r>
        <w:t xml:space="preserve"> </w:t>
      </w:r>
      <w:r>
        <w:t xml:space="preserve">to</w:t>
      </w:r>
      <w:r>
        <w:t xml:space="preserve"> </w:t>
      </w:r>
      <w:r>
        <w:t xml:space="preserve">Opportunity</w:t>
      </w:r>
      <w:r>
        <w:t xml:space="preserve"> </w:t>
      </w:r>
      <w:r>
        <w:t xml:space="preserve">Costs</w:t>
      </w:r>
      <w:r>
        <w:t xml:space="preserve"> </w:t>
      </w:r>
      <w:r>
        <w:t xml:space="preserve">Drives</w:t>
      </w:r>
      <w:r>
        <w:t xml:space="preserve"> </w:t>
      </w:r>
      <w:r>
        <w:t xml:space="preserve">Intertemporal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  <w:r>
        <w:t xml:space="preserve">.”</w:t>
      </w:r>
      <w:r>
        <w:t xml:space="preserve"> </w:t>
      </w:r>
      <w:r>
        <w:rPr>
          <w:iCs/>
          <w:i/>
        </w:rPr>
        <w:t xml:space="preserve">Management Science</w:t>
      </w:r>
      <w:r>
        <w:t xml:space="preserve"> </w:t>
      </w:r>
      <w:r>
        <w:t xml:space="preserve">63 (12): 4277–97.</w:t>
      </w:r>
      <w:r>
        <w:t xml:space="preserve"> </w:t>
      </w:r>
      <w:hyperlink r:id="rId67">
        <w:r>
          <w:rPr>
            <w:rStyle w:val="Hyperlink"/>
          </w:rPr>
          <w:t xml:space="preserve">https://doi.org/10.1287/mnsc.2016.2547</w:t>
        </w:r>
      </w:hyperlink>
      <w:r>
        <w:t xml:space="preserve">.</w:t>
      </w:r>
    </w:p>
    <w:bookmarkEnd w:id="68"/>
    <w:bookmarkStart w:id="70" w:name="ref-scholten_better_2014"/>
    <w:p>
      <w:pPr>
        <w:pStyle w:val="Bibliography"/>
      </w:pPr>
      <w:r>
        <w:t xml:space="preserve">Scholten, Marc, and Daniel Read. 2014.</w:t>
      </w:r>
      <w:r>
        <w:t xml:space="preserve"> </w:t>
      </w:r>
      <w:r>
        <w:t xml:space="preserve">“Better Is Worse, Worse Is Better:</w:t>
      </w:r>
      <w:r>
        <w:t xml:space="preserve"> </w:t>
      </w:r>
      <w:r>
        <w:t xml:space="preserve">Violations</w:t>
      </w:r>
      <w:r>
        <w:t xml:space="preserve"> </w:t>
      </w:r>
      <w:r>
        <w:t xml:space="preserve">of Dominance in Intertemporal Choice.”</w:t>
      </w:r>
      <w:r>
        <w:t xml:space="preserve"> </w:t>
      </w:r>
      <w:r>
        <w:rPr>
          <w:iCs/>
          <w:i/>
        </w:rPr>
        <w:t xml:space="preserve">Decision</w:t>
      </w:r>
      <w:r>
        <w:t xml:space="preserve"> </w:t>
      </w:r>
      <w:r>
        <w:t xml:space="preserve">1 (3): 215–22.</w:t>
      </w:r>
      <w:r>
        <w:t xml:space="preserve"> </w:t>
      </w:r>
      <w:hyperlink r:id="rId69">
        <w:r>
          <w:rPr>
            <w:rStyle w:val="Hyperlink"/>
          </w:rPr>
          <w:t xml:space="preserve">https://doi.org/10.1037/dec0000014</w:t>
        </w:r>
      </w:hyperlink>
      <w:r>
        <w:t xml:space="preserve">.</w:t>
      </w:r>
    </w:p>
    <w:bookmarkEnd w:id="70"/>
    <w:bookmarkStart w:id="72" w:name="ref-takeuchi_non-parametric_2011"/>
    <w:p>
      <w:pPr>
        <w:pStyle w:val="Bibliography"/>
      </w:pPr>
      <w:r>
        <w:t xml:space="preserve">Takeuchi, Kan. 2011.</w:t>
      </w:r>
      <w:r>
        <w:t xml:space="preserve"> </w:t>
      </w:r>
      <w:r>
        <w:t xml:space="preserve">“Non-Parametric Test of Time Consistency:</w:t>
      </w:r>
      <w:r>
        <w:t xml:space="preserve"> </w:t>
      </w:r>
      <w:r>
        <w:t xml:space="preserve">Present</w:t>
      </w:r>
      <w:r>
        <w:t xml:space="preserve"> </w:t>
      </w:r>
      <w:r>
        <w:t xml:space="preserve">Bias and Future Bias.”</w:t>
      </w:r>
      <w:r>
        <w:t xml:space="preserve"> </w:t>
      </w:r>
      <w:r>
        <w:rPr>
          <w:iCs/>
          <w:i/>
        </w:rPr>
        <w:t xml:space="preserve">Games and Economic Behavior</w:t>
      </w:r>
      <w:r>
        <w:t xml:space="preserve"> </w:t>
      </w:r>
      <w:r>
        <w:t xml:space="preserve">71 (2): 456–78.</w:t>
      </w:r>
      <w:r>
        <w:t xml:space="preserve"> </w:t>
      </w:r>
      <w:hyperlink r:id="rId71">
        <w:r>
          <w:rPr>
            <w:rStyle w:val="Hyperlink"/>
          </w:rPr>
          <w:t xml:space="preserve">https://doi.org/10.1016/j.geb.2010.05.005</w:t>
        </w:r>
      </w:hyperlink>
      <w:r>
        <w:t xml:space="preserve">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use uppercase letters to represent a sequence and lowercase</w:t>
      </w:r>
      <w:r>
        <w:t xml:space="preserve"> </w:t>
      </w:r>
      <w:r>
        <w:t xml:space="preserve">letters to represent each element within the sequence.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each certain state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Equation (</w:t>
      </w:r>
      <w:r>
        <w:t xml:space="preserve">) can</w:t>
      </w:r>
      <w:r>
        <w:t xml:space="preserve"> </w:t>
      </w:r>
      <w:r>
        <w:t xml:space="preserve">be defined 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≡</m:t>
        </m:r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/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Such a view can be traced back to the bottleneck theories of</w:t>
      </w:r>
      <w:r>
        <w:t xml:space="preserve"> </w:t>
      </w:r>
      <w:r>
        <w:t xml:space="preserve">attention, which starts from</w:t>
      </w:r>
      <w:r>
        <w:t xml:space="preserve"> </w:t>
      </w:r>
      <w:r>
        <w:t xml:space="preserve">Broadbent (1958)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doi.org/10.1007/s11166-007-9005-x" TargetMode="External" /><Relationship Type="http://schemas.openxmlformats.org/officeDocument/2006/relationships/hyperlink" Id="rId71" Target="https://doi.org/10.1016/j.geb.2010.05.005" TargetMode="External" /><Relationship Type="http://schemas.openxmlformats.org/officeDocument/2006/relationships/hyperlink" Id="rId58" Target="https://doi.org/10.1016/j.geb.2010.06.006" TargetMode="External" /><Relationship Type="http://schemas.openxmlformats.org/officeDocument/2006/relationships/hyperlink" Id="rId38" Target="https://doi.org/10.1037/10037-000" TargetMode="External" /><Relationship Type="http://schemas.openxmlformats.org/officeDocument/2006/relationships/hyperlink" Id="rId69" Target="https://doi.org/10.1037/dec0000014" TargetMode="External" /><Relationship Type="http://schemas.openxmlformats.org/officeDocument/2006/relationships/hyperlink" Id="rId44" Target="https://doi.org/10.1038/s41467-020-16852-y" TargetMode="External" /><Relationship Type="http://schemas.openxmlformats.org/officeDocument/2006/relationships/hyperlink" Id="rId48" Target="https://doi.org/10.1093/qje/121.4.1133" TargetMode="External" /><Relationship Type="http://schemas.openxmlformats.org/officeDocument/2006/relationships/hyperlink" Id="rId42" Target="https://doi.org/10.1093/qje/qjab031" TargetMode="External" /><Relationship Type="http://schemas.openxmlformats.org/officeDocument/2006/relationships/hyperlink" Id="rId54" Target="https://doi.org/10.1111/j.1467-9280.2008.02137.x" TargetMode="External" /><Relationship Type="http://schemas.openxmlformats.org/officeDocument/2006/relationships/hyperlink" Id="rId50" Target="https://doi.org/10.1162/003355397555253" TargetMode="External" /><Relationship Type="http://schemas.openxmlformats.org/officeDocument/2006/relationships/hyperlink" Id="rId56" Target="https://doi.org/10.1257/aer.20130047" TargetMode="External" /><Relationship Type="http://schemas.openxmlformats.org/officeDocument/2006/relationships/hyperlink" Id="rId63" Target="https://doi.org/10.1257/aer.89.1.103" TargetMode="External" /><Relationship Type="http://schemas.openxmlformats.org/officeDocument/2006/relationships/hyperlink" Id="rId67" Target="https://doi.org/10.1287/mnsc.2016.2547" TargetMode="External" /><Relationship Type="http://schemas.openxmlformats.org/officeDocument/2006/relationships/hyperlink" Id="rId46" Target="https://doi.org/10.2307/1914185" TargetMode="External" /><Relationship Type="http://schemas.openxmlformats.org/officeDocument/2006/relationships/hyperlink" Id="rId52" Target="https://doi.org/10.2307/2118482" TargetMode="External" /><Relationship Type="http://schemas.openxmlformats.org/officeDocument/2006/relationships/hyperlink" Id="rId60" Target="https://doi.org/10.3982/ECTA16050" TargetMode="External" /><Relationship Type="http://schemas.openxmlformats.org/officeDocument/2006/relationships/hyperlink" Id="rId40" Target="https://doi.org/10.3982/ECTA164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doi.org/10.1007/s11166-007-9005-x" TargetMode="External" /><Relationship Type="http://schemas.openxmlformats.org/officeDocument/2006/relationships/hyperlink" Id="rId71" Target="https://doi.org/10.1016/j.geb.2010.05.005" TargetMode="External" /><Relationship Type="http://schemas.openxmlformats.org/officeDocument/2006/relationships/hyperlink" Id="rId58" Target="https://doi.org/10.1016/j.geb.2010.06.006" TargetMode="External" /><Relationship Type="http://schemas.openxmlformats.org/officeDocument/2006/relationships/hyperlink" Id="rId38" Target="https://doi.org/10.1037/10037-000" TargetMode="External" /><Relationship Type="http://schemas.openxmlformats.org/officeDocument/2006/relationships/hyperlink" Id="rId69" Target="https://doi.org/10.1037/dec0000014" TargetMode="External" /><Relationship Type="http://schemas.openxmlformats.org/officeDocument/2006/relationships/hyperlink" Id="rId44" Target="https://doi.org/10.1038/s41467-020-16852-y" TargetMode="External" /><Relationship Type="http://schemas.openxmlformats.org/officeDocument/2006/relationships/hyperlink" Id="rId48" Target="https://doi.org/10.1093/qje/121.4.1133" TargetMode="External" /><Relationship Type="http://schemas.openxmlformats.org/officeDocument/2006/relationships/hyperlink" Id="rId42" Target="https://doi.org/10.1093/qje/qjab031" TargetMode="External" /><Relationship Type="http://schemas.openxmlformats.org/officeDocument/2006/relationships/hyperlink" Id="rId54" Target="https://doi.org/10.1111/j.1467-9280.2008.02137.x" TargetMode="External" /><Relationship Type="http://schemas.openxmlformats.org/officeDocument/2006/relationships/hyperlink" Id="rId50" Target="https://doi.org/10.1162/003355397555253" TargetMode="External" /><Relationship Type="http://schemas.openxmlformats.org/officeDocument/2006/relationships/hyperlink" Id="rId56" Target="https://doi.org/10.1257/aer.20130047" TargetMode="External" /><Relationship Type="http://schemas.openxmlformats.org/officeDocument/2006/relationships/hyperlink" Id="rId63" Target="https://doi.org/10.1257/aer.89.1.103" TargetMode="External" /><Relationship Type="http://schemas.openxmlformats.org/officeDocument/2006/relationships/hyperlink" Id="rId67" Target="https://doi.org/10.1287/mnsc.2016.2547" TargetMode="External" /><Relationship Type="http://schemas.openxmlformats.org/officeDocument/2006/relationships/hyperlink" Id="rId46" Target="https://doi.org/10.2307/1914185" TargetMode="External" /><Relationship Type="http://schemas.openxmlformats.org/officeDocument/2006/relationships/hyperlink" Id="rId52" Target="https://doi.org/10.2307/2118482" TargetMode="External" /><Relationship Type="http://schemas.openxmlformats.org/officeDocument/2006/relationships/hyperlink" Id="rId60" Target="https://doi.org/10.3982/ECTA16050" TargetMode="External" /><Relationship Type="http://schemas.openxmlformats.org/officeDocument/2006/relationships/hyperlink" Id="rId40" Target="https://doi.org/10.3982/ECTA16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Annual Review 22/23 - v2</dc:title>
  <dc:creator>Zijian Zark Wang</dc:creator>
  <cp:keywords/>
  <dcterms:created xsi:type="dcterms:W3CDTF">2023-08-08T18:07:05Z</dcterms:created>
  <dcterms:modified xsi:type="dcterms:W3CDTF">2023-08-08T18:07:05Z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reference.bib</vt:lpwstr>
  </property>
  <property fmtid="{D5CDD505-2E9C-101B-9397-08002B2CF9AE}" pid="4" name="date">
    <vt:lpwstr>August 08, 2023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header-includes">
    <vt:lpwstr>  </vt:lpwstr>
  </property>
  <property fmtid="{D5CDD505-2E9C-101B-9397-08002B2CF9AE}" pid="9" name="output">
    <vt:lpwstr/>
  </property>
</Properties>
</file>