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9036" w14:textId="77777777" w:rsidR="0086619E" w:rsidRPr="000B2D13" w:rsidRDefault="00000000" w:rsidP="000B2D13">
      <w:pPr>
        <w:pStyle w:val="1"/>
        <w:spacing w:line="300" w:lineRule="auto"/>
        <w:jc w:val="center"/>
        <w:rPr>
          <w:rFonts w:cstheme="majorHAnsi"/>
          <w:color w:val="auto"/>
        </w:rPr>
      </w:pPr>
      <w:bookmarkStart w:id="0" w:name="header-n0"/>
      <w:r w:rsidRPr="000B2D13">
        <w:rPr>
          <w:rFonts w:cstheme="majorHAnsi"/>
          <w:color w:val="auto"/>
        </w:rPr>
        <w:t>Experiment 2</w:t>
      </w:r>
    </w:p>
    <w:p w14:paraId="2760280F" w14:textId="77777777" w:rsidR="0086619E" w:rsidRPr="000B2D13" w:rsidRDefault="00000000" w:rsidP="000B2D13">
      <w:pPr>
        <w:pStyle w:val="2"/>
        <w:spacing w:line="300" w:lineRule="auto"/>
        <w:rPr>
          <w:rFonts w:cstheme="majorHAnsi"/>
          <w:color w:val="auto"/>
        </w:rPr>
      </w:pPr>
      <w:bookmarkStart w:id="1" w:name="header-n2"/>
      <w:r w:rsidRPr="000B2D13">
        <w:rPr>
          <w:rFonts w:cstheme="majorHAnsi"/>
          <w:color w:val="auto"/>
        </w:rPr>
        <w:t>1 Key Hypothesis</w:t>
      </w:r>
    </w:p>
    <w:p w14:paraId="2EED8305" w14:textId="77777777" w:rsidR="0086619E" w:rsidRPr="000B2D13" w:rsidRDefault="00000000" w:rsidP="00CB1F2F">
      <w:pPr>
        <w:pStyle w:val="draft"/>
      </w:pPr>
      <w:r w:rsidRPr="000B2D13">
        <w:t xml:space="preserve">Suppose people face a sequence of rewards. When the amount of reward offered at one specific time becomes larger, they would pay more attention to it, thus are less sensitive to the amounts offered at other times within the sequence. </w:t>
      </w:r>
    </w:p>
    <w:p w14:paraId="68C819CD" w14:textId="52EAC981" w:rsidR="0086619E" w:rsidRPr="000B2D13" w:rsidRDefault="00000000" w:rsidP="00CB1F2F">
      <w:pPr>
        <w:pStyle w:val="draft"/>
        <w:rPr>
          <w:lang w:eastAsia="zh-CN"/>
        </w:rPr>
      </w:pPr>
      <w:r w:rsidRPr="000B2D13">
        <w:t xml:space="preserve">Given that the hypothesis asserts that </w:t>
      </w:r>
      <w:r w:rsidR="00173688">
        <w:t>larger rewards can naturally catch more attention</w:t>
      </w:r>
      <w:r w:rsidRPr="000B2D13">
        <w:t>, we can term it as "</w:t>
      </w:r>
      <w:r w:rsidRPr="000B2D13">
        <w:rPr>
          <w:i/>
          <w:iCs/>
        </w:rPr>
        <w:t>value-driven attentional capture</w:t>
      </w:r>
      <w:r w:rsidRPr="000B2D13">
        <w:t>".</w:t>
      </w:r>
      <w:r w:rsidR="000B2D13">
        <w:t xml:space="preserve"> </w:t>
      </w:r>
      <w:r w:rsidR="000B2D13" w:rsidRPr="000B2D13">
        <w:rPr>
          <w:rFonts w:ascii="Calibri" w:hAnsi="Calibri" w:cs="Calibri"/>
        </w:rPr>
        <w:t>Hickey et al.</w:t>
      </w:r>
      <w:r w:rsidR="000B2D13">
        <w:rPr>
          <w:rFonts w:ascii="Calibri" w:hAnsi="Calibri" w:cs="Calibri"/>
        </w:rPr>
        <w:t xml:space="preserve"> </w:t>
      </w:r>
      <w:r w:rsidR="000B2D13">
        <w:fldChar w:fldCharType="begin"/>
      </w:r>
      <w:r w:rsidR="000B2D13">
        <w:instrText xml:space="preserve"> ADDIN ZOTERO_ITEM CSL_CITATION {"citationID":"YBT0m9Kw","properties":{"formattedCitation":"(Hickey et al., 2010)","plainCitation":"(Hickey et al., 2010)","noteIndex":0},"citationItems":[{"id":445,"uris":["http://zotero.org/users/11133115/items/KDKEQBS4"],"itemData":{"id":445,"type":"article-journal","abstract":"Reward-related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control.","container-title":"The Journal of Neuroscience","DOI":"10.1523/JNEUROSCI.1026-10.2010","ISSN":"0270-6474, 1529-2401","issue":"33","journalAbbreviation":"J. Neurosci.","language":"en","page":"11096-11103","source":"DOI.org (Crossref)","title":"Reward Changes Salience in Human Vision via the Anterior Cingulate","volume":"30","author":[{"family":"Hickey","given":"Clayton"},{"family":"Chelazzi","given":"Leonardo"},{"family":"Theeuwes","given":"Jan"}],"issued":{"date-parts":[["2010",8,18]]}}}],"schema":"https://github.com/citation-style-language/schema/raw/master/csl-citation.json"} </w:instrText>
      </w:r>
      <w:r w:rsidR="000B2D13">
        <w:fldChar w:fldCharType="separate"/>
      </w:r>
      <w:r w:rsidR="000B2D13" w:rsidRPr="000B2D13">
        <w:rPr>
          <w:rFonts w:ascii="Calibri" w:hAnsi="Calibri" w:cs="Calibri"/>
        </w:rPr>
        <w:t>(2010)</w:t>
      </w:r>
      <w:r w:rsidR="000B2D13">
        <w:fldChar w:fldCharType="end"/>
      </w:r>
      <w:r w:rsidR="000B2D13">
        <w:t xml:space="preserve"> </w:t>
      </w:r>
      <w:r w:rsidR="000B2D13">
        <w:rPr>
          <w:rFonts w:hint="eastAsia"/>
          <w:lang w:eastAsia="zh-CN"/>
        </w:rPr>
        <w:t>a</w:t>
      </w:r>
      <w:r w:rsidR="000B2D13">
        <w:rPr>
          <w:lang w:eastAsia="zh-CN"/>
        </w:rPr>
        <w:t xml:space="preserve">nd </w:t>
      </w:r>
      <w:r w:rsidR="000B2D13" w:rsidRPr="000B2D13">
        <w:rPr>
          <w:rFonts w:ascii="Calibri" w:hAnsi="Calibri" w:cs="Calibri"/>
        </w:rPr>
        <w:t>Anderson et al.</w:t>
      </w:r>
      <w:r w:rsidR="000B2D13">
        <w:rPr>
          <w:lang w:eastAsia="zh-CN"/>
        </w:rPr>
        <w:t xml:space="preserve"> </w:t>
      </w:r>
      <w:r w:rsidR="000B2D13">
        <w:rPr>
          <w:lang w:eastAsia="zh-CN"/>
        </w:rPr>
        <w:fldChar w:fldCharType="begin"/>
      </w:r>
      <w:r w:rsidR="000B2D13">
        <w:rPr>
          <w:lang w:eastAsia="zh-CN"/>
        </w:rPr>
        <w:instrText xml:space="preserve"> ADDIN ZOTERO_ITEM CSL_CITATION {"citationID":"6EL9W86R","properties":{"formattedCitation":"(Anderson et al., 2011)","plainCitation":"(Anderson et al., 2011)","noteIndex":0},"citationItems":[{"id":396,"uris":["http://zotero.org/users/11133115/items/RLY7HEFH"],"itemData":{"id":396,"type":"article-journal","abstract":"Attention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obesity).","container-title":"Proceedings of the National Academy of Sciences","DOI":"10.1073/pnas.1104047108","ISSN":"0027-8424, 1091-6490","issue":"25","journalAbbreviation":"Proc. Natl. Acad. Sci. U.S.A.","language":"en","page":"10367-10371","source":"DOI.org (Crossref)","title":"Value-driven attentional capture","volume":"108","author":[{"family":"Anderson","given":"Brian A."},{"family":"Laurent","given":"Patryk A."},{"family":"Yantis","given":"Steven"}],"issued":{"date-parts":[["2011",6,21]]}}}],"schema":"https://github.com/citation-style-language/schema/raw/master/csl-citation.json"} </w:instrText>
      </w:r>
      <w:r w:rsidR="000B2D13">
        <w:rPr>
          <w:lang w:eastAsia="zh-CN"/>
        </w:rPr>
        <w:fldChar w:fldCharType="separate"/>
      </w:r>
      <w:r w:rsidR="000B2D13" w:rsidRPr="000B2D13">
        <w:rPr>
          <w:rFonts w:ascii="Calibri" w:hAnsi="Calibri" w:cs="Calibri"/>
          <w:lang w:eastAsia="zh-CN"/>
        </w:rPr>
        <w:t>(2011)</w:t>
      </w:r>
      <w:r w:rsidR="000B2D13">
        <w:rPr>
          <w:lang w:eastAsia="zh-CN"/>
        </w:rPr>
        <w:fldChar w:fldCharType="end"/>
      </w:r>
      <w:r w:rsidR="000B2D13">
        <w:rPr>
          <w:lang w:eastAsia="zh-CN"/>
        </w:rPr>
        <w:t xml:space="preserve"> found evidence of </w:t>
      </w:r>
      <w:r w:rsidR="00173688">
        <w:rPr>
          <w:lang w:eastAsia="zh-CN"/>
        </w:rPr>
        <w:t>value-driven attentional capture</w:t>
      </w:r>
      <w:r w:rsidR="000B2D13">
        <w:rPr>
          <w:lang w:eastAsia="zh-CN"/>
        </w:rPr>
        <w:t xml:space="preserve"> in visual search.</w:t>
      </w:r>
    </w:p>
    <w:p w14:paraId="5F92B625" w14:textId="77777777" w:rsidR="0086619E" w:rsidRPr="000B2D13" w:rsidRDefault="00000000" w:rsidP="000B2D13">
      <w:pPr>
        <w:pStyle w:val="2"/>
        <w:spacing w:line="300" w:lineRule="auto"/>
        <w:rPr>
          <w:rFonts w:cstheme="majorHAnsi"/>
          <w:color w:val="auto"/>
          <w:lang w:eastAsia="zh-CN"/>
        </w:rPr>
      </w:pPr>
      <w:bookmarkStart w:id="2" w:name="header-n4"/>
      <w:bookmarkEnd w:id="1"/>
      <w:r w:rsidRPr="000B2D13">
        <w:rPr>
          <w:rFonts w:cstheme="majorHAnsi"/>
          <w:color w:val="auto"/>
          <w:lang w:eastAsia="zh-CN"/>
        </w:rPr>
        <w:t>2 Survey Design</w:t>
      </w:r>
    </w:p>
    <w:p w14:paraId="1A62A021" w14:textId="77777777" w:rsidR="0086619E" w:rsidRPr="000B2D13" w:rsidRDefault="00000000" w:rsidP="000B2D13">
      <w:pPr>
        <w:pStyle w:val="3"/>
        <w:spacing w:line="300" w:lineRule="auto"/>
        <w:rPr>
          <w:rFonts w:cstheme="majorHAnsi"/>
          <w:color w:val="auto"/>
          <w:lang w:eastAsia="zh-CN"/>
        </w:rPr>
      </w:pPr>
      <w:bookmarkStart w:id="3" w:name="header-n5"/>
      <w:r w:rsidRPr="000B2D13">
        <w:rPr>
          <w:rFonts w:cstheme="majorHAnsi"/>
          <w:color w:val="auto"/>
          <w:lang w:eastAsia="zh-CN"/>
        </w:rPr>
        <w:t>2.1 Last experiment</w:t>
      </w:r>
    </w:p>
    <w:p w14:paraId="54A5E109" w14:textId="74E235C5" w:rsidR="0086619E" w:rsidRPr="000B2D13" w:rsidRDefault="00000000" w:rsidP="00CB1F2F">
      <w:pPr>
        <w:pStyle w:val="draft"/>
        <w:rPr>
          <w:lang w:eastAsia="zh-CN"/>
        </w:rPr>
      </w:pPr>
      <w:r w:rsidRPr="000B2D13">
        <w:rPr>
          <w:lang w:eastAsia="zh-CN"/>
        </w:rPr>
        <w:t xml:space="preserve">In the last experiment, participants were presented with a series of intertemporal choice questions, structured in form of choice lists. Each choice list consists of 10 rows, and in each row, participants have to </w:t>
      </w:r>
      <w:r w:rsidR="000B2D13" w:rsidRPr="000B2D13">
        <w:rPr>
          <w:lang w:eastAsia="zh-CN"/>
        </w:rPr>
        <w:t>actively and explicitly</w:t>
      </w:r>
      <w:r w:rsidR="000B2D13" w:rsidRPr="000B2D13">
        <w:rPr>
          <w:lang w:eastAsia="zh-CN"/>
        </w:rPr>
        <w:t xml:space="preserve"> choose between a single immediate reward </w:t>
      </w:r>
      <w:r w:rsidRPr="000B2D13">
        <w:rPr>
          <w:lang w:eastAsia="zh-CN"/>
        </w:rPr>
        <w:t>(labelled as "option A") and a two-reward sequence (labelled as "option B"). For instance, in one choice list, the participants may need to choose between</w:t>
      </w:r>
    </w:p>
    <w:p w14:paraId="7AB7084F" w14:textId="2C702D13" w:rsidR="0086619E" w:rsidRPr="000B2D13" w:rsidRDefault="00000000" w:rsidP="00CB1F2F">
      <w:pPr>
        <w:pStyle w:val="draft"/>
        <w:jc w:val="center"/>
        <w:rPr>
          <w:lang w:eastAsia="zh-CN"/>
        </w:rPr>
      </w:pPr>
      <w:r w:rsidRPr="000B2D13">
        <w:rPr>
          <w:lang w:eastAsia="zh-CN"/>
        </w:rPr>
        <w:t>A. receive £100 today</w:t>
      </w:r>
      <w:r w:rsidR="000B2D13">
        <w:rPr>
          <w:lang w:eastAsia="zh-CN"/>
        </w:rPr>
        <w:t xml:space="preserve"> </w:t>
      </w:r>
      <w:r w:rsidRPr="000B2D13">
        <w:rPr>
          <w:lang w:eastAsia="zh-CN"/>
        </w:rPr>
        <w:t xml:space="preserve"> </w:t>
      </w:r>
      <w:r w:rsidR="000B2D13">
        <w:rPr>
          <w:lang w:eastAsia="zh-CN"/>
        </w:rPr>
        <w:t xml:space="preserve"> </w:t>
      </w:r>
      <w:r w:rsidRPr="000B2D13">
        <w:rPr>
          <w:lang w:eastAsia="zh-CN"/>
        </w:rPr>
        <w:t>or</w:t>
      </w:r>
      <w:r w:rsidR="000B2D13">
        <w:rPr>
          <w:lang w:eastAsia="zh-CN"/>
        </w:rPr>
        <w:t xml:space="preserve">  </w:t>
      </w:r>
      <w:r w:rsidRPr="000B2D13">
        <w:rPr>
          <w:lang w:eastAsia="zh-CN"/>
        </w:rPr>
        <w:t xml:space="preserve"> B. receive </w:t>
      </w:r>
      <m:oMath>
        <m:r>
          <w:rPr>
            <w:rFonts w:ascii="Cambria Math" w:hAnsi="Cambria Math"/>
            <w:lang w:eastAsia="zh-CN"/>
          </w:rPr>
          <m:t>X</m:t>
        </m:r>
      </m:oMath>
      <w:r w:rsidRPr="000B2D13">
        <w:rPr>
          <w:lang w:eastAsia="zh-CN"/>
        </w:rPr>
        <w:t xml:space="preserve"> today and £</w:t>
      </w:r>
      <w:r w:rsidR="00CB1F2F">
        <w:rPr>
          <w:lang w:eastAsia="zh-CN"/>
        </w:rPr>
        <w:t>5</w:t>
      </w:r>
      <w:r w:rsidRPr="000B2D13">
        <w:rPr>
          <w:lang w:eastAsia="zh-CN"/>
        </w:rPr>
        <w:t xml:space="preserve">0 in 1 </w:t>
      </w:r>
      <w:proofErr w:type="gramStart"/>
      <w:r w:rsidRPr="000B2D13">
        <w:rPr>
          <w:lang w:eastAsia="zh-CN"/>
        </w:rPr>
        <w:t>month</w:t>
      </w:r>
      <w:proofErr w:type="gramEnd"/>
    </w:p>
    <w:p w14:paraId="5AC6AA12" w14:textId="6BB8C022" w:rsidR="0086619E" w:rsidRPr="000B2D13" w:rsidRDefault="00000000" w:rsidP="00CB1F2F">
      <w:pPr>
        <w:pStyle w:val="draft"/>
      </w:pPr>
      <w:r w:rsidRPr="000B2D13">
        <w:rPr>
          <w:lang w:eastAsia="zh-CN"/>
        </w:rPr>
        <w:t xml:space="preserve">where </w:t>
      </w:r>
      <m:oMath>
        <m:r>
          <w:rPr>
            <w:rFonts w:ascii="Cambria Math" w:hAnsi="Cambria Math"/>
            <w:lang w:eastAsia="zh-CN"/>
          </w:rPr>
          <m:t>X</m:t>
        </m:r>
      </m:oMath>
      <w:r w:rsidRPr="000B2D13">
        <w:rPr>
          <w:lang w:eastAsia="zh-CN"/>
        </w:rPr>
        <w:t xml:space="preserve"> varies from £10 to £100, with a difference of £10 between each row. With </w:t>
      </w:r>
      <m:oMath>
        <m:r>
          <w:rPr>
            <w:rFonts w:ascii="Cambria Math" w:hAnsi="Cambria Math"/>
            <w:lang w:eastAsia="zh-CN"/>
          </w:rPr>
          <m:t>X</m:t>
        </m:r>
      </m:oMath>
      <w:r w:rsidRPr="000B2D13">
        <w:rPr>
          <w:lang w:eastAsia="zh-CN"/>
        </w:rPr>
        <w:t xml:space="preserve"> being larger, there will be more people preferring option B over option A. In the last experiment, I propose that if the back-end reward in this option B, i.e. "£</w:t>
      </w:r>
      <w:r w:rsidR="00CB1F2F">
        <w:rPr>
          <w:lang w:eastAsia="zh-CN"/>
        </w:rPr>
        <w:t>5</w:t>
      </w:r>
      <w:r w:rsidRPr="000B2D13">
        <w:rPr>
          <w:lang w:eastAsia="zh-CN"/>
        </w:rPr>
        <w:t>0 in 1 month", is assigned with larger quantities (e.g. £</w:t>
      </w:r>
      <w:r w:rsidR="00CB1F2F">
        <w:rPr>
          <w:lang w:eastAsia="zh-CN"/>
        </w:rPr>
        <w:t>5</w:t>
      </w:r>
      <w:r w:rsidRPr="000B2D13">
        <w:rPr>
          <w:lang w:eastAsia="zh-CN"/>
        </w:rPr>
        <w:t>0 is increased to £90, or "1 month" is increased to "9 months"), people hav</w:t>
      </w:r>
      <w:r w:rsidRPr="000B2D13">
        <w:t xml:space="preserve">e less attention to be allocated on the front-end amount </w:t>
      </w:r>
      <m:oMath>
        <m:r>
          <w:rPr>
            <w:rFonts w:ascii="Cambria Math" w:hAnsi="Cambria Math"/>
          </w:rPr>
          <m:t>X</m:t>
        </m:r>
      </m:oMath>
      <w:r w:rsidRPr="000B2D13">
        <w:t xml:space="preserve">. Thus, they will be less sensitive to changes in </w:t>
      </w:r>
      <m:oMath>
        <m:r>
          <w:rPr>
            <w:rFonts w:ascii="Cambria Math" w:hAnsi="Cambria Math"/>
          </w:rPr>
          <m:t>X</m:t>
        </m:r>
      </m:oMath>
      <w:r w:rsidRPr="000B2D13">
        <w:t xml:space="preserve"> -- each unit increase in </w:t>
      </w:r>
      <m:oMath>
        <m:r>
          <w:rPr>
            <w:rFonts w:ascii="Cambria Math" w:hAnsi="Cambria Math"/>
          </w:rPr>
          <m:t>X</m:t>
        </m:r>
      </m:oMath>
      <w:r w:rsidRPr="000B2D13">
        <w:t xml:space="preserve"> will on average induce fewer people to shift from option A to option B.</w:t>
      </w:r>
    </w:p>
    <w:p w14:paraId="1277599F" w14:textId="77777777" w:rsidR="0086619E" w:rsidRPr="000B2D13" w:rsidRDefault="00000000" w:rsidP="00CB1F2F">
      <w:pPr>
        <w:pStyle w:val="draft"/>
      </w:pPr>
      <w:r w:rsidRPr="000B2D13">
        <w:t xml:space="preserve">Someone may be interested in what amount of </w:t>
      </w:r>
      <m:oMath>
        <m:r>
          <w:rPr>
            <w:rFonts w:ascii="Cambria Math" w:hAnsi="Cambria Math"/>
          </w:rPr>
          <m:t>X</m:t>
        </m:r>
      </m:oMath>
      <w:r w:rsidRPr="000B2D13">
        <w:t xml:space="preserve"> would make option A and B indifferent to a decision maker ("indifference point"). The fact is, if people are less sensitive to </w:t>
      </w:r>
      <m:oMath>
        <m:r>
          <w:rPr>
            <w:rFonts w:ascii="Cambria Math" w:hAnsi="Cambria Math"/>
          </w:rPr>
          <m:t>X</m:t>
        </m:r>
      </m:oMath>
      <w:r w:rsidRPr="000B2D13">
        <w:t xml:space="preserve">, the indifference point for </w:t>
      </w:r>
      <m:oMath>
        <m:r>
          <w:rPr>
            <w:rFonts w:ascii="Cambria Math" w:hAnsi="Cambria Math"/>
          </w:rPr>
          <m:t>X</m:t>
        </m:r>
      </m:oMath>
      <w:r w:rsidRPr="000B2D13">
        <w:t xml:space="preserve"> would have a larger variance among the participants. I describe the rationale in the document of experimental results. The intuition for this is, when a decision maker is insensitive to </w:t>
      </w:r>
      <m:oMath>
        <m:r>
          <w:rPr>
            <w:rFonts w:ascii="Cambria Math" w:hAnsi="Cambria Math"/>
          </w:rPr>
          <m:t>X</m:t>
        </m:r>
      </m:oMath>
      <w:r w:rsidRPr="000B2D13">
        <w:t xml:space="preserve">, she may feel hard to determine what exact amount of </w:t>
      </w:r>
      <m:oMath>
        <m:r>
          <w:rPr>
            <w:rFonts w:ascii="Cambria Math" w:hAnsi="Cambria Math"/>
          </w:rPr>
          <m:t>X</m:t>
        </m:r>
      </m:oMath>
      <w:r w:rsidRPr="000B2D13">
        <w:t xml:space="preserve"> could make the value of option B precisely equivalent to option A. </w:t>
      </w:r>
    </w:p>
    <w:p w14:paraId="07B5DD84" w14:textId="77777777" w:rsidR="0086619E" w:rsidRPr="000B2D13" w:rsidRDefault="00000000" w:rsidP="000B2D13">
      <w:pPr>
        <w:pStyle w:val="3"/>
        <w:spacing w:line="300" w:lineRule="auto"/>
        <w:rPr>
          <w:rFonts w:cstheme="majorHAnsi"/>
          <w:color w:val="auto"/>
        </w:rPr>
      </w:pPr>
      <w:bookmarkStart w:id="4" w:name="header-n10"/>
      <w:bookmarkEnd w:id="3"/>
      <w:r w:rsidRPr="000B2D13">
        <w:rPr>
          <w:rFonts w:cstheme="majorHAnsi"/>
          <w:color w:val="auto"/>
        </w:rPr>
        <w:lastRenderedPageBreak/>
        <w:t>2.2 Current experiment</w:t>
      </w:r>
    </w:p>
    <w:p w14:paraId="66FFBFA2" w14:textId="77777777" w:rsidR="0086619E" w:rsidRPr="000B2D13" w:rsidRDefault="00000000" w:rsidP="00CB1F2F">
      <w:pPr>
        <w:pStyle w:val="draft"/>
      </w:pPr>
      <w:r w:rsidRPr="000B2D13">
        <w:t xml:space="preserve">In the current experiment, participants will still face a series of choice lists, and each choice is still between a single reward and a two-reward sequence. However, there are four differences in this experiment. First, the single reward option (option A) varies across rows, while the sequence option (option B) is constant within a choice list. Second, participants can "bunch" the choices. When they pick an option in a specific row, all option </w:t>
      </w:r>
      <w:proofErr w:type="gramStart"/>
      <w:r w:rsidRPr="000B2D13">
        <w:t>As</w:t>
      </w:r>
      <w:proofErr w:type="gramEnd"/>
      <w:r w:rsidRPr="000B2D13">
        <w:t xml:space="preserve"> below it and all option Bs above it will be automatically selected. So, participants could focus on finding the indifference point. Third, after they select an option in a row, a certain number of rows which were folded between that specific row and the row next to it will show up. The participants then will need to make a choice among these unfolded rows. Fourth, after they complete a choice list, there will be a question asking them to rate how sure (or confident) they are about the choices they just made. </w:t>
      </w:r>
    </w:p>
    <w:p w14:paraId="7C6789E8" w14:textId="77777777" w:rsidR="0086619E" w:rsidRPr="000B2D13" w:rsidRDefault="00000000" w:rsidP="00CB1F2F">
      <w:pPr>
        <w:pStyle w:val="draft"/>
      </w:pPr>
      <w:r w:rsidRPr="000B2D13">
        <w:t>The following is a screenshot for the choice list in this experiment.</w:t>
      </w:r>
    </w:p>
    <w:p w14:paraId="2B22843D" w14:textId="77777777" w:rsidR="0086619E" w:rsidRPr="000B2D13" w:rsidRDefault="0086619E" w:rsidP="000B2D13">
      <w:pPr>
        <w:pStyle w:val="a0"/>
        <w:spacing w:line="300" w:lineRule="auto"/>
        <w:rPr>
          <w:rFonts w:asciiTheme="majorHAnsi" w:hAnsiTheme="majorHAnsi" w:cstheme="majorHAnsi"/>
        </w:rPr>
      </w:pPr>
    </w:p>
    <w:p w14:paraId="6637F4D8" w14:textId="77777777" w:rsidR="0086619E" w:rsidRPr="000B2D13" w:rsidRDefault="00000000" w:rsidP="000B2D13">
      <w:pPr>
        <w:pStyle w:val="CaptionedFigure"/>
        <w:spacing w:line="300" w:lineRule="auto"/>
        <w:rPr>
          <w:rFonts w:asciiTheme="majorHAnsi" w:hAnsiTheme="majorHAnsi" w:cstheme="majorHAnsi"/>
        </w:rPr>
      </w:pPr>
      <w:r w:rsidRPr="000B2D13">
        <w:rPr>
          <w:rFonts w:asciiTheme="majorHAnsi" w:hAnsiTheme="majorHAnsi" w:cstheme="majorHAnsi"/>
          <w:noProof/>
        </w:rPr>
        <w:drawing>
          <wp:inline distT="0" distB="0" distL="0" distR="0" wp14:anchorId="22599828" wp14:editId="622EF266">
            <wp:extent cx="5334000" cy="3762708"/>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Users\zarkwang\AppData\Roaming\Typora\typora-user-images\image-20231114070826487.png"/>
                    <pic:cNvPicPr>
                      <a:picLocks noChangeAspect="1" noChangeArrowheads="1"/>
                    </pic:cNvPicPr>
                  </pic:nvPicPr>
                  <pic:blipFill>
                    <a:blip r:embed="rId8"/>
                    <a:stretch>
                      <a:fillRect/>
                    </a:stretch>
                  </pic:blipFill>
                  <pic:spPr bwMode="auto">
                    <a:xfrm>
                      <a:off x="0" y="0"/>
                      <a:ext cx="5334000" cy="3762708"/>
                    </a:xfrm>
                    <a:prstGeom prst="rect">
                      <a:avLst/>
                    </a:prstGeom>
                    <a:noFill/>
                    <a:ln w="9525">
                      <a:noFill/>
                      <a:headEnd/>
                      <a:tailEnd/>
                    </a:ln>
                  </pic:spPr>
                </pic:pic>
              </a:graphicData>
            </a:graphic>
          </wp:inline>
        </w:drawing>
      </w:r>
    </w:p>
    <w:p w14:paraId="0BB8F6C3" w14:textId="77777777" w:rsidR="0086619E" w:rsidRPr="000B2D13" w:rsidRDefault="0086619E" w:rsidP="000B2D13">
      <w:pPr>
        <w:pStyle w:val="ImageCaption"/>
        <w:spacing w:line="300" w:lineRule="auto"/>
        <w:rPr>
          <w:rFonts w:asciiTheme="majorHAnsi" w:hAnsiTheme="majorHAnsi" w:cstheme="majorHAnsi"/>
        </w:rPr>
      </w:pPr>
    </w:p>
    <w:p w14:paraId="51DF46B8" w14:textId="77777777" w:rsidR="0086619E" w:rsidRPr="000B2D13" w:rsidRDefault="0086619E" w:rsidP="000B2D13">
      <w:pPr>
        <w:pStyle w:val="a0"/>
        <w:spacing w:line="300" w:lineRule="auto"/>
        <w:rPr>
          <w:rFonts w:asciiTheme="majorHAnsi" w:hAnsiTheme="majorHAnsi" w:cstheme="majorHAnsi"/>
        </w:rPr>
      </w:pPr>
    </w:p>
    <w:p w14:paraId="7DA8DD4D" w14:textId="77777777" w:rsidR="0086619E" w:rsidRPr="000B2D13" w:rsidRDefault="00000000" w:rsidP="000B2D13">
      <w:pPr>
        <w:pStyle w:val="3"/>
        <w:spacing w:line="300" w:lineRule="auto"/>
        <w:rPr>
          <w:rFonts w:cstheme="majorHAnsi"/>
          <w:color w:val="auto"/>
        </w:rPr>
      </w:pPr>
      <w:bookmarkStart w:id="5" w:name="header-n16"/>
      <w:bookmarkEnd w:id="4"/>
      <w:r w:rsidRPr="000B2D13">
        <w:rPr>
          <w:rFonts w:cstheme="majorHAnsi"/>
          <w:color w:val="auto"/>
        </w:rPr>
        <w:lastRenderedPageBreak/>
        <w:t>2.3 Model Prediction</w:t>
      </w:r>
    </w:p>
    <w:p w14:paraId="523ED8B8" w14:textId="77777777" w:rsidR="0086619E" w:rsidRPr="000B2D13" w:rsidRDefault="00000000" w:rsidP="000B2D13">
      <w:pPr>
        <w:pStyle w:val="FirstParagraph"/>
        <w:spacing w:line="300" w:lineRule="auto"/>
        <w:rPr>
          <w:rFonts w:asciiTheme="majorHAnsi" w:hAnsiTheme="majorHAnsi" w:cstheme="majorHAnsi"/>
        </w:rPr>
      </w:pPr>
      <w:r w:rsidRPr="000B2D13">
        <w:rPr>
          <w:rFonts w:asciiTheme="majorHAnsi" w:hAnsiTheme="majorHAnsi" w:cstheme="majorHAnsi"/>
        </w:rPr>
        <w:t>Suppose a decision maker face a choice between</w:t>
      </w:r>
    </w:p>
    <w:p w14:paraId="500CED86" w14:textId="527C8F82" w:rsidR="0086619E" w:rsidRPr="000B2D13" w:rsidRDefault="00000000" w:rsidP="00CB1F2F">
      <w:pPr>
        <w:pStyle w:val="a0"/>
        <w:spacing w:line="300" w:lineRule="auto"/>
        <w:jc w:val="center"/>
        <w:rPr>
          <w:rFonts w:asciiTheme="majorHAnsi" w:hAnsiTheme="majorHAnsi" w:cstheme="majorHAnsi"/>
        </w:rPr>
      </w:pPr>
      <w:bookmarkStart w:id="6" w:name="_Hlk150909977"/>
      <w:r w:rsidRPr="000B2D13">
        <w:rPr>
          <w:rFonts w:asciiTheme="majorHAnsi" w:hAnsiTheme="majorHAnsi" w:cstheme="majorHAnsi"/>
        </w:rPr>
        <w:t xml:space="preserve">A. receive </w:t>
      </w:r>
      <m:oMath>
        <m:r>
          <w:rPr>
            <w:rFonts w:ascii="Cambria Math" w:hAnsi="Cambria Math" w:cstheme="majorHAnsi"/>
          </w:rPr>
          <m:t>Y</m:t>
        </m:r>
      </m:oMath>
      <w:r w:rsidRPr="000B2D13">
        <w:rPr>
          <w:rFonts w:asciiTheme="majorHAnsi" w:hAnsiTheme="majorHAnsi" w:cstheme="majorHAnsi"/>
        </w:rPr>
        <w:t xml:space="preserve"> today </w:t>
      </w:r>
      <w:r w:rsidR="00CB1F2F">
        <w:rPr>
          <w:rFonts w:asciiTheme="majorHAnsi" w:hAnsiTheme="majorHAnsi" w:cstheme="majorHAnsi"/>
        </w:rPr>
        <w:t xml:space="preserve">  </w:t>
      </w:r>
      <w:r w:rsidRPr="000B2D13">
        <w:rPr>
          <w:rFonts w:asciiTheme="majorHAnsi" w:hAnsiTheme="majorHAnsi" w:cstheme="majorHAnsi"/>
        </w:rPr>
        <w:t>or</w:t>
      </w:r>
      <w:r w:rsidR="00CB1F2F">
        <w:rPr>
          <w:rFonts w:asciiTheme="majorHAnsi" w:hAnsiTheme="majorHAnsi" w:cstheme="majorHAnsi"/>
        </w:rPr>
        <w:t xml:space="preserve">  </w:t>
      </w:r>
      <w:r w:rsidRPr="000B2D13">
        <w:rPr>
          <w:rFonts w:asciiTheme="majorHAnsi" w:hAnsiTheme="majorHAnsi" w:cstheme="majorHAnsi"/>
        </w:rPr>
        <w:t xml:space="preserve"> B. receive £80 today and £40 in 9 </w:t>
      </w:r>
      <w:proofErr w:type="gramStart"/>
      <w:r w:rsidRPr="000B2D13">
        <w:rPr>
          <w:rFonts w:asciiTheme="majorHAnsi" w:hAnsiTheme="majorHAnsi" w:cstheme="majorHAnsi"/>
        </w:rPr>
        <w:t>months</w:t>
      </w:r>
      <w:proofErr w:type="gramEnd"/>
    </w:p>
    <w:bookmarkEnd w:id="6"/>
    <w:p w14:paraId="1B010FFD" w14:textId="77777777" w:rsidR="0086619E" w:rsidRPr="000B2D13" w:rsidRDefault="00000000" w:rsidP="00CB1F2F">
      <w:pPr>
        <w:pStyle w:val="draft"/>
      </w:pPr>
      <w:r w:rsidRPr="000B2D13">
        <w:t xml:space="preserve">Clearly, the indifference point for </w:t>
      </w:r>
      <m:oMath>
        <m:r>
          <w:rPr>
            <w:rFonts w:ascii="Cambria Math" w:hAnsi="Cambria Math"/>
          </w:rPr>
          <m:t>Y</m:t>
        </m:r>
      </m:oMath>
      <w:r w:rsidRPr="000B2D13">
        <w:t xml:space="preserve"> should be larger than £80 and smaller than £80+£40=£120. Suppose it is £100, which means adding a back-end reward of "£40 in 9 months" is equivalent to adding £20 to the existing front-end amount £80 in option B. If we increase the front-end amount £80 to £160, this front-end reward could catch more attention, thus people should pay less attention to "£40 in 9 months". As a result, adding this back-end reward may be equivalent to adding an amount smaller than £20 to the front-end amount £160.</w:t>
      </w:r>
    </w:p>
    <w:p w14:paraId="12CF1C61" w14:textId="083DADE9" w:rsidR="0086619E" w:rsidRPr="000B2D13" w:rsidRDefault="00000000" w:rsidP="00CB1F2F">
      <w:pPr>
        <w:pStyle w:val="draft"/>
      </w:pPr>
      <w:r w:rsidRPr="000B2D13">
        <w:t>This argument is consistent with an empirical finding named "front-end amount effect"</w:t>
      </w:r>
      <w:r w:rsidR="00A97CE4">
        <w:t xml:space="preserve"> </w:t>
      </w:r>
      <w:r w:rsidR="00A97CE4">
        <w:fldChar w:fldCharType="begin"/>
      </w:r>
      <w:r w:rsidR="00A97CE4">
        <w:instrText xml:space="preserve"> ADDIN ZOTERO_ITEM CSL_CITATION {"citationID":"QTfANwOR","properties":{"formattedCitation":"(Rao and Li, 2011)","plainCitation":"(Rao and Li, 2011)","noteIndex":0},"citationItems":[{"id":511,"uris":["http://zotero.org/groups/5009473/items/YEGE3DMB"],"itemData":{"id":511,"type":"article-journal","abstract":"Abstract\n            Similar to research on risky choice, the traditional analysis of intertemporal choice takes the view that an individual behaves so as to maximize the discounted sum of all future utilities. The well-known Allais paradox contradicts the fundamental postulates of maximizing the expected value or utility of a risky option. We describe a violation of the law of diminishing marginal utility as well as an intertemporal version of the Allais paradox.","container-title":"Judgment and Decision Making","DOI":"10.1017/S193029750000406X","ISSN":"1930-2975","issue":"2","journalAbbreviation":"Judgm. decis. mak.","language":"en","page":"122-129","source":"DOI.org (Crossref)","title":"New paradoxes in intertemporal choice","volume":"6","author":[{"family":"Rao","given":"Li-Lin"},{"family":"Li","given":"Shu"}],"issued":{"date-parts":[["2011",2]]}}}],"schema":"https://github.com/citation-style-language/schema/raw/master/csl-citation.json"} </w:instrText>
      </w:r>
      <w:r w:rsidR="00A97CE4">
        <w:fldChar w:fldCharType="separate"/>
      </w:r>
      <w:r w:rsidR="00A97CE4" w:rsidRPr="00A97CE4">
        <w:rPr>
          <w:rFonts w:ascii="Calibri" w:hAnsi="Calibri" w:cs="Calibri"/>
        </w:rPr>
        <w:t>(Rao and Li, 2011)</w:t>
      </w:r>
      <w:r w:rsidR="00A97CE4">
        <w:fldChar w:fldCharType="end"/>
      </w:r>
      <w:r w:rsidRPr="000B2D13">
        <w:t xml:space="preserve">. The front-end amount effect proposes that, suppose the decision maker is indifferent between "receive £10 today" (SS) and "receive £30 in 3 months" (LL). Then, when comparing "receive £510 today" (SS1) and "receive £500 today and £30 in 3 months" (LL1), she would prefer SS1 to LL1. That is, adding a common front-end amount to both options makes the decision maker less patient. Note that, in the latter case, to make SS1 indifferent with LL1, the reward amount in SS1 should become smaller. So, if the front-end amount effect holds true, then argument above </w:t>
      </w:r>
      <w:r w:rsidR="00A97CE4" w:rsidRPr="000B2D13">
        <w:t>should also be</w:t>
      </w:r>
      <w:r w:rsidRPr="000B2D13">
        <w:t xml:space="preserve"> true. </w:t>
      </w:r>
    </w:p>
    <w:p w14:paraId="2E8062F2" w14:textId="77777777" w:rsidR="0086619E" w:rsidRPr="000B2D13" w:rsidRDefault="00000000" w:rsidP="00CB1F2F">
      <w:pPr>
        <w:pStyle w:val="draft"/>
      </w:pPr>
      <w:r w:rsidRPr="000B2D13">
        <w:t>However, the impact of attentional capture is not limited to front-end amount. Consider the following choice:</w:t>
      </w:r>
    </w:p>
    <w:p w14:paraId="0E60B01D" w14:textId="4D8743CB" w:rsidR="0086619E" w:rsidRPr="000B2D13" w:rsidRDefault="00000000" w:rsidP="000B2D13">
      <w:pPr>
        <w:pStyle w:val="a0"/>
        <w:spacing w:line="300" w:lineRule="auto"/>
        <w:jc w:val="center"/>
        <w:rPr>
          <w:rFonts w:asciiTheme="majorHAnsi" w:hAnsiTheme="majorHAnsi" w:cstheme="majorHAnsi"/>
        </w:rPr>
      </w:pPr>
      <w:r w:rsidRPr="000B2D13">
        <w:rPr>
          <w:rFonts w:asciiTheme="majorHAnsi" w:hAnsiTheme="majorHAnsi" w:cstheme="majorHAnsi"/>
        </w:rPr>
        <w:t xml:space="preserve">A. receive </w:t>
      </w:r>
      <m:oMath>
        <m:r>
          <w:rPr>
            <w:rFonts w:ascii="Cambria Math" w:hAnsi="Cambria Math" w:cstheme="majorHAnsi"/>
          </w:rPr>
          <m:t>Y</m:t>
        </m:r>
      </m:oMath>
      <w:r w:rsidRPr="000B2D13">
        <w:rPr>
          <w:rFonts w:asciiTheme="majorHAnsi" w:hAnsiTheme="majorHAnsi" w:cstheme="majorHAnsi"/>
        </w:rPr>
        <w:t xml:space="preserve"> in 9 months </w:t>
      </w:r>
      <w:r w:rsidR="000B2D13">
        <w:rPr>
          <w:rFonts w:asciiTheme="majorHAnsi" w:hAnsiTheme="majorHAnsi" w:cstheme="majorHAnsi"/>
        </w:rPr>
        <w:t xml:space="preserve">  </w:t>
      </w:r>
      <w:r w:rsidRPr="000B2D13">
        <w:rPr>
          <w:rFonts w:asciiTheme="majorHAnsi" w:hAnsiTheme="majorHAnsi" w:cstheme="majorHAnsi"/>
        </w:rPr>
        <w:t>or</w:t>
      </w:r>
      <w:r w:rsidR="000B2D13">
        <w:rPr>
          <w:rFonts w:asciiTheme="majorHAnsi" w:hAnsiTheme="majorHAnsi" w:cstheme="majorHAnsi"/>
        </w:rPr>
        <w:t xml:space="preserve">  </w:t>
      </w:r>
      <w:r w:rsidRPr="000B2D13">
        <w:rPr>
          <w:rFonts w:asciiTheme="majorHAnsi" w:hAnsiTheme="majorHAnsi" w:cstheme="majorHAnsi"/>
        </w:rPr>
        <w:t xml:space="preserve"> B. receive £80 today and £160 in 9 </w:t>
      </w:r>
      <w:proofErr w:type="gramStart"/>
      <w:r w:rsidRPr="000B2D13">
        <w:rPr>
          <w:rFonts w:asciiTheme="majorHAnsi" w:hAnsiTheme="majorHAnsi" w:cstheme="majorHAnsi"/>
        </w:rPr>
        <w:t>months</w:t>
      </w:r>
      <w:proofErr w:type="gramEnd"/>
    </w:p>
    <w:p w14:paraId="2E5105FA" w14:textId="77777777" w:rsidR="0086619E" w:rsidRPr="000B2D13" w:rsidRDefault="00000000" w:rsidP="00CB1F2F">
      <w:pPr>
        <w:pStyle w:val="draft"/>
      </w:pPr>
      <w:r w:rsidRPr="000B2D13">
        <w:t xml:space="preserve">In this choice, option A is aligned with the back-end reward of option B. When the back-end amount in option B increases, people should pay less attention to the front-end amount, so the difference of </w:t>
      </w:r>
      <m:oMath>
        <m:r>
          <w:rPr>
            <w:rFonts w:ascii="Cambria Math" w:hAnsi="Cambria Math"/>
          </w:rPr>
          <m:t>Y</m:t>
        </m:r>
      </m:oMath>
      <w:r w:rsidRPr="000B2D13">
        <w:t xml:space="preserve"> from the back-end amount could become smaller. So far, I have not found a related evidence for the effect about back-end amount.</w:t>
      </w:r>
    </w:p>
    <w:p w14:paraId="755F1F8F" w14:textId="77777777" w:rsidR="0086619E" w:rsidRPr="000B2D13" w:rsidRDefault="00000000" w:rsidP="00CB1F2F">
      <w:pPr>
        <w:pStyle w:val="draft"/>
      </w:pPr>
      <w:r w:rsidRPr="000B2D13">
        <w:t>Now, we can summarize the model predictions with mathematic notation:</w:t>
      </w:r>
    </w:p>
    <w:p w14:paraId="5D4AA5B0" w14:textId="77777777" w:rsidR="0086619E" w:rsidRPr="000B2D13" w:rsidRDefault="00000000" w:rsidP="00CB1F2F">
      <w:pPr>
        <w:pStyle w:val="draft"/>
      </w:pPr>
      <w:r w:rsidRPr="000B2D13">
        <w:t xml:space="preserve">Suppose a decision make is indifferent between a single-period reward ("receive </w:t>
      </w:r>
      <m:oMath>
        <m:r>
          <w:rPr>
            <w:rFonts w:ascii="Cambria Math" w:hAnsi="Cambria Math"/>
          </w:rPr>
          <m:t>Y</m:t>
        </m:r>
      </m:oMath>
      <w:r w:rsidRPr="000B2D13">
        <w:t xml:space="preserve"> at time </w:t>
      </w:r>
      <m:oMath>
        <m:r>
          <w:rPr>
            <w:rFonts w:ascii="Cambria Math" w:hAnsi="Cambria Math"/>
          </w:rPr>
          <m:t>D</m:t>
        </m:r>
      </m:oMath>
      <w:r w:rsidRPr="000B2D13">
        <w:t xml:space="preserve">") and a two-reward sequence ("receive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today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in time </w:t>
      </w:r>
      <m:oMath>
        <m:r>
          <w:rPr>
            <w:rFonts w:ascii="Cambria Math" w:hAnsi="Cambria Math"/>
          </w:rPr>
          <m:t>T</m:t>
        </m:r>
      </m:oMath>
      <w:r w:rsidRPr="000B2D13">
        <w:t>"). Then, with the others equal,</w:t>
      </w:r>
    </w:p>
    <w:p w14:paraId="04439138" w14:textId="77777777" w:rsidR="00CB1F2F" w:rsidRDefault="00000000" w:rsidP="00CB1F2F">
      <w:pPr>
        <w:pStyle w:val="draft"/>
        <w:numPr>
          <w:ilvl w:val="0"/>
          <w:numId w:val="4"/>
        </w:numPr>
      </w:pPr>
      <w:r w:rsidRPr="000B2D13">
        <w:t xml:space="preserve">if </w:t>
      </w:r>
      <m:oMath>
        <m:r>
          <w:rPr>
            <w:rFonts w:ascii="Cambria Math" w:hAnsi="Cambria Math"/>
          </w:rPr>
          <m:t>D</m:t>
        </m:r>
      </m:oMath>
      <w:r w:rsidRPr="000B2D13">
        <w:t xml:space="preserve"> is today, for a large enough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may be decreasing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w:t>
      </w:r>
    </w:p>
    <w:p w14:paraId="414CE5F7" w14:textId="00D19B68" w:rsidR="0086619E" w:rsidRPr="000B2D13" w:rsidRDefault="00000000" w:rsidP="00CB1F2F">
      <w:pPr>
        <w:pStyle w:val="draft"/>
        <w:numPr>
          <w:ilvl w:val="0"/>
          <w:numId w:val="4"/>
        </w:numPr>
      </w:pPr>
      <w:r w:rsidRPr="000B2D13">
        <w:t xml:space="preserve">if </w:t>
      </w:r>
      <m:oMath>
        <m:r>
          <w:rPr>
            <w:rFonts w:ascii="Cambria Math" w:hAnsi="Cambria Math"/>
          </w:rPr>
          <m:t>D</m:t>
        </m:r>
        <m:r>
          <m:rPr>
            <m:sty m:val="p"/>
          </m:rPr>
          <w:rPr>
            <w:rFonts w:ascii="Cambria Math" w:hAnsi="Cambria Math"/>
          </w:rPr>
          <m:t>=</m:t>
        </m:r>
        <m:r>
          <w:rPr>
            <w:rFonts w:ascii="Cambria Math" w:hAnsi="Cambria Math"/>
          </w:rPr>
          <m:t>T</m:t>
        </m:r>
      </m:oMath>
      <w:r w:rsidRPr="000B2D13">
        <w:t xml:space="preserve">, for a large enough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may be decreasing in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w:t>
      </w:r>
    </w:p>
    <w:p w14:paraId="3E1F0E1F" w14:textId="77777777" w:rsidR="0086619E" w:rsidRPr="000B2D13" w:rsidRDefault="00000000" w:rsidP="000B2D13">
      <w:pPr>
        <w:pStyle w:val="2"/>
        <w:spacing w:line="300" w:lineRule="auto"/>
        <w:rPr>
          <w:rFonts w:cstheme="majorHAnsi"/>
          <w:color w:val="auto"/>
        </w:rPr>
      </w:pPr>
      <w:bookmarkStart w:id="7" w:name="header-n30"/>
      <w:bookmarkEnd w:id="2"/>
      <w:bookmarkEnd w:id="5"/>
      <w:r w:rsidRPr="000B2D13">
        <w:rPr>
          <w:rFonts w:cstheme="majorHAnsi"/>
          <w:color w:val="auto"/>
        </w:rPr>
        <w:lastRenderedPageBreak/>
        <w:t>3 Related Theories</w:t>
      </w:r>
    </w:p>
    <w:p w14:paraId="486D897D" w14:textId="77777777" w:rsidR="0086619E" w:rsidRPr="000B2D13" w:rsidRDefault="00000000" w:rsidP="000B2D13">
      <w:pPr>
        <w:pStyle w:val="3"/>
        <w:spacing w:line="300" w:lineRule="auto"/>
        <w:rPr>
          <w:rFonts w:cstheme="majorHAnsi"/>
          <w:color w:val="auto"/>
        </w:rPr>
      </w:pPr>
      <w:bookmarkStart w:id="8" w:name="header-n31"/>
      <w:r w:rsidRPr="000B2D13">
        <w:rPr>
          <w:rFonts w:cstheme="majorHAnsi"/>
          <w:color w:val="auto"/>
        </w:rPr>
        <w:t>3.1 Standard Discounted Utility Models</w:t>
      </w:r>
    </w:p>
    <w:p w14:paraId="2D404C2A" w14:textId="77777777" w:rsidR="0086619E" w:rsidRPr="000B2D13" w:rsidRDefault="00000000" w:rsidP="00CB1F2F">
      <w:pPr>
        <w:pStyle w:val="draft"/>
      </w:pPr>
      <w:r w:rsidRPr="000B2D13">
        <w:t xml:space="preserve">Here we only consider the case of a varying front-end amount. But the same rationale can be applied to the back-end amount case. Let </w:t>
      </w:r>
      <m:oMath>
        <m:r>
          <w:rPr>
            <w:rFonts w:ascii="Cambria Math" w:hAnsi="Cambria Math"/>
          </w:rPr>
          <m:t>u</m:t>
        </m:r>
        <m:d>
          <m:dPr>
            <m:ctrlPr>
              <w:rPr>
                <w:rFonts w:ascii="Cambria Math" w:hAnsi="Cambria Math"/>
              </w:rPr>
            </m:ctrlPr>
          </m:dPr>
          <m:e>
            <m:r>
              <m:rPr>
                <m:sty m:val="p"/>
              </m:rPr>
              <w:rPr>
                <w:rFonts w:ascii="Cambria Math" w:hAnsi="Cambria Math"/>
              </w:rPr>
              <m:t>.</m:t>
            </m:r>
          </m:e>
        </m:d>
      </m:oMath>
      <w:r w:rsidRPr="000B2D13">
        <w:t xml:space="preserve"> be the instantaneous utility function, </w:t>
      </w:r>
      <m:oMath>
        <m:r>
          <w:rPr>
            <w:rFonts w:ascii="Cambria Math" w:hAnsi="Cambria Math"/>
          </w:rPr>
          <m:t>u</m:t>
        </m:r>
        <m:r>
          <m:rPr>
            <m:sty m:val="p"/>
          </m:rPr>
          <w:rPr>
            <w:rFonts w:ascii="Cambria Math" w:hAnsi="Cambria Math"/>
          </w:rPr>
          <m:t>'&gt;</m:t>
        </m:r>
        <m:r>
          <w:rPr>
            <w:rFonts w:ascii="Cambria Math" w:hAnsi="Cambria Math"/>
          </w:rPr>
          <m:t>0</m:t>
        </m:r>
      </m:oMath>
      <w:r w:rsidRPr="000B2D13">
        <w:t xml:space="preserve">, </w:t>
      </w:r>
      <m:oMath>
        <m:r>
          <w:rPr>
            <w:rFonts w:ascii="Cambria Math" w:hAnsi="Cambria Math"/>
          </w:rPr>
          <m:t>u</m:t>
        </m:r>
        <m:r>
          <m:rPr>
            <m:sty m:val="p"/>
          </m:rPr>
          <w:rPr>
            <w:rFonts w:ascii="Cambria Math" w:hAnsi="Cambria Math"/>
          </w:rPr>
          <m:t>″&lt;</m:t>
        </m:r>
        <m:r>
          <w:rPr>
            <w:rFonts w:ascii="Cambria Math" w:hAnsi="Cambria Math"/>
          </w:rPr>
          <m:t>0</m:t>
        </m:r>
      </m:oMath>
      <w:r w:rsidRPr="000B2D13">
        <w:t xml:space="preserve">. In standard discounted utility models, we can solve the indifference point for </w:t>
      </w:r>
      <m:oMath>
        <m:r>
          <w:rPr>
            <w:rFonts w:ascii="Cambria Math" w:hAnsi="Cambria Math"/>
          </w:rPr>
          <m:t>Y</m:t>
        </m:r>
      </m:oMath>
      <w:r w:rsidRPr="000B2D13">
        <w:t xml:space="preserve"> by: </w:t>
      </w:r>
    </w:p>
    <w:p w14:paraId="16B6B33D" w14:textId="77777777" w:rsidR="0086619E" w:rsidRPr="000B2D13" w:rsidRDefault="00000000" w:rsidP="00CB1F2F">
      <w:pPr>
        <w:pStyle w:val="draft"/>
      </w:pPr>
      <m:oMathPara>
        <m:oMathParaPr>
          <m:jc m:val="center"/>
        </m:oMathParaPr>
        <m:oMath>
          <m:r>
            <w:rPr>
              <w:rFonts w:ascii="Cambria Math" w:hAnsi="Cambria Math"/>
            </w:rPr>
            <m:t>u</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m:oMathPara>
    </w:p>
    <w:p w14:paraId="7A06E5AD" w14:textId="77777777" w:rsidR="0086619E" w:rsidRPr="000B2D13" w:rsidRDefault="00000000" w:rsidP="00CB1F2F">
      <w:pPr>
        <w:pStyle w:val="draft"/>
      </w:pPr>
      <w:r w:rsidRPr="000B2D13">
        <w:t xml:space="preserve">Fixing the back-end amount (so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and </w:t>
      </w:r>
      <m:oMath>
        <m:r>
          <w:rPr>
            <w:rFonts w:ascii="Cambria Math" w:hAnsi="Cambria Math"/>
          </w:rPr>
          <m:t>δ</m:t>
        </m:r>
      </m:oMath>
      <w:r w:rsidRPr="000B2D13">
        <w:t xml:space="preserve"> is fixed) and rearranging the equation, we can know that </w:t>
      </w:r>
      <m:oMath>
        <m:r>
          <w:rPr>
            <w:rFonts w:ascii="Cambria Math" w:hAnsi="Cambria Math"/>
          </w:rPr>
          <m:t>u</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oMath>
      <w:r w:rsidRPr="000B2D13">
        <w:t xml:space="preserve"> is fixed. Think of this example: a decision maker is indifferent between receiving £100 today (option A) and receiving £80 today and £40 in 9 months (option B); that is,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£80 and the indifference point for </w:t>
      </w:r>
      <m:oMath>
        <m:r>
          <w:rPr>
            <w:rFonts w:ascii="Cambria Math" w:hAnsi="Cambria Math"/>
          </w:rPr>
          <m:t>Y</m:t>
        </m:r>
      </m:oMath>
      <w:r w:rsidRPr="000B2D13">
        <w:t xml:space="preserve"> is £100. If we increase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by £80, to £160, then due to diminishing marginal utility, we should have </w:t>
      </w:r>
      <m:oMath>
        <m:r>
          <w:rPr>
            <w:rFonts w:ascii="Cambria Math" w:hAnsi="Cambria Math"/>
          </w:rPr>
          <m:t>u</m:t>
        </m:r>
        <m:d>
          <m:dPr>
            <m:ctrlPr>
              <w:rPr>
                <w:rFonts w:ascii="Cambria Math" w:hAnsi="Cambria Math"/>
              </w:rPr>
            </m:ctrlPr>
          </m:dPr>
          <m:e>
            <m:r>
              <w:rPr>
                <w:rFonts w:ascii="Cambria Math" w:hAnsi="Cambria Math"/>
              </w:rPr>
              <m:t>180</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160</m:t>
            </m:r>
          </m:e>
        </m:d>
        <m:r>
          <m:rPr>
            <m:sty m:val="p"/>
          </m:rPr>
          <w:rPr>
            <w:rFonts w:ascii="Cambria Math" w:hAnsi="Cambria Math"/>
          </w:rPr>
          <m:t>&lt;</m:t>
        </m:r>
        <m:r>
          <w:rPr>
            <w:rFonts w:ascii="Cambria Math" w:hAnsi="Cambria Math"/>
          </w:rPr>
          <m:t>u</m:t>
        </m:r>
        <m:d>
          <m:dPr>
            <m:ctrlPr>
              <w:rPr>
                <w:rFonts w:ascii="Cambria Math" w:hAnsi="Cambria Math"/>
              </w:rPr>
            </m:ctrlPr>
          </m:dPr>
          <m:e>
            <m:r>
              <w:rPr>
                <w:rFonts w:ascii="Cambria Math" w:hAnsi="Cambria Math"/>
              </w:rPr>
              <m:t>100</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80</m:t>
            </m:r>
          </m:e>
        </m:d>
      </m:oMath>
      <w:r w:rsidRPr="000B2D13">
        <w:t xml:space="preserve">. Thus, when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increased by £80, the indifference point for </w:t>
      </w:r>
      <m:oMath>
        <m:r>
          <w:rPr>
            <w:rFonts w:ascii="Cambria Math" w:hAnsi="Cambria Math"/>
          </w:rPr>
          <m:t>Y</m:t>
        </m:r>
      </m:oMath>
      <w:r w:rsidRPr="000B2D13">
        <w:t xml:space="preserve"> should be increased by an amount more than £80. In other words, the standard discounted utility models predict that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always increasing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w:t>
      </w:r>
    </w:p>
    <w:p w14:paraId="75A618BA" w14:textId="77777777" w:rsidR="0086619E" w:rsidRPr="000B2D13" w:rsidRDefault="00000000" w:rsidP="00CB1F2F">
      <w:pPr>
        <w:pStyle w:val="draft"/>
      </w:pPr>
      <w:r w:rsidRPr="000B2D13">
        <w:t>Note that the impact of diminishing marginal utility is contradictory with value-driven attentional capture. Therefore, even if the decision makers are influenced by attentional capture, as long as the influence is not strong enough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do not catch enough attention),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may still be increasing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When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small, the impact of diminishing marginal utility may override attentional capture, and thus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can be increasing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only when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large enough could we observe a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being decreasing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w:t>
      </w:r>
    </w:p>
    <w:p w14:paraId="000F9395" w14:textId="77777777" w:rsidR="0086619E" w:rsidRPr="000B2D13" w:rsidRDefault="00000000" w:rsidP="000B2D13">
      <w:pPr>
        <w:pStyle w:val="3"/>
        <w:spacing w:line="300" w:lineRule="auto"/>
        <w:rPr>
          <w:rFonts w:cstheme="majorHAnsi"/>
          <w:color w:val="auto"/>
        </w:rPr>
      </w:pPr>
      <w:bookmarkStart w:id="9" w:name="header-n37"/>
      <w:bookmarkEnd w:id="8"/>
      <w:r w:rsidRPr="000B2D13">
        <w:rPr>
          <w:rFonts w:cstheme="majorHAnsi"/>
          <w:color w:val="auto"/>
        </w:rPr>
        <w:t>3.2 Cognitive Uncertainty</w:t>
      </w:r>
    </w:p>
    <w:p w14:paraId="7E389108" w14:textId="07860228" w:rsidR="0089519E" w:rsidRDefault="00000000" w:rsidP="00CB1F2F">
      <w:pPr>
        <w:pStyle w:val="draft"/>
      </w:pPr>
      <w:r w:rsidRPr="000B2D13">
        <w:t>In intertemporal choice, one alternative account for people</w:t>
      </w:r>
      <w:r w:rsidR="0089519E">
        <w:t xml:space="preserve">’s </w:t>
      </w:r>
      <w:r w:rsidRPr="000B2D13">
        <w:t>insensitiv</w:t>
      </w:r>
      <w:r w:rsidR="0089519E">
        <w:t>ity</w:t>
      </w:r>
      <w:r w:rsidRPr="000B2D13">
        <w:t xml:space="preserve"> to changes in a reward sequence could be, they are uncertain about the value of that </w:t>
      </w:r>
      <w:r w:rsidR="00273C9E">
        <w:t>sequence</w:t>
      </w:r>
      <w:r w:rsidRPr="000B2D13">
        <w:t>. This notion is closely related to the term “cognitive uncertainty” in recent literature. Such literature proposes that many decision anomalies can be explained by nois</w:t>
      </w:r>
      <w:r w:rsidR="00273C9E">
        <w:t xml:space="preserve">y perception of value </w:t>
      </w:r>
      <w:r w:rsidR="00273C9E">
        <w:fldChar w:fldCharType="begin"/>
      </w:r>
      <w:r w:rsidR="00173688">
        <w:instrText xml:space="preserve"> ADDIN ZOTERO_ITEM CSL_CITATION {"citationID":"OmzlOJQP","properties":{"formattedCitation":"(Gabaix and Laibson, 2017; Khaw et al., 2021; Loomes, 2005)","plainCitation":"(Gabaix and Laibson, 2017; Khaw et al., 2021; Loomes, 2005)","noteIndex":0},"citationItems":[{"id":219,"uris":["http://zotero.org/groups/5009473/items/MPU9ATRY"],"itemData":{"id":219,"type":"article","event-place":"Cambridge, MA","language":"en","note":"DOI: 10.3386/w23254","number":"w23254","publisher":"National Bureau of Economic Research","publisher-place":"Cambridge, MA","source":"DOI.org (Crossref)","title":"Myopia and Discounting","URL":"http://www.nber.org/papers/w23254.pdf","author":[{"family":"Gabaix","given":"Xavier"},{"family":"Laibson","given":"David"}],"accessed":{"date-parts":[["2023",3,30]]},"issued":{"date-parts":[["2017",3]]}}},{"id":506,"uris":["http://zotero.org/groups/5222764/items/FYMBTGGC"],"itemData":{"id":506,"type":"article-journal","abstract":"Abstract\n            Observed choices between risky lotteries are difficult to reconcile with expected utility maximization, both because subjects appear to be too risk averse with regard to small gambles for this to be explained by diminishing marginal utility of wealth, as stressed by Rabin (2000), and because subjects’ responses involve a random element. We propose a unified explanation for both anomalies, similar to the explanation given for related phenomena in the case of perceptual judgments: they result from judgments based on imprecise (and noisy) mental representations of the decision situation. In this model, risk aversion results from a sort of perceptual bias—but one that represents an optimal decision rule, given the limitations of the mental representation of the situation. We propose a quantitative model of the noisy mental representation of simple lotteries, based on other evidence regarding numerical cognition, and test its ability to explain the choice frequencies that we observe in a laboratory experiment.","container-title":"The Review of Economic Studies","DOI":"10.1093/restud/rdaa044","ISSN":"0034-6527, 1467-937X","issue":"4","language":"en","page":"1979-2013","source":"DOI.org (Crossref)","title":"Cognitive Imprecision and Small-Stakes Risk Aversion","volume":"88","author":[{"family":"Khaw","given":"Mel Win"},{"family":"Li","given":"Ziang"},{"family":"Woodford","given":"Michael"}],"issued":{"date-parts":[["2021",7,17]]}}},{"id":505,"uris":["http://zotero.org/groups/5222764/items/QWLEURSK"],"itemData":{"id":505,"type":"article-journal","container-title":"Experimental Economics","DOI":"10.1007/s10683-005-5372-9","ISSN":"1386-4157, 1573-6938","issue":"4","journalAbbreviation":"Exp Econ","language":"en","page":"301-323","source":"DOI.org (Crossref)","title":"Modelling the Stochastic Component of Behaviour in Experiments: Some Issues for the Interpretation of Data","title-short":"Modelling the Stochastic Component of Behaviour in Experiments","volume":"8","author":[{"family":"Loomes","given":"Graham"}],"issued":{"date-parts":[["2005",12]]}}}],"schema":"https://github.com/citation-style-language/schema/raw/master/csl-citation.json"} </w:instrText>
      </w:r>
      <w:r w:rsidR="00273C9E">
        <w:fldChar w:fldCharType="separate"/>
      </w:r>
      <w:r w:rsidR="00173688" w:rsidRPr="00173688">
        <w:rPr>
          <w:rFonts w:ascii="Calibri" w:hAnsi="Calibri" w:cs="Calibri"/>
        </w:rPr>
        <w:t>(</w:t>
      </w:r>
      <w:proofErr w:type="spellStart"/>
      <w:r w:rsidR="00173688" w:rsidRPr="00173688">
        <w:rPr>
          <w:rFonts w:ascii="Calibri" w:hAnsi="Calibri" w:cs="Calibri"/>
        </w:rPr>
        <w:t>Gabaix</w:t>
      </w:r>
      <w:proofErr w:type="spellEnd"/>
      <w:r w:rsidR="00173688" w:rsidRPr="00173688">
        <w:rPr>
          <w:rFonts w:ascii="Calibri" w:hAnsi="Calibri" w:cs="Calibri"/>
        </w:rPr>
        <w:t xml:space="preserve"> and </w:t>
      </w:r>
      <w:proofErr w:type="spellStart"/>
      <w:r w:rsidR="00173688" w:rsidRPr="00173688">
        <w:rPr>
          <w:rFonts w:ascii="Calibri" w:hAnsi="Calibri" w:cs="Calibri"/>
        </w:rPr>
        <w:t>Laibson</w:t>
      </w:r>
      <w:proofErr w:type="spellEnd"/>
      <w:r w:rsidR="00173688" w:rsidRPr="00173688">
        <w:rPr>
          <w:rFonts w:ascii="Calibri" w:hAnsi="Calibri" w:cs="Calibri"/>
        </w:rPr>
        <w:t xml:space="preserve">, 2017; Khaw et al., 2021; </w:t>
      </w:r>
      <w:proofErr w:type="spellStart"/>
      <w:r w:rsidR="00173688" w:rsidRPr="00173688">
        <w:rPr>
          <w:rFonts w:ascii="Calibri" w:hAnsi="Calibri" w:cs="Calibri"/>
        </w:rPr>
        <w:t>Loomes</w:t>
      </w:r>
      <w:proofErr w:type="spellEnd"/>
      <w:r w:rsidR="00173688" w:rsidRPr="00173688">
        <w:rPr>
          <w:rFonts w:ascii="Calibri" w:hAnsi="Calibri" w:cs="Calibri"/>
        </w:rPr>
        <w:t>, 2005)</w:t>
      </w:r>
      <w:r w:rsidR="00273C9E">
        <w:fldChar w:fldCharType="end"/>
      </w:r>
      <w:r w:rsidRPr="000B2D13">
        <w:t>.</w:t>
      </w:r>
      <w:r w:rsidR="0089519E">
        <w:t xml:space="preserve"> </w:t>
      </w:r>
    </w:p>
    <w:p w14:paraId="60759B54" w14:textId="1D46FC3C" w:rsidR="0086619E" w:rsidRDefault="0089519E" w:rsidP="00CB1F2F">
      <w:pPr>
        <w:pStyle w:val="draft"/>
      </w:pPr>
      <w:r w:rsidRPr="0089519E">
        <w:rPr>
          <w:rFonts w:ascii="Calibri" w:hAnsi="Calibri" w:cs="Calibri"/>
        </w:rPr>
        <w:t>Enke and Graeber</w:t>
      </w:r>
      <w:r>
        <w:t xml:space="preserve"> </w:t>
      </w:r>
      <w:r>
        <w:fldChar w:fldCharType="begin"/>
      </w:r>
      <w:r>
        <w:instrText xml:space="preserve"> ADDIN ZOTERO_ITEM CSL_CITATION {"citationID":"eKYn8log","properties":{"formattedCitation":"(Enke and Graeber, 2023)","plainCitation":"(Enke and Graeber, 2023)","noteIndex":0},"citationItems":[{"id":508,"uris":["http://zotero.org/groups/5222764/items/GVYNQYSH"],"itemData":{"id":508,"type":"article-journal","abstract":"Abstract\n            This article documents the economic relevance of measuring cognitive uncertainty: people’s subjective uncertainty over their ex ante utility-maximizing decision. In a series of experiments on choice under risk, the formation of beliefs, and forecasts of economic variables, we show that cognitive uncertainty predicts various systematic biases in economic decisions. When people are cognitively uncertain—either endogenously or because the problem is designed to be complex—their decisions are heavily attenuated functions of objective probabilities, which gives rise to average behavior that is regressive to an intermediate option. This insight ties together a wide range of empirical regularities in behavioral economics that are typically viewed as distinct phenomena or even as reflecting preferences, including the probability weighting function in choice under risk; base rate insensitivity, conservatism, and sample size effects in belief updating; and predictable overoptimism and -pessimism in forecasts of economic variables. Our results offer a blueprint for how a simple measurement of cognitive uncertainty generates novel insights about what people find complex and how they respond to it.","container-title":"The Quarterly Journal of Economics","DOI":"10.1093/qje/qjad025","ISSN":"0033-5533, 1531-4650","issue":"4","language":"en","page":"2021-2067","source":"DOI.org (Crossref)","title":"Cognitive Uncertainty","volume":"138","author":[{"family":"Enke","given":"Benjamin"},{"family":"Graeber","given":"Thomas"}],"issued":{"date-parts":[["2023",9,26]]}}}],"schema":"https://github.com/citation-style-language/schema/raw/master/csl-citation.json"} </w:instrText>
      </w:r>
      <w:r>
        <w:fldChar w:fldCharType="separate"/>
      </w:r>
      <w:r w:rsidRPr="0089519E">
        <w:rPr>
          <w:rFonts w:ascii="Calibri" w:hAnsi="Calibri" w:cs="Calibri"/>
        </w:rPr>
        <w:t>(2023)</w:t>
      </w:r>
      <w:r>
        <w:fldChar w:fldCharType="end"/>
      </w:r>
      <w:r>
        <w:t xml:space="preserve"> propose that, to measure cognitive uncertainty, one can let participants to rate how sure they are about the choices they made. To test whether cognitive uncertainty has an impact in our experimental decision context, I set such a question after each choice list as well. </w:t>
      </w:r>
    </w:p>
    <w:p w14:paraId="40B32FCD" w14:textId="1473EA8D" w:rsidR="0086619E" w:rsidRDefault="0089519E" w:rsidP="00CB1F2F">
      <w:pPr>
        <w:pStyle w:val="draft"/>
        <w:rPr>
          <w:lang w:eastAsia="zh-CN"/>
        </w:rPr>
      </w:pPr>
      <w:r w:rsidRPr="0089519E">
        <w:lastRenderedPageBreak/>
        <w:t xml:space="preserve">Moreover, </w:t>
      </w:r>
      <w:r w:rsidR="00173688">
        <w:t xml:space="preserve"> </w:t>
      </w:r>
      <w:r w:rsidR="00173688" w:rsidRPr="00173688">
        <w:t>Frydman and Jin</w:t>
      </w:r>
      <w:r w:rsidR="00173688">
        <w:t xml:space="preserve"> </w:t>
      </w:r>
      <w:r w:rsidR="00173688">
        <w:fldChar w:fldCharType="begin"/>
      </w:r>
      <w:r w:rsidR="00A97CE4">
        <w:instrText xml:space="preserve"> ADDIN ZOTERO_ITEM CSL_CITATION {"citationID":"385hneDy","properties":{"formattedCitation":"(Frydman and Jin, 2021)","plainCitation":"(Frydman and Jin, 2021)","dontUpdate":true,"noteIndex":0},"citationItems":[{"id":493,"uris":["http://zotero.org/groups/5222764/items/GMMTXCL6"],"itemData":{"id":493,"type":"article-journal","abstract":"Abstract\n            We experimentally test a theory of risky choice in which the perception of a lottery payoff is noisy due to information processing constraints in the brain. We model perception using the principle of efficient coding, which implies that perception is most accurate for those payoffs that occur most frequently. Across two preregistered laboratory experiments, we manipulate the distribution from which payoffs in the choice set are drawn. In our first experiment, we find that risk taking is more sensitive to payoffs that are presented more frequently. In a follow-up task, we incentivize subjects to classify which of two symbolic numbers is larger. Subjects exhibit higher accuracy and faster response times for numbers they have observed more frequently. In our second experiment, we manipulate the payoff distribution so that efficient coding modulates the strength of valuation biases. As we experimentally increase the frequency of large payoffs, we find that subjects perceive the upside of a risky lottery more accurately and take greater risk. Together, our experimental results suggest that risk taking depends systematically on the payoff distribution to which the decision maker’s perceptual system has recently adapted. More broadly, our findings highlight the importance of imprecise and efficient coding in economic decision making.","container-title":"The Quarterly Journal of Economics","DOI":"10.1093/qje/qjab031","ISSN":"0033-5533, 1531-4650","issue":"1","language":"en","page":"161-213","source":"DOI.org (Crossref)","title":"Efficient Coding and Risky Choice","volume":"137","author":[{"family":"Frydman","given":"Cary"},{"family":"Jin","given":"Lawrence J"}],"issued":{"date-parts":[["2021",12,24]]}}}],"schema":"https://github.com/citation-style-language/schema/raw/master/csl-citation.json"} </w:instrText>
      </w:r>
      <w:r w:rsidR="00173688">
        <w:fldChar w:fldCharType="separate"/>
      </w:r>
      <w:r w:rsidR="00173688" w:rsidRPr="00173688">
        <w:t>(2021)</w:t>
      </w:r>
      <w:r w:rsidR="00173688">
        <w:fldChar w:fldCharType="end"/>
      </w:r>
      <w:r w:rsidR="00173688">
        <w:t xml:space="preserve"> test a theory of this type, called “efficient coding”,</w:t>
      </w:r>
      <w:r>
        <w:t xml:space="preserve"> </w:t>
      </w:r>
      <w:r w:rsidR="00173688">
        <w:t>in two risky choice experiments. Insights from their experiment 1 may help explain</w:t>
      </w:r>
      <w:r w:rsidR="00CB1F2F">
        <w:t xml:space="preserve"> (but do not directly explain)</w:t>
      </w:r>
      <w:r w:rsidR="00173688">
        <w:t xml:space="preserve"> a phenomenon found in our last experiment.</w:t>
      </w:r>
      <w:r w:rsidR="00173688">
        <w:rPr>
          <w:rFonts w:hint="eastAsia"/>
          <w:lang w:eastAsia="zh-CN"/>
        </w:rPr>
        <w:t xml:space="preserve"> </w:t>
      </w:r>
      <w:r w:rsidR="00CB1F2F">
        <w:rPr>
          <w:lang w:eastAsia="zh-CN"/>
        </w:rPr>
        <w:t>As an illustration, think of a choice between “</w:t>
      </w:r>
      <w:r w:rsidR="00CB1F2F" w:rsidRPr="000B2D13">
        <w:rPr>
          <w:lang w:eastAsia="zh-CN"/>
        </w:rPr>
        <w:t>receive £100 today</w:t>
      </w:r>
      <w:r w:rsidR="00CB1F2F">
        <w:rPr>
          <w:lang w:eastAsia="zh-CN"/>
        </w:rPr>
        <w:t>” (option A)</w:t>
      </w:r>
      <w:r w:rsidR="00CB1F2F">
        <w:rPr>
          <w:lang w:eastAsia="zh-CN"/>
        </w:rPr>
        <w:t xml:space="preserve"> </w:t>
      </w:r>
      <w:r w:rsidR="00CB1F2F">
        <w:rPr>
          <w:lang w:eastAsia="zh-CN"/>
        </w:rPr>
        <w:t>and</w:t>
      </w:r>
      <w:r w:rsidR="00CB1F2F" w:rsidRPr="000B2D13">
        <w:rPr>
          <w:lang w:eastAsia="zh-CN"/>
        </w:rPr>
        <w:t xml:space="preserve"> </w:t>
      </w:r>
      <w:r w:rsidR="00CB1F2F">
        <w:rPr>
          <w:lang w:eastAsia="zh-CN"/>
        </w:rPr>
        <w:t>“</w:t>
      </w:r>
      <w:r w:rsidR="00CB1F2F" w:rsidRPr="000B2D13">
        <w:rPr>
          <w:lang w:eastAsia="zh-CN"/>
        </w:rPr>
        <w:t>receiv</w:t>
      </w:r>
      <w:r w:rsidR="00CB1F2F">
        <w:rPr>
          <w:lang w:eastAsia="zh-CN"/>
        </w:rPr>
        <w:t>ing</w:t>
      </w:r>
      <w:r w:rsidR="00CB1F2F" w:rsidRPr="000B2D13">
        <w:rPr>
          <w:lang w:eastAsia="zh-CN"/>
        </w:rPr>
        <w:t xml:space="preserve"> </w:t>
      </w:r>
      <m:oMath>
        <m:r>
          <w:rPr>
            <w:rFonts w:ascii="Cambria Math" w:hAnsi="Cambria Math"/>
            <w:lang w:eastAsia="zh-CN"/>
          </w:rPr>
          <m:t>X</m:t>
        </m:r>
      </m:oMath>
      <w:r w:rsidR="00CB1F2F" w:rsidRPr="000B2D13">
        <w:rPr>
          <w:lang w:eastAsia="zh-CN"/>
        </w:rPr>
        <w:t xml:space="preserve"> today and £</w:t>
      </w:r>
      <w:r w:rsidR="00CB1F2F">
        <w:rPr>
          <w:lang w:eastAsia="zh-CN"/>
        </w:rPr>
        <w:t>5</w:t>
      </w:r>
      <w:r w:rsidR="00CB1F2F" w:rsidRPr="000B2D13">
        <w:rPr>
          <w:lang w:eastAsia="zh-CN"/>
        </w:rPr>
        <w:t>0 in 1 month</w:t>
      </w:r>
      <w:r w:rsidR="00CB1F2F">
        <w:rPr>
          <w:lang w:eastAsia="zh-CN"/>
        </w:rPr>
        <w:t xml:space="preserve">” (option B). </w:t>
      </w:r>
      <w:bookmarkStart w:id="10" w:name="header-n38"/>
      <w:bookmarkEnd w:id="9"/>
      <w:r w:rsidR="00CB1F2F" w:rsidRPr="00CB1F2F">
        <w:rPr>
          <w:lang w:eastAsia="zh-CN"/>
        </w:rPr>
        <w:t xml:space="preserve">When </w:t>
      </w:r>
      <m:oMath>
        <m:r>
          <w:rPr>
            <w:rFonts w:ascii="Cambria Math" w:hAnsi="Cambria Math"/>
            <w:lang w:eastAsia="zh-CN"/>
          </w:rPr>
          <m:t>X</m:t>
        </m:r>
      </m:oMath>
      <w:r w:rsidR="00CB1F2F" w:rsidRPr="00CB1F2F">
        <w:rPr>
          <w:lang w:eastAsia="zh-CN"/>
        </w:rPr>
        <w:t xml:space="preserve"> </w:t>
      </w:r>
      <w:r w:rsidR="00CB1F2F">
        <w:rPr>
          <w:lang w:eastAsia="zh-CN"/>
        </w:rPr>
        <w:t>is no larger than</w:t>
      </w:r>
      <w:r w:rsidR="00CB1F2F" w:rsidRPr="00CB1F2F">
        <w:rPr>
          <w:lang w:eastAsia="zh-CN"/>
        </w:rPr>
        <w:t xml:space="preserve"> </w:t>
      </w:r>
      <w:r w:rsidR="00CB1F2F">
        <w:rPr>
          <w:lang w:val="en-GB" w:eastAsia="zh-CN"/>
        </w:rPr>
        <w:t>£</w:t>
      </w:r>
      <w:r w:rsidR="00CB1F2F">
        <w:rPr>
          <w:lang w:eastAsia="zh-CN"/>
        </w:rPr>
        <w:t>5</w:t>
      </w:r>
      <w:r w:rsidR="00CB1F2F" w:rsidRPr="00CB1F2F">
        <w:rPr>
          <w:lang w:eastAsia="zh-CN"/>
        </w:rPr>
        <w:t xml:space="preserve">0, obviously nobody would choose </w:t>
      </w:r>
      <w:r w:rsidR="00CB1F2F">
        <w:rPr>
          <w:lang w:eastAsia="zh-CN"/>
        </w:rPr>
        <w:t xml:space="preserve">option </w:t>
      </w:r>
      <w:r w:rsidR="00CB1F2F" w:rsidRPr="00CB1F2F">
        <w:rPr>
          <w:lang w:eastAsia="zh-CN"/>
        </w:rPr>
        <w:t xml:space="preserve">B; When </w:t>
      </w:r>
      <m:oMath>
        <m:r>
          <w:rPr>
            <w:rFonts w:ascii="Cambria Math" w:hAnsi="Cambria Math"/>
            <w:lang w:eastAsia="zh-CN"/>
          </w:rPr>
          <m:t>X</m:t>
        </m:r>
      </m:oMath>
      <w:r w:rsidR="00CB1F2F" w:rsidRPr="00CB1F2F">
        <w:rPr>
          <w:lang w:eastAsia="zh-CN"/>
        </w:rPr>
        <w:t xml:space="preserve"> </w:t>
      </w:r>
      <w:r w:rsidR="00CB1F2F">
        <w:rPr>
          <w:lang w:eastAsia="zh-CN"/>
        </w:rPr>
        <w:t xml:space="preserve">reaches </w:t>
      </w:r>
      <w:r w:rsidR="00CB1F2F">
        <w:rPr>
          <w:lang w:val="en-GB" w:eastAsia="zh-CN"/>
        </w:rPr>
        <w:t>£</w:t>
      </w:r>
      <w:r w:rsidR="00CB1F2F">
        <w:rPr>
          <w:lang w:eastAsia="zh-CN"/>
        </w:rPr>
        <w:t>10</w:t>
      </w:r>
      <w:r w:rsidR="00CB1F2F" w:rsidRPr="00CB1F2F">
        <w:rPr>
          <w:lang w:eastAsia="zh-CN"/>
        </w:rPr>
        <w:t xml:space="preserve">0, </w:t>
      </w:r>
      <w:r w:rsidR="00CB1F2F">
        <w:rPr>
          <w:lang w:eastAsia="zh-CN"/>
        </w:rPr>
        <w:t xml:space="preserve">certainly </w:t>
      </w:r>
      <w:r w:rsidR="00CB1F2F" w:rsidRPr="00CB1F2F">
        <w:rPr>
          <w:lang w:eastAsia="zh-CN"/>
        </w:rPr>
        <w:t xml:space="preserve">everybody would choose </w:t>
      </w:r>
      <w:r w:rsidR="00CB1F2F">
        <w:rPr>
          <w:lang w:eastAsia="zh-CN"/>
        </w:rPr>
        <w:t xml:space="preserve">option </w:t>
      </w:r>
      <w:r w:rsidR="00CB1F2F" w:rsidRPr="00CB1F2F">
        <w:rPr>
          <w:lang w:eastAsia="zh-CN"/>
        </w:rPr>
        <w:t xml:space="preserve">B. So, the indifference point for </w:t>
      </w:r>
      <m:oMath>
        <m:r>
          <w:rPr>
            <w:rFonts w:ascii="Cambria Math" w:hAnsi="Cambria Math"/>
            <w:lang w:eastAsia="zh-CN"/>
          </w:rPr>
          <m:t>X</m:t>
        </m:r>
      </m:oMath>
      <w:r w:rsidR="00CB1F2F" w:rsidRPr="00CB1F2F">
        <w:rPr>
          <w:lang w:eastAsia="zh-CN"/>
        </w:rPr>
        <w:t xml:space="preserve"> must lie in (</w:t>
      </w:r>
      <w:r w:rsidR="00CB1F2F">
        <w:rPr>
          <w:lang w:eastAsia="zh-CN"/>
        </w:rPr>
        <w:t>£</w:t>
      </w:r>
      <w:r w:rsidR="00CB1F2F" w:rsidRPr="00CB1F2F">
        <w:rPr>
          <w:lang w:eastAsia="zh-CN"/>
        </w:rPr>
        <w:t xml:space="preserve">50, </w:t>
      </w:r>
      <w:r w:rsidR="00CB1F2F">
        <w:rPr>
          <w:lang w:eastAsia="zh-CN"/>
        </w:rPr>
        <w:t>£</w:t>
      </w:r>
      <w:r w:rsidR="00CB1F2F" w:rsidRPr="00CB1F2F">
        <w:rPr>
          <w:lang w:eastAsia="zh-CN"/>
        </w:rPr>
        <w:t>100).</w:t>
      </w:r>
      <w:r w:rsidR="00CB1F2F">
        <w:rPr>
          <w:lang w:eastAsia="zh-CN"/>
        </w:rPr>
        <w:t xml:space="preserve"> </w:t>
      </w:r>
      <w:r w:rsidR="003E486D" w:rsidRPr="003E486D">
        <w:rPr>
          <w:lang w:eastAsia="zh-CN"/>
        </w:rPr>
        <w:t>If we increase the back-end amount</w:t>
      </w:r>
      <w:r w:rsidR="003E486D">
        <w:rPr>
          <w:lang w:eastAsia="zh-CN"/>
        </w:rPr>
        <w:t xml:space="preserve"> in option B from</w:t>
      </w:r>
      <w:r w:rsidR="003E486D" w:rsidRPr="003E486D">
        <w:rPr>
          <w:lang w:eastAsia="zh-CN"/>
        </w:rPr>
        <w:t xml:space="preserve"> £50 to £90, the</w:t>
      </w:r>
      <w:r w:rsidR="003E486D">
        <w:rPr>
          <w:lang w:eastAsia="zh-CN"/>
        </w:rPr>
        <w:t xml:space="preserve"> indifferent</w:t>
      </w:r>
      <w:r w:rsidR="003E486D" w:rsidRPr="003E486D">
        <w:rPr>
          <w:lang w:eastAsia="zh-CN"/>
        </w:rPr>
        <w:t xml:space="preserve"> point should lie in (</w:t>
      </w:r>
      <w:r w:rsidR="003E486D">
        <w:rPr>
          <w:lang w:eastAsia="zh-CN"/>
        </w:rPr>
        <w:t>£</w:t>
      </w:r>
      <w:r w:rsidR="003E486D" w:rsidRPr="003E486D">
        <w:rPr>
          <w:lang w:eastAsia="zh-CN"/>
        </w:rPr>
        <w:t xml:space="preserve">10, </w:t>
      </w:r>
      <w:r w:rsidR="003E486D">
        <w:rPr>
          <w:lang w:eastAsia="zh-CN"/>
        </w:rPr>
        <w:t>£</w:t>
      </w:r>
      <w:r w:rsidR="003E486D" w:rsidRPr="003E486D">
        <w:rPr>
          <w:lang w:eastAsia="zh-CN"/>
        </w:rPr>
        <w:t>100).</w:t>
      </w:r>
      <w:r w:rsidR="003E486D">
        <w:rPr>
          <w:lang w:eastAsia="zh-CN"/>
        </w:rPr>
        <w:t xml:space="preserve"> </w:t>
      </w:r>
      <w:r w:rsidR="003E486D" w:rsidRPr="003E486D">
        <w:rPr>
          <w:lang w:eastAsia="zh-CN"/>
        </w:rPr>
        <w:t xml:space="preserve">In the </w:t>
      </w:r>
      <w:r w:rsidR="003E486D">
        <w:rPr>
          <w:lang w:eastAsia="zh-CN"/>
        </w:rPr>
        <w:t>latter</w:t>
      </w:r>
      <w:r w:rsidR="003E486D" w:rsidRPr="003E486D">
        <w:rPr>
          <w:lang w:eastAsia="zh-CN"/>
        </w:rPr>
        <w:t xml:space="preserve"> case, </w:t>
      </w:r>
      <w:r w:rsidR="003E486D">
        <w:rPr>
          <w:lang w:eastAsia="zh-CN"/>
        </w:rPr>
        <w:t xml:space="preserve">to find the indifference point for </w:t>
      </w:r>
      <m:oMath>
        <m:r>
          <w:rPr>
            <w:rFonts w:ascii="Cambria Math" w:hAnsi="Cambria Math"/>
            <w:lang w:eastAsia="zh-CN"/>
          </w:rPr>
          <m:t>X</m:t>
        </m:r>
      </m:oMath>
      <w:r w:rsidR="003E486D">
        <w:rPr>
          <w:rFonts w:hint="eastAsia"/>
          <w:lang w:eastAsia="zh-CN"/>
        </w:rPr>
        <w:t>,</w:t>
      </w:r>
      <w:r w:rsidR="003E486D" w:rsidRPr="00CB1F2F">
        <w:rPr>
          <w:lang w:eastAsia="zh-CN"/>
        </w:rPr>
        <w:t xml:space="preserve"> </w:t>
      </w:r>
      <w:r w:rsidR="003E486D" w:rsidRPr="003E486D">
        <w:rPr>
          <w:lang w:eastAsia="zh-CN"/>
        </w:rPr>
        <w:t>people</w:t>
      </w:r>
      <w:r w:rsidR="003E486D">
        <w:rPr>
          <w:lang w:eastAsia="zh-CN"/>
        </w:rPr>
        <w:t xml:space="preserve"> have to</w:t>
      </w:r>
      <w:r w:rsidR="007260DD">
        <w:rPr>
          <w:lang w:eastAsia="zh-CN"/>
        </w:rPr>
        <w:t xml:space="preserve"> use the limited cognitive capacity to</w:t>
      </w:r>
      <w:r w:rsidR="003E486D">
        <w:rPr>
          <w:lang w:eastAsia="zh-CN"/>
        </w:rPr>
        <w:t xml:space="preserve"> search </w:t>
      </w:r>
      <w:r w:rsidR="007260DD">
        <w:rPr>
          <w:lang w:eastAsia="zh-CN"/>
        </w:rPr>
        <w:t xml:space="preserve">through </w:t>
      </w:r>
      <w:r w:rsidR="003E486D">
        <w:rPr>
          <w:lang w:eastAsia="zh-CN"/>
        </w:rPr>
        <w:t>a wider range</w:t>
      </w:r>
      <w:r w:rsidR="007260DD">
        <w:rPr>
          <w:lang w:eastAsia="zh-CN"/>
        </w:rPr>
        <w:t xml:space="preserve"> of numbers</w:t>
      </w:r>
      <w:r w:rsidR="003E486D">
        <w:rPr>
          <w:lang w:eastAsia="zh-CN"/>
        </w:rPr>
        <w:t>;</w:t>
      </w:r>
      <w:r w:rsidR="003E486D" w:rsidRPr="003E486D">
        <w:rPr>
          <w:lang w:eastAsia="zh-CN"/>
        </w:rPr>
        <w:t xml:space="preserve"> </w:t>
      </w:r>
      <w:r w:rsidR="003E486D">
        <w:rPr>
          <w:lang w:eastAsia="zh-CN"/>
        </w:rPr>
        <w:t xml:space="preserve">thus, </w:t>
      </w:r>
      <w:r w:rsidR="003E486D" w:rsidRPr="003E486D">
        <w:rPr>
          <w:lang w:eastAsia="zh-CN"/>
        </w:rPr>
        <w:t>the</w:t>
      </w:r>
      <w:r w:rsidR="003E486D">
        <w:rPr>
          <w:lang w:eastAsia="zh-CN"/>
        </w:rPr>
        <w:t>ir estimation on</w:t>
      </w:r>
      <w:r w:rsidR="003E486D" w:rsidRPr="003E486D">
        <w:rPr>
          <w:lang w:eastAsia="zh-CN"/>
        </w:rPr>
        <w:t xml:space="preserve"> the </w:t>
      </w:r>
      <w:r w:rsidR="003E486D">
        <w:rPr>
          <w:lang w:eastAsia="zh-CN"/>
        </w:rPr>
        <w:t xml:space="preserve">indifferent </w:t>
      </w:r>
      <w:r w:rsidR="003E486D" w:rsidRPr="003E486D">
        <w:rPr>
          <w:lang w:eastAsia="zh-CN"/>
        </w:rPr>
        <w:t xml:space="preserve">point </w:t>
      </w:r>
      <w:r w:rsidR="003E486D">
        <w:rPr>
          <w:lang w:eastAsia="zh-CN"/>
        </w:rPr>
        <w:t xml:space="preserve">could be nosier </w:t>
      </w:r>
      <w:r w:rsidR="003E486D" w:rsidRPr="003E486D">
        <w:rPr>
          <w:lang w:eastAsia="zh-CN"/>
        </w:rPr>
        <w:t xml:space="preserve">(so performing a smaller sensitivity to </w:t>
      </w:r>
      <m:oMath>
        <m:r>
          <w:rPr>
            <w:rFonts w:ascii="Cambria Math" w:hAnsi="Cambria Math"/>
            <w:lang w:eastAsia="zh-CN"/>
          </w:rPr>
          <m:t>X</m:t>
        </m:r>
      </m:oMath>
      <w:r w:rsidR="003E486D" w:rsidRPr="003E486D">
        <w:rPr>
          <w:lang w:eastAsia="zh-CN"/>
        </w:rPr>
        <w:t>).</w:t>
      </w:r>
      <w:r w:rsidR="003E486D">
        <w:rPr>
          <w:lang w:eastAsia="zh-CN"/>
        </w:rPr>
        <w:t xml:space="preserve"> </w:t>
      </w:r>
    </w:p>
    <w:p w14:paraId="353D9A39" w14:textId="0BD60A92" w:rsidR="0086619E" w:rsidRPr="007260DD" w:rsidRDefault="003E486D" w:rsidP="007260DD">
      <w:pPr>
        <w:pStyle w:val="draft"/>
        <w:rPr>
          <w:lang w:val="en-GB" w:eastAsia="zh-CN"/>
        </w:rPr>
      </w:pPr>
      <w:r>
        <w:rPr>
          <w:rFonts w:hint="eastAsia"/>
        </w:rPr>
        <w:t>B</w:t>
      </w:r>
      <w:r>
        <w:t xml:space="preserve">y contrast, </w:t>
      </w:r>
      <w:r w:rsidR="007260DD">
        <w:t xml:space="preserve">the insights from </w:t>
      </w:r>
      <w:r w:rsidR="007260DD" w:rsidRPr="00173688">
        <w:t>Frydman and Jin</w:t>
      </w:r>
      <w:r w:rsidR="007260DD">
        <w:t xml:space="preserve"> </w:t>
      </w:r>
      <w:r w:rsidR="007260DD">
        <w:fldChar w:fldCharType="begin"/>
      </w:r>
      <w:r w:rsidR="00A97CE4">
        <w:instrText xml:space="preserve"> ADDIN ZOTERO_ITEM CSL_CITATION {"citationID":"2vzib5o9","properties":{"formattedCitation":"(Frydman and Jin, 2021)","plainCitation":"(Frydman and Jin, 2021)","dontUpdate":true,"noteIndex":0},"citationItems":[{"id":493,"uris":["http://zotero.org/groups/5222764/items/GMMTXCL6"],"itemData":{"id":493,"type":"article-journal","abstract":"Abstract\n            We experimentally test a theory of risky choice in which the perception of a lottery payoff is noisy due to information processing constraints in the brain. We model perception using the principle of efficient coding, which implies that perception is most accurate for those payoffs that occur most frequently. Across two preregistered laboratory experiments, we manipulate the distribution from which payoffs in the choice set are drawn. In our first experiment, we find that risk taking is more sensitive to payoffs that are presented more frequently. In a follow-up task, we incentivize subjects to classify which of two symbolic numbers is larger. Subjects exhibit higher accuracy and faster response times for numbers they have observed more frequently. In our second experiment, we manipulate the payoff distribution so that efficient coding modulates the strength of valuation biases. As we experimentally increase the frequency of large payoffs, we find that subjects perceive the upside of a risky lottery more accurately and take greater risk. Together, our experimental results suggest that risk taking depends systematically on the payoff distribution to which the decision maker’s perceptual system has recently adapted. More broadly, our findings highlight the importance of imprecise and efficient coding in economic decision making.","container-title":"The Quarterly Journal of Economics","DOI":"10.1093/qje/qjab031","ISSN":"0033-5533, 1531-4650","issue":"1","language":"en","page":"161-213","source":"DOI.org (Crossref)","title":"Efficient Coding and Risky Choice","volume":"137","author":[{"family":"Frydman","given":"Cary"},{"family":"Jin","given":"Lawrence J"}],"issued":{"date-parts":[["2021",12,24]]}}}],"schema":"https://github.com/citation-style-language/schema/raw/master/csl-citation.json"} </w:instrText>
      </w:r>
      <w:r w:rsidR="007260DD">
        <w:fldChar w:fldCharType="separate"/>
      </w:r>
      <w:r w:rsidR="007260DD" w:rsidRPr="00173688">
        <w:t>(2021)</w:t>
      </w:r>
      <w:r w:rsidR="007260DD">
        <w:fldChar w:fldCharType="end"/>
      </w:r>
      <w:r w:rsidR="007260DD">
        <w:t xml:space="preserve"> may not be applicable to </w:t>
      </w:r>
      <w:r w:rsidR="007260DD">
        <w:t>th</w:t>
      </w:r>
      <w:r w:rsidR="007260DD">
        <w:t>e</w:t>
      </w:r>
      <w:r w:rsidR="007260DD">
        <w:t xml:space="preserve"> current experiment</w:t>
      </w:r>
      <w:r w:rsidR="007260DD">
        <w:t>. Think of a choice between “</w:t>
      </w:r>
      <w:r w:rsidR="007260DD" w:rsidRPr="007260DD">
        <w:t xml:space="preserve">receive </w:t>
      </w:r>
      <m:oMath>
        <m:r>
          <w:rPr>
            <w:rFonts w:ascii="Cambria Math" w:hAnsi="Cambria Math"/>
          </w:rPr>
          <m:t>Y</m:t>
        </m:r>
      </m:oMath>
      <w:r w:rsidR="007260DD" w:rsidRPr="007260DD">
        <w:t xml:space="preserve"> today</w:t>
      </w:r>
      <w:r w:rsidR="007260DD">
        <w:t>”</w:t>
      </w:r>
      <w:r w:rsidR="007260DD" w:rsidRPr="007260DD">
        <w:t xml:space="preserve"> </w:t>
      </w:r>
      <w:r w:rsidR="007260DD">
        <w:t>(option A) and</w:t>
      </w:r>
      <w:r w:rsidR="007260DD" w:rsidRPr="007260DD">
        <w:t xml:space="preserve"> </w:t>
      </w:r>
      <w:r w:rsidR="007260DD">
        <w:t>“</w:t>
      </w:r>
      <w:r w:rsidR="007260DD" w:rsidRPr="007260DD">
        <w:t>receive</w:t>
      </w:r>
      <w:r w:rsidR="007260DD" w:rsidRPr="000B2D13">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7260DD" w:rsidRPr="007260DD">
        <w:t xml:space="preserve"> today and £40 in 9 months</w:t>
      </w:r>
      <w:r w:rsidR="007260DD">
        <w:t xml:space="preserve">” (option B). Clearly, the indifference point for </w:t>
      </w:r>
      <m:oMath>
        <m:r>
          <w:rPr>
            <w:rFonts w:ascii="Cambria Math" w:hAnsi="Cambria Math"/>
          </w:rPr>
          <m:t>Y</m:t>
        </m:r>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oMath>
      <w:r w:rsidR="007260DD">
        <w:rPr>
          <w:rFonts w:hint="eastAsia"/>
          <w:lang w:eastAsia="zh-CN"/>
        </w:rPr>
        <w:t xml:space="preserve"> </w:t>
      </w:r>
      <w:r w:rsidR="007260DD">
        <w:rPr>
          <w:lang w:eastAsia="zh-CN"/>
        </w:rPr>
        <w:t xml:space="preserve">must lie in (0, </w:t>
      </w:r>
      <w:r w:rsidR="007260DD">
        <w:rPr>
          <w:lang w:val="en-GB" w:eastAsia="zh-CN"/>
        </w:rPr>
        <w:t>£40). Not matter how we change the magnitude of</w:t>
      </w:r>
      <w:r w:rsidR="007260DD" w:rsidRPr="000B2D13">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7260DD">
        <w:rPr>
          <w:rFonts w:hint="eastAsia"/>
        </w:rPr>
        <w:t>,</w:t>
      </w:r>
      <w:r w:rsidR="007260DD">
        <w:t xml:space="preserve"> as long as the back-end amount in option B does not change, the corresponding indifference point will always lie in this range. Therefore, the current experiment can help us distinguish the attentional capture account and cognitive uncertainty account for what is observed in the last experiment. </w:t>
      </w:r>
    </w:p>
    <w:p w14:paraId="175252E1" w14:textId="77777777" w:rsidR="0086619E" w:rsidRPr="000B2D13" w:rsidRDefault="00000000" w:rsidP="000B2D13">
      <w:pPr>
        <w:pStyle w:val="2"/>
        <w:spacing w:line="300" w:lineRule="auto"/>
        <w:rPr>
          <w:rFonts w:cstheme="majorHAnsi"/>
          <w:color w:val="auto"/>
        </w:rPr>
      </w:pPr>
      <w:bookmarkStart w:id="11" w:name="header-n55"/>
      <w:bookmarkEnd w:id="7"/>
      <w:bookmarkEnd w:id="10"/>
      <w:r w:rsidRPr="000B2D13">
        <w:rPr>
          <w:rFonts w:cstheme="majorHAnsi"/>
          <w:color w:val="auto"/>
        </w:rPr>
        <w:t>4 Follow-Up Test</w:t>
      </w:r>
    </w:p>
    <w:p w14:paraId="7DDFEB31" w14:textId="3BB98B88" w:rsidR="003E486D" w:rsidRDefault="00A97CE4" w:rsidP="007260DD">
      <w:pPr>
        <w:pStyle w:val="draft"/>
        <w:rPr>
          <w:lang w:eastAsia="zh-CN"/>
        </w:rPr>
      </w:pPr>
      <w:bookmarkStart w:id="12" w:name="header-n70"/>
      <w:bookmarkEnd w:id="11"/>
      <w:proofErr w:type="spellStart"/>
      <w:r w:rsidRPr="00A97CE4">
        <w:rPr>
          <w:rFonts w:ascii="Calibri" w:hAnsi="Calibri" w:cs="Calibri"/>
        </w:rPr>
        <w:t>Pachur</w:t>
      </w:r>
      <w:proofErr w:type="spellEnd"/>
      <w:r w:rsidRPr="00A97CE4">
        <w:rPr>
          <w:rFonts w:ascii="Calibri" w:hAnsi="Calibri" w:cs="Calibri"/>
        </w:rPr>
        <w:t xml:space="preserve"> et al.</w:t>
      </w:r>
      <w:r>
        <w:rPr>
          <w:rFonts w:ascii="Calibri" w:hAnsi="Calibri" w:cs="Calibri"/>
        </w:rPr>
        <w:t xml:space="preserve"> </w:t>
      </w:r>
      <w:r w:rsidR="007260DD">
        <w:rPr>
          <w:lang w:eastAsia="zh-CN"/>
        </w:rPr>
        <w:fldChar w:fldCharType="begin"/>
      </w:r>
      <w:r>
        <w:rPr>
          <w:lang w:eastAsia="zh-CN"/>
        </w:rPr>
        <w:instrText xml:space="preserve"> ADDIN ZOTERO_ITEM CSL_CITATION {"citationID":"OsR9miJp","properties":{"formattedCitation":"(Pachur et al., 2018)","plainCitation":"(Pachur et al., 2018)","noteIndex":0},"citationItems":[{"id":509,"uris":["http://zotero.org/users/11133115/items/924XXKED"],"itemData":{"id":509,"type":"article-journal","container-title":"Journal of Experimental Psychology: General","DOI":"10.1037/xge0000406","ISSN":"1939-2222, 0096-3445","issue":"2","journalAbbreviation":"Journal of Experimental Psychology: General","language":"en","page":"147-169","source":"DOI.org (Crossref)","title":"Prospect theory reflects selective allocation of attention.","volume":"147","author":[{"family":"Pachur","given":"Thorsten"},{"family":"Schulte-Mecklenbeck","given":"Michael"},{"family":"Murphy","given":"Ryan O."},{"family":"Hertwig","given":"Ralph"}],"issued":{"date-parts":[["2018",2]]}}}],"schema":"https://github.com/citation-style-language/schema/raw/master/csl-citation.json"} </w:instrText>
      </w:r>
      <w:r w:rsidR="007260DD">
        <w:rPr>
          <w:lang w:eastAsia="zh-CN"/>
        </w:rPr>
        <w:fldChar w:fldCharType="separate"/>
      </w:r>
      <w:r w:rsidRPr="00A97CE4">
        <w:rPr>
          <w:rFonts w:ascii="Calibri" w:hAnsi="Calibri" w:cs="Calibri"/>
        </w:rPr>
        <w:t>(2018)</w:t>
      </w:r>
      <w:r w:rsidR="007260DD">
        <w:rPr>
          <w:lang w:eastAsia="zh-CN"/>
        </w:rPr>
        <w:fldChar w:fldCharType="end"/>
      </w:r>
      <w:r w:rsidR="00C005CC">
        <w:rPr>
          <w:lang w:eastAsia="zh-CN"/>
        </w:rPr>
        <w:t xml:space="preserve"> propose that the parameters of cumulative prospect theory are associated with attention allocation. They use mouse tracking to measure selective attention. For example, in their experiment 2, </w:t>
      </w:r>
      <w:r w:rsidR="007C2E43">
        <w:rPr>
          <w:lang w:eastAsia="zh-CN"/>
        </w:rPr>
        <w:t>they mask the potential outcomes in a risky choice task. Participants are assigned to different groups. In one group, if the participants move mouse over a loss outcome, the outcome will display for 9s; if the participants move mouse over a gain outcome, the  outcome will display for 3s. In another group, the display durations are reversed – 9s for a gain outcome and 3s for a loss outcome. The estimated loss aversion coefficient is higher in the former group than in the latter group.</w:t>
      </w:r>
    </w:p>
    <w:p w14:paraId="5CC48268" w14:textId="11E83B55" w:rsidR="007260DD" w:rsidRDefault="007C2E43" w:rsidP="007C2E43">
      <w:pPr>
        <w:pStyle w:val="draft"/>
        <w:rPr>
          <w:b/>
          <w:bCs/>
          <w:sz w:val="28"/>
          <w:szCs w:val="28"/>
          <w:lang w:eastAsia="zh-CN"/>
        </w:rPr>
      </w:pPr>
      <w:r>
        <w:rPr>
          <w:lang w:eastAsia="zh-CN"/>
        </w:rPr>
        <w:t>We can apply a similar procedure to our choice list interface (see the screenshot above). That is, we can mask the front-end and back-end rewards in option B. The reward will only display when participants move mouse over it. In one group, the front-end reward displays for a longer duration; in another group, the back-end reward displays for a longer duration. Under this attention manipulation, people in the former group may perform more impatience than those in the latter group.</w:t>
      </w:r>
      <w:r w:rsidR="007260DD">
        <w:rPr>
          <w:b/>
          <w:bCs/>
          <w:sz w:val="28"/>
          <w:szCs w:val="28"/>
          <w:lang w:eastAsia="zh-CN"/>
        </w:rPr>
        <w:br w:type="page"/>
      </w:r>
    </w:p>
    <w:p w14:paraId="0A4D75EA" w14:textId="0EB54FD6" w:rsidR="000B2D13" w:rsidRDefault="000B2D13" w:rsidP="000B2D13">
      <w:pPr>
        <w:pStyle w:val="a0"/>
        <w:rPr>
          <w:rFonts w:asciiTheme="majorHAnsi" w:hAnsiTheme="majorHAnsi" w:cstheme="majorHAnsi"/>
          <w:b/>
          <w:bCs/>
          <w:sz w:val="28"/>
          <w:szCs w:val="28"/>
          <w:lang w:eastAsia="zh-CN"/>
        </w:rPr>
      </w:pPr>
      <w:r w:rsidRPr="000B2D13">
        <w:rPr>
          <w:rFonts w:asciiTheme="majorHAnsi" w:hAnsiTheme="majorHAnsi" w:cstheme="majorHAnsi"/>
          <w:b/>
          <w:bCs/>
          <w:sz w:val="28"/>
          <w:szCs w:val="28"/>
          <w:lang w:eastAsia="zh-CN"/>
        </w:rPr>
        <w:lastRenderedPageBreak/>
        <w:t>Reference</w:t>
      </w:r>
    </w:p>
    <w:p w14:paraId="59BEBD2B" w14:textId="77777777" w:rsidR="00A97CE4" w:rsidRPr="00A97CE4" w:rsidRDefault="000B2D13" w:rsidP="00A97CE4">
      <w:pPr>
        <w:pStyle w:val="a8"/>
        <w:rPr>
          <w:rFonts w:ascii="Calibri" w:hAnsi="Calibri" w:cs="Calibri"/>
        </w:rPr>
      </w:pPr>
      <w:r w:rsidRPr="00A97CE4">
        <w:fldChar w:fldCharType="begin"/>
      </w:r>
      <w:r w:rsidRPr="00A97CE4">
        <w:instrText xml:space="preserve"> ADDIN ZOTERO_BIBL {"uncited":[],"omitted":[],"custom":[]} CSL_BIBLIOGRAPHY </w:instrText>
      </w:r>
      <w:r w:rsidRPr="00A97CE4">
        <w:fldChar w:fldCharType="separate"/>
      </w:r>
      <w:r w:rsidR="00A97CE4" w:rsidRPr="00A97CE4">
        <w:rPr>
          <w:rFonts w:ascii="Calibri" w:hAnsi="Calibri" w:cs="Calibri"/>
        </w:rPr>
        <w:t xml:space="preserve">Anderson, B. A., Laurent, P. A., and Yantis, S. (2011). Value-driven attentional capture. </w:t>
      </w:r>
      <w:r w:rsidR="00A97CE4" w:rsidRPr="00A97CE4">
        <w:rPr>
          <w:rFonts w:ascii="Calibri" w:hAnsi="Calibri" w:cs="Calibri"/>
          <w:i/>
          <w:iCs/>
        </w:rPr>
        <w:t>Proceedings of the National Academy of Sciences</w:t>
      </w:r>
      <w:r w:rsidR="00A97CE4" w:rsidRPr="00A97CE4">
        <w:rPr>
          <w:rFonts w:ascii="Calibri" w:hAnsi="Calibri" w:cs="Calibri"/>
        </w:rPr>
        <w:t xml:space="preserve">, </w:t>
      </w:r>
      <w:r w:rsidR="00A97CE4" w:rsidRPr="00A97CE4">
        <w:rPr>
          <w:rFonts w:ascii="Calibri" w:hAnsi="Calibri" w:cs="Calibri"/>
          <w:i/>
          <w:iCs/>
        </w:rPr>
        <w:t>108</w:t>
      </w:r>
      <w:r w:rsidR="00A97CE4" w:rsidRPr="00A97CE4">
        <w:rPr>
          <w:rFonts w:ascii="Calibri" w:hAnsi="Calibri" w:cs="Calibri"/>
        </w:rPr>
        <w:t>(25), 10367–10371. https://doi.org/10.1073/pnas.1104047108</w:t>
      </w:r>
    </w:p>
    <w:p w14:paraId="056C0F37" w14:textId="77777777" w:rsidR="00A97CE4" w:rsidRPr="00A97CE4" w:rsidRDefault="00A97CE4" w:rsidP="00A97CE4">
      <w:pPr>
        <w:pStyle w:val="a8"/>
        <w:rPr>
          <w:rFonts w:ascii="Calibri" w:hAnsi="Calibri" w:cs="Calibri"/>
        </w:rPr>
      </w:pPr>
      <w:r w:rsidRPr="00A97CE4">
        <w:rPr>
          <w:rFonts w:ascii="Calibri" w:hAnsi="Calibri" w:cs="Calibri"/>
        </w:rPr>
        <w:t xml:space="preserve">Enke, B., and Graeber, T. (2023). Cognitive Uncertainty. </w:t>
      </w:r>
      <w:r w:rsidRPr="00A97CE4">
        <w:rPr>
          <w:rFonts w:ascii="Calibri" w:hAnsi="Calibri" w:cs="Calibri"/>
          <w:i/>
          <w:iCs/>
        </w:rPr>
        <w:t>The Quarterly Journal of Economics</w:t>
      </w:r>
      <w:r w:rsidRPr="00A97CE4">
        <w:rPr>
          <w:rFonts w:ascii="Calibri" w:hAnsi="Calibri" w:cs="Calibri"/>
        </w:rPr>
        <w:t xml:space="preserve">, </w:t>
      </w:r>
      <w:r w:rsidRPr="00A97CE4">
        <w:rPr>
          <w:rFonts w:ascii="Calibri" w:hAnsi="Calibri" w:cs="Calibri"/>
          <w:i/>
          <w:iCs/>
        </w:rPr>
        <w:t>138</w:t>
      </w:r>
      <w:r w:rsidRPr="00A97CE4">
        <w:rPr>
          <w:rFonts w:ascii="Calibri" w:hAnsi="Calibri" w:cs="Calibri"/>
        </w:rPr>
        <w:t>(4), 2021–2067. https://doi.org/10.1093/qje/qjad025</w:t>
      </w:r>
    </w:p>
    <w:p w14:paraId="1D90565F" w14:textId="77777777" w:rsidR="00A97CE4" w:rsidRPr="00A97CE4" w:rsidRDefault="00A97CE4" w:rsidP="00A97CE4">
      <w:pPr>
        <w:pStyle w:val="a8"/>
        <w:rPr>
          <w:rFonts w:ascii="Calibri" w:hAnsi="Calibri" w:cs="Calibri"/>
        </w:rPr>
      </w:pPr>
      <w:r w:rsidRPr="00A97CE4">
        <w:rPr>
          <w:rFonts w:ascii="Calibri" w:hAnsi="Calibri" w:cs="Calibri"/>
        </w:rPr>
        <w:t xml:space="preserve">Frydman, C., and Jin, L. J. (2021). Efficient Coding and Risky Choice. </w:t>
      </w:r>
      <w:r w:rsidRPr="00A97CE4">
        <w:rPr>
          <w:rFonts w:ascii="Calibri" w:hAnsi="Calibri" w:cs="Calibri"/>
          <w:i/>
          <w:iCs/>
        </w:rPr>
        <w:t>The Quarterly Journal of Economics</w:t>
      </w:r>
      <w:r w:rsidRPr="00A97CE4">
        <w:rPr>
          <w:rFonts w:ascii="Calibri" w:hAnsi="Calibri" w:cs="Calibri"/>
        </w:rPr>
        <w:t xml:space="preserve">, </w:t>
      </w:r>
      <w:r w:rsidRPr="00A97CE4">
        <w:rPr>
          <w:rFonts w:ascii="Calibri" w:hAnsi="Calibri" w:cs="Calibri"/>
          <w:i/>
          <w:iCs/>
        </w:rPr>
        <w:t>137</w:t>
      </w:r>
      <w:r w:rsidRPr="00A97CE4">
        <w:rPr>
          <w:rFonts w:ascii="Calibri" w:hAnsi="Calibri" w:cs="Calibri"/>
        </w:rPr>
        <w:t>(1), 161–213. https://doi.org/10.1093/qje/qjab031</w:t>
      </w:r>
    </w:p>
    <w:p w14:paraId="454E467D" w14:textId="77777777" w:rsidR="00A97CE4" w:rsidRPr="00A97CE4" w:rsidRDefault="00A97CE4" w:rsidP="00A97CE4">
      <w:pPr>
        <w:pStyle w:val="a8"/>
        <w:rPr>
          <w:rFonts w:ascii="Calibri" w:hAnsi="Calibri" w:cs="Calibri"/>
        </w:rPr>
      </w:pPr>
      <w:proofErr w:type="spellStart"/>
      <w:r w:rsidRPr="00A97CE4">
        <w:rPr>
          <w:rFonts w:ascii="Calibri" w:hAnsi="Calibri" w:cs="Calibri"/>
        </w:rPr>
        <w:t>Gabaix</w:t>
      </w:r>
      <w:proofErr w:type="spellEnd"/>
      <w:r w:rsidRPr="00A97CE4">
        <w:rPr>
          <w:rFonts w:ascii="Calibri" w:hAnsi="Calibri" w:cs="Calibri"/>
        </w:rPr>
        <w:t xml:space="preserve">, X., and </w:t>
      </w:r>
      <w:proofErr w:type="spellStart"/>
      <w:r w:rsidRPr="00A97CE4">
        <w:rPr>
          <w:rFonts w:ascii="Calibri" w:hAnsi="Calibri" w:cs="Calibri"/>
        </w:rPr>
        <w:t>Laibson</w:t>
      </w:r>
      <w:proofErr w:type="spellEnd"/>
      <w:r w:rsidRPr="00A97CE4">
        <w:rPr>
          <w:rFonts w:ascii="Calibri" w:hAnsi="Calibri" w:cs="Calibri"/>
        </w:rPr>
        <w:t xml:space="preserve">, D. (2017). </w:t>
      </w:r>
      <w:r w:rsidRPr="00A97CE4">
        <w:rPr>
          <w:rFonts w:ascii="Calibri" w:hAnsi="Calibri" w:cs="Calibri"/>
          <w:i/>
          <w:iCs/>
        </w:rPr>
        <w:t>Myopia and Discounting</w:t>
      </w:r>
      <w:r w:rsidRPr="00A97CE4">
        <w:rPr>
          <w:rFonts w:ascii="Calibri" w:hAnsi="Calibri" w:cs="Calibri"/>
        </w:rPr>
        <w:t xml:space="preserve"> (w23254). National Bureau of Economic Research. https://doi.org/10.3386/w23254</w:t>
      </w:r>
    </w:p>
    <w:p w14:paraId="66F30A4A" w14:textId="77777777" w:rsidR="00A97CE4" w:rsidRPr="00A97CE4" w:rsidRDefault="00A97CE4" w:rsidP="00A97CE4">
      <w:pPr>
        <w:pStyle w:val="a8"/>
        <w:rPr>
          <w:rFonts w:ascii="Calibri" w:hAnsi="Calibri" w:cs="Calibri"/>
        </w:rPr>
      </w:pPr>
      <w:r w:rsidRPr="00A97CE4">
        <w:rPr>
          <w:rFonts w:ascii="Calibri" w:hAnsi="Calibri" w:cs="Calibri"/>
        </w:rPr>
        <w:t xml:space="preserve">Hickey, C., </w:t>
      </w:r>
      <w:proofErr w:type="spellStart"/>
      <w:r w:rsidRPr="00A97CE4">
        <w:rPr>
          <w:rFonts w:ascii="Calibri" w:hAnsi="Calibri" w:cs="Calibri"/>
        </w:rPr>
        <w:t>Chelazzi</w:t>
      </w:r>
      <w:proofErr w:type="spellEnd"/>
      <w:r w:rsidRPr="00A97CE4">
        <w:rPr>
          <w:rFonts w:ascii="Calibri" w:hAnsi="Calibri" w:cs="Calibri"/>
        </w:rPr>
        <w:t xml:space="preserve">, L., and </w:t>
      </w:r>
      <w:proofErr w:type="spellStart"/>
      <w:r w:rsidRPr="00A97CE4">
        <w:rPr>
          <w:rFonts w:ascii="Calibri" w:hAnsi="Calibri" w:cs="Calibri"/>
        </w:rPr>
        <w:t>Theeuwes</w:t>
      </w:r>
      <w:proofErr w:type="spellEnd"/>
      <w:r w:rsidRPr="00A97CE4">
        <w:rPr>
          <w:rFonts w:ascii="Calibri" w:hAnsi="Calibri" w:cs="Calibri"/>
        </w:rPr>
        <w:t xml:space="preserve">, J. (2010). Reward Changes Salience in Human Vision via the Anterior Cingulate. </w:t>
      </w:r>
      <w:r w:rsidRPr="00A97CE4">
        <w:rPr>
          <w:rFonts w:ascii="Calibri" w:hAnsi="Calibri" w:cs="Calibri"/>
          <w:i/>
          <w:iCs/>
        </w:rPr>
        <w:t>The Journal of Neuroscience</w:t>
      </w:r>
      <w:r w:rsidRPr="00A97CE4">
        <w:rPr>
          <w:rFonts w:ascii="Calibri" w:hAnsi="Calibri" w:cs="Calibri"/>
        </w:rPr>
        <w:t xml:space="preserve">, </w:t>
      </w:r>
      <w:r w:rsidRPr="00A97CE4">
        <w:rPr>
          <w:rFonts w:ascii="Calibri" w:hAnsi="Calibri" w:cs="Calibri"/>
          <w:i/>
          <w:iCs/>
        </w:rPr>
        <w:t>30</w:t>
      </w:r>
      <w:r w:rsidRPr="00A97CE4">
        <w:rPr>
          <w:rFonts w:ascii="Calibri" w:hAnsi="Calibri" w:cs="Calibri"/>
        </w:rPr>
        <w:t>(33), 11096–11103. https://doi.org/10.1523/JNEUROSCI.1026-10.2010</w:t>
      </w:r>
    </w:p>
    <w:p w14:paraId="14DEB3C5" w14:textId="77777777" w:rsidR="00A97CE4" w:rsidRPr="00A97CE4" w:rsidRDefault="00A97CE4" w:rsidP="00A97CE4">
      <w:pPr>
        <w:pStyle w:val="a8"/>
        <w:rPr>
          <w:rFonts w:ascii="Calibri" w:hAnsi="Calibri" w:cs="Calibri"/>
        </w:rPr>
      </w:pPr>
      <w:r w:rsidRPr="00A97CE4">
        <w:rPr>
          <w:rFonts w:ascii="Calibri" w:hAnsi="Calibri" w:cs="Calibri"/>
        </w:rPr>
        <w:t xml:space="preserve">Khaw, M. W., Li, Z., and Woodford, M. (2021). Cognitive Imprecision and Small-Stakes Risk Aversion. </w:t>
      </w:r>
      <w:r w:rsidRPr="00A97CE4">
        <w:rPr>
          <w:rFonts w:ascii="Calibri" w:hAnsi="Calibri" w:cs="Calibri"/>
          <w:i/>
          <w:iCs/>
        </w:rPr>
        <w:t>The Review of Economic Studies</w:t>
      </w:r>
      <w:r w:rsidRPr="00A97CE4">
        <w:rPr>
          <w:rFonts w:ascii="Calibri" w:hAnsi="Calibri" w:cs="Calibri"/>
        </w:rPr>
        <w:t xml:space="preserve">, </w:t>
      </w:r>
      <w:r w:rsidRPr="00A97CE4">
        <w:rPr>
          <w:rFonts w:ascii="Calibri" w:hAnsi="Calibri" w:cs="Calibri"/>
          <w:i/>
          <w:iCs/>
        </w:rPr>
        <w:t>88</w:t>
      </w:r>
      <w:r w:rsidRPr="00A97CE4">
        <w:rPr>
          <w:rFonts w:ascii="Calibri" w:hAnsi="Calibri" w:cs="Calibri"/>
        </w:rPr>
        <w:t>(4), 1979–2013. https://doi.org/10.1093/restud/rdaa044</w:t>
      </w:r>
    </w:p>
    <w:p w14:paraId="3EA33BD9" w14:textId="77777777" w:rsidR="00A97CE4" w:rsidRPr="00A97CE4" w:rsidRDefault="00A97CE4" w:rsidP="00A97CE4">
      <w:pPr>
        <w:pStyle w:val="a8"/>
        <w:rPr>
          <w:rFonts w:ascii="Calibri" w:hAnsi="Calibri" w:cs="Calibri"/>
        </w:rPr>
      </w:pPr>
      <w:proofErr w:type="spellStart"/>
      <w:r w:rsidRPr="00A97CE4">
        <w:rPr>
          <w:rFonts w:ascii="Calibri" w:hAnsi="Calibri" w:cs="Calibri"/>
        </w:rPr>
        <w:t>Loomes</w:t>
      </w:r>
      <w:proofErr w:type="spellEnd"/>
      <w:r w:rsidRPr="00A97CE4">
        <w:rPr>
          <w:rFonts w:ascii="Calibri" w:hAnsi="Calibri" w:cs="Calibri"/>
        </w:rPr>
        <w:t xml:space="preserve">, G. (2005). Modelling the Stochastic Component of Behaviour in Experiments: Some Issues for the Interpretation of Data. </w:t>
      </w:r>
      <w:r w:rsidRPr="00A97CE4">
        <w:rPr>
          <w:rFonts w:ascii="Calibri" w:hAnsi="Calibri" w:cs="Calibri"/>
          <w:i/>
          <w:iCs/>
        </w:rPr>
        <w:t>Experimental Economics</w:t>
      </w:r>
      <w:r w:rsidRPr="00A97CE4">
        <w:rPr>
          <w:rFonts w:ascii="Calibri" w:hAnsi="Calibri" w:cs="Calibri"/>
        </w:rPr>
        <w:t xml:space="preserve">, </w:t>
      </w:r>
      <w:r w:rsidRPr="00A97CE4">
        <w:rPr>
          <w:rFonts w:ascii="Calibri" w:hAnsi="Calibri" w:cs="Calibri"/>
          <w:i/>
          <w:iCs/>
        </w:rPr>
        <w:t>8</w:t>
      </w:r>
      <w:r w:rsidRPr="00A97CE4">
        <w:rPr>
          <w:rFonts w:ascii="Calibri" w:hAnsi="Calibri" w:cs="Calibri"/>
        </w:rPr>
        <w:t>(4), 301–323. https://doi.org/10.1007/s10683-005-5372-9</w:t>
      </w:r>
    </w:p>
    <w:p w14:paraId="173BBEEA" w14:textId="77777777" w:rsidR="00A97CE4" w:rsidRPr="00A97CE4" w:rsidRDefault="00A97CE4" w:rsidP="00A97CE4">
      <w:pPr>
        <w:pStyle w:val="a8"/>
        <w:rPr>
          <w:rFonts w:ascii="Calibri" w:hAnsi="Calibri" w:cs="Calibri"/>
        </w:rPr>
      </w:pPr>
      <w:proofErr w:type="spellStart"/>
      <w:r w:rsidRPr="00A97CE4">
        <w:rPr>
          <w:rFonts w:ascii="Calibri" w:hAnsi="Calibri" w:cs="Calibri"/>
        </w:rPr>
        <w:t>Pachur</w:t>
      </w:r>
      <w:proofErr w:type="spellEnd"/>
      <w:r w:rsidRPr="00A97CE4">
        <w:rPr>
          <w:rFonts w:ascii="Calibri" w:hAnsi="Calibri" w:cs="Calibri"/>
        </w:rPr>
        <w:t>, T., Schulte-</w:t>
      </w:r>
      <w:proofErr w:type="spellStart"/>
      <w:r w:rsidRPr="00A97CE4">
        <w:rPr>
          <w:rFonts w:ascii="Calibri" w:hAnsi="Calibri" w:cs="Calibri"/>
        </w:rPr>
        <w:t>Mecklenbeck</w:t>
      </w:r>
      <w:proofErr w:type="spellEnd"/>
      <w:r w:rsidRPr="00A97CE4">
        <w:rPr>
          <w:rFonts w:ascii="Calibri" w:hAnsi="Calibri" w:cs="Calibri"/>
        </w:rPr>
        <w:t xml:space="preserve">, M., Murphy, R. O., and Hertwig, R. (2018). Prospect theory reflects selective allocation of attention. </w:t>
      </w:r>
      <w:r w:rsidRPr="00A97CE4">
        <w:rPr>
          <w:rFonts w:ascii="Calibri" w:hAnsi="Calibri" w:cs="Calibri"/>
          <w:i/>
          <w:iCs/>
        </w:rPr>
        <w:t>Journal of Experimental Psychology: General</w:t>
      </w:r>
      <w:r w:rsidRPr="00A97CE4">
        <w:rPr>
          <w:rFonts w:ascii="Calibri" w:hAnsi="Calibri" w:cs="Calibri"/>
        </w:rPr>
        <w:t xml:space="preserve">, </w:t>
      </w:r>
      <w:r w:rsidRPr="00A97CE4">
        <w:rPr>
          <w:rFonts w:ascii="Calibri" w:hAnsi="Calibri" w:cs="Calibri"/>
          <w:i/>
          <w:iCs/>
        </w:rPr>
        <w:t>147</w:t>
      </w:r>
      <w:r w:rsidRPr="00A97CE4">
        <w:rPr>
          <w:rFonts w:ascii="Calibri" w:hAnsi="Calibri" w:cs="Calibri"/>
        </w:rPr>
        <w:t>(2), 147–169. https://doi.org/10.1037/xge0000406</w:t>
      </w:r>
    </w:p>
    <w:p w14:paraId="6A17CAA2" w14:textId="77777777" w:rsidR="00A97CE4" w:rsidRPr="00A97CE4" w:rsidRDefault="00A97CE4" w:rsidP="00A97CE4">
      <w:pPr>
        <w:pStyle w:val="a8"/>
        <w:rPr>
          <w:rFonts w:ascii="Calibri" w:hAnsi="Calibri" w:cs="Calibri"/>
        </w:rPr>
      </w:pPr>
      <w:r w:rsidRPr="00A97CE4">
        <w:rPr>
          <w:rFonts w:ascii="Calibri" w:hAnsi="Calibri" w:cs="Calibri"/>
        </w:rPr>
        <w:t xml:space="preserve">Rao, L.-L., and Li, S. (2011). New paradoxes in intertemporal choice. </w:t>
      </w:r>
      <w:r w:rsidRPr="00A97CE4">
        <w:rPr>
          <w:rFonts w:ascii="Calibri" w:hAnsi="Calibri" w:cs="Calibri"/>
          <w:i/>
          <w:iCs/>
        </w:rPr>
        <w:t>Judgment and Decision Making</w:t>
      </w:r>
      <w:r w:rsidRPr="00A97CE4">
        <w:rPr>
          <w:rFonts w:ascii="Calibri" w:hAnsi="Calibri" w:cs="Calibri"/>
        </w:rPr>
        <w:t xml:space="preserve">, </w:t>
      </w:r>
      <w:r w:rsidRPr="00A97CE4">
        <w:rPr>
          <w:rFonts w:ascii="Calibri" w:hAnsi="Calibri" w:cs="Calibri"/>
          <w:i/>
          <w:iCs/>
        </w:rPr>
        <w:t>6</w:t>
      </w:r>
      <w:r w:rsidRPr="00A97CE4">
        <w:rPr>
          <w:rFonts w:ascii="Calibri" w:hAnsi="Calibri" w:cs="Calibri"/>
        </w:rPr>
        <w:t>(2), 122–129. https://doi.org/10.1017/S193029750000406X</w:t>
      </w:r>
    </w:p>
    <w:p w14:paraId="1871163F" w14:textId="0E10E805" w:rsidR="000B2D13" w:rsidRPr="000B2D13" w:rsidRDefault="000B2D13" w:rsidP="00A97CE4">
      <w:pPr>
        <w:pStyle w:val="draft"/>
        <w:spacing w:line="240" w:lineRule="auto"/>
        <w:ind w:left="480" w:hangingChars="200" w:hanging="480"/>
        <w:rPr>
          <w:b/>
          <w:bCs/>
          <w:sz w:val="28"/>
          <w:szCs w:val="28"/>
          <w:lang w:eastAsia="zh-CN"/>
        </w:rPr>
      </w:pPr>
      <w:r w:rsidRPr="00A97CE4">
        <w:fldChar w:fldCharType="end"/>
      </w:r>
      <w:bookmarkEnd w:id="0"/>
      <w:bookmarkEnd w:id="12"/>
    </w:p>
    <w:sectPr w:rsidR="000B2D13" w:rsidRPr="000B2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D60F" w14:textId="77777777" w:rsidR="004D3EDB" w:rsidRDefault="004D3EDB">
      <w:pPr>
        <w:spacing w:after="0"/>
      </w:pPr>
      <w:r>
        <w:separator/>
      </w:r>
    </w:p>
  </w:endnote>
  <w:endnote w:type="continuationSeparator" w:id="0">
    <w:p w14:paraId="7A293583" w14:textId="77777777" w:rsidR="004D3EDB" w:rsidRDefault="004D3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6A13A" w14:textId="77777777" w:rsidR="004D3EDB" w:rsidRDefault="004D3EDB">
      <w:r>
        <w:separator/>
      </w:r>
    </w:p>
  </w:footnote>
  <w:footnote w:type="continuationSeparator" w:id="0">
    <w:p w14:paraId="4CF554C4" w14:textId="77777777" w:rsidR="004D3EDB" w:rsidRDefault="004D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F87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096D7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A674DEC"/>
    <w:multiLevelType w:val="hybridMultilevel"/>
    <w:tmpl w:val="5F5476A8"/>
    <w:lvl w:ilvl="0" w:tplc="3286B1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B556A7"/>
    <w:multiLevelType w:val="hybridMultilevel"/>
    <w:tmpl w:val="016E2A22"/>
    <w:lvl w:ilvl="0" w:tplc="0864322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42219225">
    <w:abstractNumId w:val="0"/>
  </w:num>
  <w:num w:numId="2" w16cid:durableId="814222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8212321">
    <w:abstractNumId w:val="3"/>
  </w:num>
  <w:num w:numId="4" w16cid:durableId="1217469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619E"/>
    <w:rsid w:val="000B2D13"/>
    <w:rsid w:val="00173688"/>
    <w:rsid w:val="00273C9E"/>
    <w:rsid w:val="003E486D"/>
    <w:rsid w:val="004D3EDB"/>
    <w:rsid w:val="007260DD"/>
    <w:rsid w:val="007C2E43"/>
    <w:rsid w:val="0086619E"/>
    <w:rsid w:val="0089519E"/>
    <w:rsid w:val="00A97CE4"/>
    <w:rsid w:val="00C005CC"/>
    <w:rsid w:val="00CB1F2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9D63"/>
  <w15:docId w15:val="{6E6EEE1B-76A7-4DD0-B788-EAE356F8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draft"/>
    <w:qFormat/>
    <w:rsid w:val="00A97CE4"/>
    <w:pPr>
      <w:spacing w:line="240" w:lineRule="auto"/>
      <w:ind w:left="480" w:hangingChars="200" w:hanging="480"/>
    </w:pPr>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raft">
    <w:name w:val="draft"/>
    <w:basedOn w:val="FirstParagraph"/>
    <w:link w:val="draft0"/>
    <w:qFormat/>
    <w:rsid w:val="00CB1F2F"/>
    <w:pPr>
      <w:spacing w:line="300" w:lineRule="auto"/>
      <w:jc w:val="both"/>
    </w:pPr>
    <w:rPr>
      <w:rFonts w:asciiTheme="majorHAnsi" w:hAnsiTheme="majorHAnsi" w:cstheme="majorHAnsi"/>
    </w:rPr>
  </w:style>
  <w:style w:type="character" w:customStyle="1" w:styleId="a4">
    <w:name w:val="正文文本 字符"/>
    <w:basedOn w:val="a1"/>
    <w:link w:val="a0"/>
    <w:rsid w:val="00CB1F2F"/>
  </w:style>
  <w:style w:type="character" w:customStyle="1" w:styleId="FirstParagraph0">
    <w:name w:val="First Paragraph 字符"/>
    <w:basedOn w:val="a4"/>
    <w:link w:val="FirstParagraph"/>
    <w:rsid w:val="00CB1F2F"/>
  </w:style>
  <w:style w:type="character" w:customStyle="1" w:styleId="draft0">
    <w:name w:val="draft 字符"/>
    <w:basedOn w:val="FirstParagraph0"/>
    <w:link w:val="draft"/>
    <w:rsid w:val="00CB1F2F"/>
    <w:rPr>
      <w:rFonts w:asciiTheme="maj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CFC2-1A07-4B57-85B9-1D5C5AA8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4285</Words>
  <Characters>24427</Characters>
  <Application>Microsoft Office Word</Application>
  <DocSecurity>0</DocSecurity>
  <Lines>203</Lines>
  <Paragraphs>57</Paragraphs>
  <ScaleCrop>false</ScaleCrop>
  <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Design 2.md</dc:title>
  <dc:creator/>
  <cp:keywords/>
  <cp:lastModifiedBy>zijian wang</cp:lastModifiedBy>
  <cp:revision>2</cp:revision>
  <dcterms:created xsi:type="dcterms:W3CDTF">2023-11-15T01:56:00Z</dcterms:created>
  <dcterms:modified xsi:type="dcterms:W3CDTF">2023-11-15T03:51:00Z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id="5uIjPgXq"/&gt;&lt;style id="http://www.zotero.org/styles/apa-no-ampersand" locale="en-GB"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