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4"/>
          <w:szCs w:val="34"/>
        </w:rPr>
        <w:t xml:space="preserve">Corrections to the 28 September PPC audit — Decolure Bamboo Sheets 4-Piece (B4)</w:t>
      </w:r>
    </w:p>
    <w:p>
      <w:pPr>
        <w:spacing w:after="200"/>
      </w:pPr>
      <w:r>
        <w:rPr>
          <w:color w:val="555555"/>
          <w:sz w:val="19"/>
          <w:szCs w:val="19"/>
        </w:rPr>
        <w:t xml:space="preserve">For Joseph · 28 September 2026 · audit run 20260928-9e6e6bb5 · combines two independent reviews of the same audit</w:t>
      </w:r>
    </w:p>
    <w:p>
      <w:pPr>
        <w:pStyle w:val="Heading1"/>
      </w:pPr>
      <w:r>
        <w:t xml:space="preserve">Summary</w:t>
      </w:r>
    </w:p>
    <w:p>
      <w:pPr>
        <w:spacing w:after="100"/>
      </w:pPr>
      <w:r>
        <w:t xml:space="preserve">The audit proposes 343 changes on 144 of the product’s campaigns and six new campaigns. It moves the ranking focus to California King and bamboo cooling sheets. It raises prices on those terms without a plan behind them, and it spreads money thinly across everything else. It has no plan for moving out of the deal that ends today.</w:t>
      </w:r>
    </w:p>
    <w:p>
      <w:pPr>
        <w:spacing w:after="100"/>
      </w:pPr>
      <w:r>
        <w:t xml:space="preserve">Two people reviewed the audit separately. This document combines the corrections both found; where both raised the same issue, it keeps the better-supported version. It explains the logic of each correction with a few examples. The campaign-by-campaign list of corrected decisions is in the separate campaign register.</w:t>
      </w:r>
    </w:p>
    <w:p>
      <w:pPr>
        <w:spacing w:after="100"/>
      </w:pPr>
      <w:r>
        <w:t xml:space="preserve">The corrections:</w:t>
      </w:r>
    </w:p>
    <w:p>
      <w:pPr>
        <w:pStyle w:val="ListParagraph"/>
        <w:numPr>
          <w:ilvl w:val="0"/>
          <w:numId w:val="2"/>
        </w:numPr>
        <w:spacing w:after="60"/>
      </w:pPr>
      <w:r>
        <w:rPr>
          <w:b/>
          <w:bCs/>
        </w:rPr>
        <w:t xml:space="preserve">Set goals for the run. </w:t>
      </w:r>
      <w:r>
        <w:t xml:space="preserve">The audit has no spend target, no TACoS goal and no product goal, only a forecast. The run needs all three: a TACoS goal below the pre-deal level, a spend limit tied to sales, and a product goal to build rank on the focus terms steadily into Prime and Black Friday / Cyber Monday (Section 3).</w:t>
      </w:r>
    </w:p>
    <w:p>
      <w:pPr>
        <w:pStyle w:val="ListParagraph"/>
        <w:numPr>
          <w:ilvl w:val="0"/>
          <w:numId w:val="2"/>
        </w:numPr>
        <w:spacing w:after="60"/>
      </w:pPr>
      <w:r>
        <w:rPr>
          <w:b/>
          <w:bCs/>
        </w:rPr>
        <w:t xml:space="preserve">Plan the move out of the deal. </w:t>
      </w:r>
      <w:r>
        <w:t xml:space="preserve">Ad spend doubled during the deal and has to come down on 29 September without losing the rank the deal bought (Section 4).</w:t>
      </w:r>
    </w:p>
    <w:p>
      <w:pPr>
        <w:pStyle w:val="ListParagraph"/>
        <w:numPr>
          <w:ilvl w:val="0"/>
          <w:numId w:val="2"/>
        </w:numPr>
        <w:spacing w:after="60"/>
      </w:pPr>
      <w:r>
        <w:rPr>
          <w:b/>
          <w:bCs/>
        </w:rPr>
        <w:t xml:space="preserve">Push the focus terms at top of search now; bring everything else to break-even. </w:t>
      </w:r>
      <w:r>
        <w:t xml:space="preserve">The rank push can’t wait for the next deal: it has to be built before each event. The push is sized to each term’s rank gap and climbs at most 30% per step. The audit’s three 75% jumps go. Every other ranking campaign comes down to break-even, and that saving pays for the push (Section 5).</w:t>
      </w:r>
    </w:p>
    <w:p>
      <w:pPr>
        <w:pStyle w:val="ListParagraph"/>
        <w:numPr>
          <w:ilvl w:val="0"/>
          <w:numId w:val="2"/>
        </w:numPr>
        <w:spacing w:after="60"/>
      </w:pPr>
      <w:r>
        <w:rPr>
          <w:b/>
          <w:bCs/>
        </w:rPr>
        <w:t xml:space="preserve">Break-even is lower than the audit thinks. </w:t>
      </w:r>
      <w:r>
        <w:t xml:space="preserve">The audit prices on $24.49 profit per unit (33.3% break-even ACoS). The real margin before ads, from Sellerboard, is $20.64 for the product and $17.88 for King White, so break-even ACoS is 27.9%.</w:t>
      </w:r>
    </w:p>
    <w:p>
      <w:pPr>
        <w:pStyle w:val="ListParagraph"/>
        <w:numPr>
          <w:ilvl w:val="0"/>
          <w:numId w:val="2"/>
        </w:numPr>
        <w:spacing w:after="60"/>
      </w:pPr>
      <w:r>
        <w:rPr>
          <w:b/>
          <w:bCs/>
        </w:rPr>
        <w:t xml:space="preserve">Advertise the right colours. </w:t>
      </w:r>
      <w:r>
        <w:t xml:space="preserve">The audit picks the colour with the most units on hand, not the next-best seller. 94 ranking campaigns advertise the wrong colour (Section 7).</w:t>
      </w:r>
    </w:p>
    <w:p>
      <w:pPr>
        <w:pStyle w:val="ListParagraph"/>
        <w:numPr>
          <w:ilvl w:val="0"/>
          <w:numId w:val="2"/>
        </w:numPr>
        <w:spacing w:after="60"/>
      </w:pPr>
      <w:r>
        <w:rPr>
          <w:b/>
          <w:bCs/>
        </w:rPr>
        <w:t xml:space="preserve">Stop our campaigns competing with each other. </w:t>
      </w:r>
      <w:r>
        <w:t xml:space="preserve">A clearance campaign took 164 clicks on “bamboo sheets” in 30 days. 26 ranking terms are also bought by broad or auto campaigns (Section 11).</w:t>
      </w:r>
    </w:p>
    <w:p>
      <w:pPr>
        <w:pStyle w:val="ListParagraph"/>
        <w:numPr>
          <w:ilvl w:val="0"/>
          <w:numId w:val="2"/>
        </w:numPr>
        <w:spacing w:after="60"/>
      </w:pPr>
      <w:r>
        <w:rPr>
          <w:b/>
          <w:bCs/>
        </w:rPr>
        <w:t xml:space="preserve">Don’t load changes the engine got wrong. </w:t>
      </w:r>
      <w:r>
        <w:t xml:space="preserve">These include rows it marked “don’t change”, duplicates, changes on paused campaigns and blocked budgets. Its forecast is also about ten times too high (Sections 13 and 15).</w:t>
      </w:r>
    </w:p>
    <w:p>
      <w:pPr>
        <w:spacing w:after="100"/>
      </w:pPr>
      <w:r>
        <w:rPr>
          <w:b/>
          <w:bCs/>
          <w:color w:val="1F3A5F"/>
        </w:rPr>
        <w:t xml:space="preserve">Decisions needed from you by 30 September: </w:t>
      </w:r>
      <w:r>
        <w:t xml:space="preserve">the goals (Section 3) and whether “bamboo sheets” joins the push (Section 5.4).</w:t>
      </w:r>
    </w:p>
    <w:p>
      <w:pPr>
        <w:pStyle w:val="Heading1"/>
      </w:pPr>
      <w:r>
        <w:t xml:space="preserve">How to read this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7372"/>
      </w:tblGrid>
      <w:tr>
        <w:trPr>
          <w:tblHeader/>
        </w:trPr>
        <w:tc>
          <w:tcPr>
            <w:tcW w:type="dxa" w:w="260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7372"/>
            <w:shd w:fill="1F3A5F" w:color="auto" w:val="clear"/>
            <w:tcMar>
              <w:top w:type="dxa" w:w="40"/>
              <w:left w:type="dxa" w:w="70"/>
              <w:bottom w:type="dxa" w:w="40"/>
              <w:right w:type="dxa" w:w="70"/>
            </w:tcMar>
          </w:tcPr>
          <w:p>
            <w:pPr>
              <w:spacing w:after="0"/>
            </w:pPr>
            <w:r>
              <w:rPr>
                <w:b/>
                <w:bCs/>
                <w:color w:val="FFFFFF"/>
                <w:sz w:val="17"/>
                <w:szCs w:val="17"/>
              </w:rPr>
              <w:t xml:space="preserve">What it means here</w:t>
            </w:r>
          </w:p>
        </w:tc>
      </w:tr>
      <w:tr>
        <w:tc>
          <w:tcPr>
            <w:tcW w:type="dxa" w:w="2600"/>
            <w:shd w:fill="FFFFFF" w:color="auto" w:val="clear"/>
            <w:tcMar>
              <w:top w:type="dxa" w:w="40"/>
              <w:left w:type="dxa" w:w="70"/>
              <w:bottom w:type="dxa" w:w="40"/>
              <w:right w:type="dxa" w:w="70"/>
            </w:tcMar>
          </w:tcPr>
          <w:p>
            <w:pPr>
              <w:spacing w:after="0"/>
            </w:pPr>
            <w:r>
              <w:rPr>
                <w:sz w:val="17"/>
                <w:szCs w:val="17"/>
              </w:rPr>
              <w:t xml:space="preserve">Top of search / product pages</w:t>
            </w:r>
          </w:p>
        </w:tc>
        <w:tc>
          <w:tcPr>
            <w:tcW w:type="dxa" w:w="7372"/>
            <w:shd w:fill="FFFFFF" w:color="auto" w:val="clear"/>
            <w:tcMar>
              <w:top w:type="dxa" w:w="40"/>
              <w:left w:type="dxa" w:w="70"/>
              <w:bottom w:type="dxa" w:w="40"/>
              <w:right w:type="dxa" w:w="70"/>
            </w:tcMar>
          </w:tcPr>
          <w:p>
            <w:pPr>
              <w:spacing w:after="0"/>
            </w:pPr>
            <w:r>
              <w:rPr>
                <w:sz w:val="17"/>
                <w:szCs w:val="17"/>
              </w:rPr>
              <w:t xml:space="preserve">Top of search is the ad slots at the top of the first results page; these move organic rank. Product pages are ads on other listings’ pages, which are cheaper and do little for rank. Target: 70–90% of a ranking campaign’s clicks at top of search, and 20% or less on product pages.</w:t>
            </w:r>
          </w:p>
        </w:tc>
      </w:tr>
      <w:tr>
        <w:tc>
          <w:tcPr>
            <w:tcW w:type="dxa" w:w="2600"/>
            <w:shd w:fill="F2F5F9" w:color="auto" w:val="clear"/>
            <w:tcMar>
              <w:top w:type="dxa" w:w="40"/>
              <w:left w:type="dxa" w:w="70"/>
              <w:bottom w:type="dxa" w:w="40"/>
              <w:right w:type="dxa" w:w="70"/>
            </w:tcMar>
          </w:tcPr>
          <w:p>
            <w:pPr>
              <w:spacing w:after="0"/>
            </w:pPr>
            <w:r>
              <w:rPr>
                <w:sz w:val="17"/>
                <w:szCs w:val="17"/>
              </w:rPr>
              <w:t xml:space="preserve">Base bid / top-of-search boost</w:t>
            </w:r>
          </w:p>
        </w:tc>
        <w:tc>
          <w:tcPr>
            <w:tcW w:type="dxa" w:w="7372"/>
            <w:shd w:fill="F2F5F9" w:color="auto" w:val="clear"/>
            <w:tcMar>
              <w:top w:type="dxa" w:w="40"/>
              <w:left w:type="dxa" w:w="70"/>
              <w:bottom w:type="dxa" w:w="40"/>
              <w:right w:type="dxa" w:w="70"/>
            </w:tcMar>
          </w:tcPr>
          <w:p>
            <w:pPr>
              <w:spacing w:after="0"/>
            </w:pPr>
            <w:r>
              <w:rPr>
                <w:sz w:val="17"/>
                <w:szCs w:val="17"/>
              </w:rPr>
              <w:t xml:space="preserve">The base bid is what we pay on product pages and in the rest of search. The boost is a percentage Amazon adds for the top slots only.</w:t>
            </w:r>
          </w:p>
        </w:tc>
      </w:tr>
      <w:tr>
        <w:tc>
          <w:tcPr>
            <w:tcW w:type="dxa" w:w="2600"/>
            <w:shd w:fill="FFFFFF" w:color="auto" w:val="clear"/>
            <w:tcMar>
              <w:top w:type="dxa" w:w="40"/>
              <w:left w:type="dxa" w:w="70"/>
              <w:bottom w:type="dxa" w:w="40"/>
              <w:right w:type="dxa" w:w="70"/>
            </w:tcMar>
          </w:tcPr>
          <w:p>
            <w:pPr>
              <w:spacing w:after="0"/>
            </w:pPr>
            <w:r>
              <w:rPr>
                <w:sz w:val="17"/>
                <w:szCs w:val="17"/>
              </w:rPr>
              <w:t xml:space="preserve">Top-of-search price</w:t>
            </w:r>
          </w:p>
        </w:tc>
        <w:tc>
          <w:tcPr>
            <w:tcW w:type="dxa" w:w="7372"/>
            <w:shd w:fill="FFFFFF" w:color="auto" w:val="clear"/>
            <w:tcMar>
              <w:top w:type="dxa" w:w="40"/>
              <w:left w:type="dxa" w:w="70"/>
              <w:bottom w:type="dxa" w:w="40"/>
              <w:right w:type="dxa" w:w="70"/>
            </w:tcMar>
          </w:tcPr>
          <w:p>
            <w:pPr>
              <w:spacing w:after="0"/>
            </w:pPr>
            <w:r>
              <w:rPr>
                <w:sz w:val="17"/>
                <w:szCs w:val="17"/>
              </w:rPr>
              <w:t xml:space="preserve">Base bid × (1 + boost), which is the most we pay per top-of-search click. The price is the decision; the boost is just the percentage that produces it.</w:t>
            </w:r>
          </w:p>
        </w:tc>
      </w:tr>
      <w:tr>
        <w:tc>
          <w:tcPr>
            <w:tcW w:type="dxa" w:w="2600"/>
            <w:shd w:fill="F2F5F9" w:color="auto" w:val="clear"/>
            <w:tcMar>
              <w:top w:type="dxa" w:w="40"/>
              <w:left w:type="dxa" w:w="70"/>
              <w:bottom w:type="dxa" w:w="40"/>
              <w:right w:type="dxa" w:w="70"/>
            </w:tcMar>
          </w:tcPr>
          <w:p>
            <w:pPr>
              <w:spacing w:after="0"/>
            </w:pPr>
            <w:r>
              <w:rPr>
                <w:sz w:val="17"/>
                <w:szCs w:val="17"/>
              </w:rPr>
              <w:t xml:space="preserve">Break-even price</w:t>
            </w:r>
          </w:p>
        </w:tc>
        <w:tc>
          <w:tcPr>
            <w:tcW w:type="dxa" w:w="7372"/>
            <w:shd w:fill="F2F5F9" w:color="auto" w:val="clear"/>
            <w:tcMar>
              <w:top w:type="dxa" w:w="40"/>
              <w:left w:type="dxa" w:w="70"/>
              <w:bottom w:type="dxa" w:w="40"/>
              <w:right w:type="dxa" w:w="70"/>
            </w:tcMar>
          </w:tcPr>
          <w:p>
            <w:pPr>
              <w:spacing w:after="0"/>
            </w:pPr>
            <w:r>
              <w:rPr>
                <w:sz w:val="17"/>
                <w:szCs w:val="17"/>
              </w:rPr>
              <w:t xml:space="preserve">Profit per unit before ads × the chance a click becomes a sale. Above it, each ad sale loses money. Profit per unit comes from Sellerboard: $20.64 for the product and $17.88 for King White (break-even ACoS 27.9%).</w:t>
            </w:r>
          </w:p>
        </w:tc>
      </w:tr>
      <w:tr>
        <w:tc>
          <w:tcPr>
            <w:tcW w:type="dxa" w:w="2600"/>
            <w:shd w:fill="FFFFFF" w:color="auto" w:val="clear"/>
            <w:tcMar>
              <w:top w:type="dxa" w:w="40"/>
              <w:left w:type="dxa" w:w="70"/>
              <w:bottom w:type="dxa" w:w="40"/>
              <w:right w:type="dxa" w:w="70"/>
            </w:tcMar>
          </w:tcPr>
          <w:p>
            <w:pPr>
              <w:spacing w:after="0"/>
            </w:pPr>
            <w:r>
              <w:rPr>
                <w:sz w:val="17"/>
                <w:szCs w:val="17"/>
              </w:rPr>
              <w:t xml:space="preserve">Push price</w:t>
            </w:r>
          </w:p>
        </w:tc>
        <w:tc>
          <w:tcPr>
            <w:tcW w:type="dxa" w:w="7372"/>
            <w:shd w:fill="FFFFFF" w:color="auto" w:val="clear"/>
            <w:tcMar>
              <w:top w:type="dxa" w:w="40"/>
              <w:left w:type="dxa" w:w="70"/>
              <w:bottom w:type="dxa" w:w="40"/>
              <w:right w:type="dxa" w:w="70"/>
            </w:tcMar>
          </w:tcPr>
          <w:p>
            <w:pPr>
              <w:spacing w:after="0"/>
            </w:pPr>
            <w:r>
              <w:rPr>
                <w:sz w:val="17"/>
                <w:szCs w:val="17"/>
              </w:rPr>
              <w:t xml:space="preserve">A price above break-even paid on purpose to buy rank. It is set by how far the term is from its target rank, and it climbs at most 30% per step.</w:t>
            </w:r>
          </w:p>
        </w:tc>
      </w:tr>
      <w:tr>
        <w:tc>
          <w:tcPr>
            <w:tcW w:type="dxa" w:w="2600"/>
            <w:shd w:fill="F2F5F9" w:color="auto" w:val="clear"/>
            <w:tcMar>
              <w:top w:type="dxa" w:w="40"/>
              <w:left w:type="dxa" w:w="70"/>
              <w:bottom w:type="dxa" w:w="40"/>
              <w:right w:type="dxa" w:w="70"/>
            </w:tcMar>
          </w:tcPr>
          <w:p>
            <w:pPr>
              <w:spacing w:after="0"/>
            </w:pPr>
            <w:r>
              <w:rPr>
                <w:sz w:val="17"/>
                <w:szCs w:val="17"/>
              </w:rPr>
              <w:t xml:space="preserve">Available stock</w:t>
            </w:r>
          </w:p>
        </w:tc>
        <w:tc>
          <w:tcPr>
            <w:tcW w:type="dxa" w:w="7372"/>
            <w:shd w:fill="F2F5F9" w:color="auto" w:val="clear"/>
            <w:tcMar>
              <w:top w:type="dxa" w:w="40"/>
              <w:left w:type="dxa" w:w="70"/>
              <w:bottom w:type="dxa" w:w="40"/>
              <w:right w:type="dxa" w:w="70"/>
            </w:tcMar>
          </w:tcPr>
          <w:p>
            <w:pPr>
              <w:spacing w:after="0"/>
            </w:pPr>
            <w:r>
              <w:rPr>
                <w:sz w:val="17"/>
                <w:szCs w:val="17"/>
              </w:rPr>
              <w:t xml:space="preserve">Units Amazon can sell today. Units in transfer between warehouses count only toward replenishment, and customer orders never count.</w:t>
            </w:r>
          </w:p>
        </w:tc>
      </w:tr>
      <w:tr>
        <w:tc>
          <w:tcPr>
            <w:tcW w:type="dxa" w:w="2600"/>
            <w:shd w:fill="FFFFFF" w:color="auto" w:val="clear"/>
            <w:tcMar>
              <w:top w:type="dxa" w:w="40"/>
              <w:left w:type="dxa" w:w="70"/>
              <w:bottom w:type="dxa" w:w="40"/>
              <w:right w:type="dxa" w:w="70"/>
            </w:tcMar>
          </w:tcPr>
          <w:p>
            <w:pPr>
              <w:spacing w:after="0"/>
            </w:pPr>
            <w:r>
              <w:rPr>
                <w:sz w:val="17"/>
                <w:szCs w:val="17"/>
              </w:rPr>
              <w:t xml:space="preserve">Ranking colour / clearance colour</w:t>
            </w:r>
          </w:p>
        </w:tc>
        <w:tc>
          <w:tcPr>
            <w:tcW w:type="dxa" w:w="7372"/>
            <w:shd w:fill="FFFFFF" w:color="auto" w:val="clear"/>
            <w:tcMar>
              <w:top w:type="dxa" w:w="40"/>
              <w:left w:type="dxa" w:w="70"/>
              <w:bottom w:type="dxa" w:w="40"/>
              <w:right w:type="dxa" w:w="70"/>
            </w:tcMar>
          </w:tcPr>
          <w:p>
            <w:pPr>
              <w:spacing w:after="0"/>
            </w:pPr>
            <w:r>
              <w:rPr>
                <w:sz w:val="17"/>
                <w:szCs w:val="17"/>
              </w:rPr>
              <w:t xml:space="preserve">Ranking campaigns advertise White (or the size’s next-best seller while White is short). Auto, broad and phrase campaigns advertise a slow-selling colour with a lot of stock.</w:t>
            </w:r>
          </w:p>
        </w:tc>
      </w:tr>
    </w:tbl>
    <w:p>
      <w:pPr>
        <w:spacing w:after="40"/>
      </w:pPr>
    </w:p>
    <w:p>
      <w:pPr>
        <w:pStyle w:val="Heading1"/>
      </w:pPr>
      <w:r>
        <w:t xml:space="preserve">1. Where things stand as the deal ends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49"/>
        <w:gridCol w:w="880"/>
        <w:gridCol w:w="978"/>
        <w:gridCol w:w="782"/>
        <w:gridCol w:w="782"/>
        <w:gridCol w:w="880"/>
        <w:gridCol w:w="880"/>
        <w:gridCol w:w="880"/>
        <w:gridCol w:w="782"/>
        <w:gridCol w:w="879"/>
      </w:tblGrid>
      <w:tr>
        <w:trPr>
          <w:tblHeader/>
        </w:trPr>
        <w:tc>
          <w:tcPr>
            <w:tcW w:type="dxa" w:w="2249"/>
            <w:shd w:fill="1F3A5F" w:color="auto" w:val="clear"/>
            <w:tcMar>
              <w:top w:type="dxa" w:w="40"/>
              <w:left w:type="dxa" w:w="70"/>
              <w:bottom w:type="dxa" w:w="40"/>
              <w:right w:type="dxa" w:w="70"/>
            </w:tcMar>
          </w:tcPr>
          <w:p>
            <w:pPr>
              <w:spacing w:after="0"/>
            </w:pPr>
            <w:r>
              <w:rPr>
                <w:b/>
                <w:bCs/>
                <w:color w:val="FFFFFF"/>
                <w:sz w:val="17"/>
                <w:szCs w:val="17"/>
              </w:rPr>
              <w:t xml:space="preserve">Period</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Ad spend / day</w:t>
            </w:r>
          </w:p>
        </w:tc>
        <w:tc>
          <w:tcPr>
            <w:tcW w:type="dxa" w:w="978"/>
            <w:shd w:fill="1F3A5F" w:color="auto" w:val="clear"/>
            <w:tcMar>
              <w:top w:type="dxa" w:w="40"/>
              <w:left w:type="dxa" w:w="70"/>
              <w:bottom w:type="dxa" w:w="40"/>
              <w:right w:type="dxa" w:w="70"/>
            </w:tcMar>
          </w:tcPr>
          <w:p>
            <w:pPr>
              <w:spacing w:after="0"/>
            </w:pPr>
            <w:r>
              <w:rPr>
                <w:b/>
                <w:bCs/>
                <w:color w:val="FFFFFF"/>
                <w:sz w:val="17"/>
                <w:szCs w:val="17"/>
              </w:rPr>
              <w:t xml:space="preserve">Ad sales / day</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ACoS</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Conv. rate</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Orders / day</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Top-of-search clicks / day</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Product-page clicks / day</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Top-of-search share</w:t>
            </w:r>
          </w:p>
        </w:tc>
        <w:tc>
          <w:tcPr>
            <w:tcW w:type="dxa" w:w="879"/>
            <w:shd w:fill="1F3A5F" w:color="auto" w:val="clear"/>
            <w:tcMar>
              <w:top w:type="dxa" w:w="40"/>
              <w:left w:type="dxa" w:w="70"/>
              <w:bottom w:type="dxa" w:w="40"/>
              <w:right w:type="dxa" w:w="70"/>
            </w:tcMar>
          </w:tcPr>
          <w:p>
            <w:pPr>
              <w:spacing w:after="0"/>
            </w:pPr>
            <w:r>
              <w:rPr>
                <w:b/>
                <w:bCs/>
                <w:color w:val="FFFFFF"/>
                <w:sz w:val="17"/>
                <w:szCs w:val="17"/>
              </w:rPr>
              <w:t xml:space="preserve">Top-of-search bid</w:t>
            </w:r>
          </w:p>
        </w:tc>
      </w:tr>
      <w:tr>
        <w:tc>
          <w:tcPr>
            <w:tcW w:type="dxa" w:w="2249"/>
            <w:shd w:fill="FFFFFF" w:color="auto" w:val="clear"/>
            <w:tcMar>
              <w:top w:type="dxa" w:w="40"/>
              <w:left w:type="dxa" w:w="70"/>
              <w:bottom w:type="dxa" w:w="40"/>
              <w:right w:type="dxa" w:w="70"/>
            </w:tcMar>
          </w:tcPr>
          <w:p>
            <w:pPr>
              <w:spacing w:after="0"/>
            </w:pPr>
            <w:r>
              <w:rPr>
                <w:sz w:val="17"/>
                <w:szCs w:val="17"/>
              </w:rPr>
              <w:t xml:space="preserve">Before the deal (2–14 Sep)</w:t>
            </w:r>
          </w:p>
        </w:tc>
        <w:tc>
          <w:tcPr>
            <w:tcW w:type="dxa" w:w="880"/>
            <w:shd w:fill="FFFFFF" w:color="auto" w:val="clear"/>
            <w:tcMar>
              <w:top w:type="dxa" w:w="40"/>
              <w:left w:type="dxa" w:w="70"/>
              <w:bottom w:type="dxa" w:w="40"/>
              <w:right w:type="dxa" w:w="70"/>
            </w:tcMar>
          </w:tcPr>
          <w:p>
            <w:pPr>
              <w:spacing w:after="0"/>
            </w:pPr>
            <w:r>
              <w:rPr>
                <w:sz w:val="17"/>
                <w:szCs w:val="17"/>
              </w:rPr>
              <w:t xml:space="preserve">$656</w:t>
            </w:r>
          </w:p>
        </w:tc>
        <w:tc>
          <w:tcPr>
            <w:tcW w:type="dxa" w:w="978"/>
            <w:shd w:fill="FFFFFF" w:color="auto" w:val="clear"/>
            <w:tcMar>
              <w:top w:type="dxa" w:w="40"/>
              <w:left w:type="dxa" w:w="70"/>
              <w:bottom w:type="dxa" w:w="40"/>
              <w:right w:type="dxa" w:w="70"/>
            </w:tcMar>
          </w:tcPr>
          <w:p>
            <w:pPr>
              <w:spacing w:after="0"/>
            </w:pPr>
            <w:r>
              <w:rPr>
                <w:sz w:val="17"/>
                <w:szCs w:val="17"/>
              </w:rPr>
              <w:t xml:space="preserve">$2,083</w:t>
            </w:r>
          </w:p>
        </w:tc>
        <w:tc>
          <w:tcPr>
            <w:tcW w:type="dxa" w:w="782"/>
            <w:shd w:fill="FFFFFF" w:color="auto" w:val="clear"/>
            <w:tcMar>
              <w:top w:type="dxa" w:w="40"/>
              <w:left w:type="dxa" w:w="70"/>
              <w:bottom w:type="dxa" w:w="40"/>
              <w:right w:type="dxa" w:w="70"/>
            </w:tcMar>
          </w:tcPr>
          <w:p>
            <w:pPr>
              <w:spacing w:after="0"/>
            </w:pPr>
            <w:r>
              <w:rPr>
                <w:sz w:val="17"/>
                <w:szCs w:val="17"/>
              </w:rPr>
              <w:t xml:space="preserve">31.5%</w:t>
            </w:r>
          </w:p>
        </w:tc>
        <w:tc>
          <w:tcPr>
            <w:tcW w:type="dxa" w:w="782"/>
            <w:shd w:fill="FFFFFF" w:color="auto" w:val="clear"/>
            <w:tcMar>
              <w:top w:type="dxa" w:w="40"/>
              <w:left w:type="dxa" w:w="70"/>
              <w:bottom w:type="dxa" w:w="40"/>
              <w:right w:type="dxa" w:w="70"/>
            </w:tcMar>
          </w:tcPr>
          <w:p>
            <w:pPr>
              <w:spacing w:after="0"/>
            </w:pPr>
            <w:r>
              <w:rPr>
                <w:sz w:val="17"/>
                <w:szCs w:val="17"/>
              </w:rPr>
              <w:t xml:space="preserve">12.5%</w:t>
            </w:r>
          </w:p>
        </w:tc>
        <w:tc>
          <w:tcPr>
            <w:tcW w:type="dxa" w:w="880"/>
            <w:shd w:fill="FFFFFF" w:color="auto" w:val="clear"/>
            <w:tcMar>
              <w:top w:type="dxa" w:w="40"/>
              <w:left w:type="dxa" w:w="70"/>
              <w:bottom w:type="dxa" w:w="40"/>
              <w:right w:type="dxa" w:w="70"/>
            </w:tcMar>
          </w:tcPr>
          <w:p>
            <w:pPr>
              <w:spacing w:after="0"/>
            </w:pPr>
            <w:r>
              <w:rPr>
                <w:sz w:val="17"/>
                <w:szCs w:val="17"/>
              </w:rPr>
              <w:t xml:space="preserve">27.2</w:t>
            </w:r>
          </w:p>
        </w:tc>
        <w:tc>
          <w:tcPr>
            <w:tcW w:type="dxa" w:w="880"/>
            <w:shd w:fill="FFFFFF" w:color="auto" w:val="clear"/>
            <w:tcMar>
              <w:top w:type="dxa" w:w="40"/>
              <w:left w:type="dxa" w:w="70"/>
              <w:bottom w:type="dxa" w:w="40"/>
              <w:right w:type="dxa" w:w="70"/>
            </w:tcMar>
          </w:tcPr>
          <w:p>
            <w:pPr>
              <w:spacing w:after="0"/>
            </w:pPr>
            <w:r>
              <w:rPr>
                <w:sz w:val="17"/>
                <w:szCs w:val="17"/>
              </w:rPr>
              <w:t xml:space="preserve">94</w:t>
            </w:r>
          </w:p>
        </w:tc>
        <w:tc>
          <w:tcPr>
            <w:tcW w:type="dxa" w:w="880"/>
            <w:shd w:fill="FFFFFF" w:color="auto" w:val="clear"/>
            <w:tcMar>
              <w:top w:type="dxa" w:w="40"/>
              <w:left w:type="dxa" w:w="70"/>
              <w:bottom w:type="dxa" w:w="40"/>
              <w:right w:type="dxa" w:w="70"/>
            </w:tcMar>
          </w:tcPr>
          <w:p>
            <w:pPr>
              <w:spacing w:after="0"/>
            </w:pPr>
            <w:r>
              <w:rPr>
                <w:sz w:val="17"/>
                <w:szCs w:val="17"/>
              </w:rPr>
              <w:t xml:space="preserve">105</w:t>
            </w:r>
          </w:p>
        </w:tc>
        <w:tc>
          <w:tcPr>
            <w:tcW w:type="dxa" w:w="782"/>
            <w:shd w:fill="FFFFFF" w:color="auto" w:val="clear"/>
            <w:tcMar>
              <w:top w:type="dxa" w:w="40"/>
              <w:left w:type="dxa" w:w="70"/>
              <w:bottom w:type="dxa" w:w="40"/>
              <w:right w:type="dxa" w:w="70"/>
            </w:tcMar>
          </w:tcPr>
          <w:p>
            <w:pPr>
              <w:spacing w:after="0"/>
            </w:pPr>
            <w:r>
              <w:rPr>
                <w:sz w:val="17"/>
                <w:szCs w:val="17"/>
              </w:rPr>
              <w:t xml:space="preserve">37%</w:t>
            </w:r>
          </w:p>
        </w:tc>
        <w:tc>
          <w:tcPr>
            <w:tcW w:type="dxa" w:w="879"/>
            <w:shd w:fill="FFFFFF" w:color="auto" w:val="clear"/>
            <w:tcMar>
              <w:top w:type="dxa" w:w="40"/>
              <w:left w:type="dxa" w:w="70"/>
              <w:bottom w:type="dxa" w:w="40"/>
              <w:right w:type="dxa" w:w="70"/>
            </w:tcMar>
          </w:tcPr>
          <w:p>
            <w:pPr>
              <w:spacing w:after="0"/>
            </w:pPr>
            <w:r>
              <w:rPr>
                <w:sz w:val="17"/>
                <w:szCs w:val="17"/>
              </w:rPr>
              <w:t xml:space="preserve">$4.44</w:t>
            </w:r>
          </w:p>
        </w:tc>
      </w:tr>
      <w:tr>
        <w:tc>
          <w:tcPr>
            <w:tcW w:type="dxa" w:w="2249"/>
            <w:shd w:fill="F2F5F9" w:color="auto" w:val="clear"/>
            <w:tcMar>
              <w:top w:type="dxa" w:w="40"/>
              <w:left w:type="dxa" w:w="70"/>
              <w:bottom w:type="dxa" w:w="40"/>
              <w:right w:type="dxa" w:w="70"/>
            </w:tcMar>
          </w:tcPr>
          <w:p>
            <w:pPr>
              <w:spacing w:after="0"/>
            </w:pPr>
            <w:r>
              <w:rPr>
                <w:sz w:val="17"/>
                <w:szCs w:val="17"/>
              </w:rPr>
              <w:t xml:space="preserve">Deal, week 1 (15–21 Sep)</w:t>
            </w:r>
          </w:p>
        </w:tc>
        <w:tc>
          <w:tcPr>
            <w:tcW w:type="dxa" w:w="880"/>
            <w:shd w:fill="F2F5F9" w:color="auto" w:val="clear"/>
            <w:tcMar>
              <w:top w:type="dxa" w:w="40"/>
              <w:left w:type="dxa" w:w="70"/>
              <w:bottom w:type="dxa" w:w="40"/>
              <w:right w:type="dxa" w:w="70"/>
            </w:tcMar>
          </w:tcPr>
          <w:p>
            <w:pPr>
              <w:spacing w:after="0"/>
            </w:pPr>
            <w:r>
              <w:rPr>
                <w:sz w:val="17"/>
                <w:szCs w:val="17"/>
              </w:rPr>
              <w:t xml:space="preserve">$1,169</w:t>
            </w:r>
          </w:p>
        </w:tc>
        <w:tc>
          <w:tcPr>
            <w:tcW w:type="dxa" w:w="978"/>
            <w:shd w:fill="F2F5F9" w:color="auto" w:val="clear"/>
            <w:tcMar>
              <w:top w:type="dxa" w:w="40"/>
              <w:left w:type="dxa" w:w="70"/>
              <w:bottom w:type="dxa" w:w="40"/>
              <w:right w:type="dxa" w:w="70"/>
            </w:tcMar>
          </w:tcPr>
          <w:p>
            <w:pPr>
              <w:spacing w:after="0"/>
            </w:pPr>
            <w:r>
              <w:rPr>
                <w:sz w:val="17"/>
                <w:szCs w:val="17"/>
              </w:rPr>
              <w:t xml:space="preserve">$2,691</w:t>
            </w:r>
          </w:p>
        </w:tc>
        <w:tc>
          <w:tcPr>
            <w:tcW w:type="dxa" w:w="782"/>
            <w:shd w:fill="F2F5F9" w:color="auto" w:val="clear"/>
            <w:tcMar>
              <w:top w:type="dxa" w:w="40"/>
              <w:left w:type="dxa" w:w="70"/>
              <w:bottom w:type="dxa" w:w="40"/>
              <w:right w:type="dxa" w:w="70"/>
            </w:tcMar>
          </w:tcPr>
          <w:p>
            <w:pPr>
              <w:spacing w:after="0"/>
            </w:pPr>
            <w:r>
              <w:rPr>
                <w:sz w:val="17"/>
                <w:szCs w:val="17"/>
              </w:rPr>
              <w:t xml:space="preserve">43.5%</w:t>
            </w:r>
          </w:p>
        </w:tc>
        <w:tc>
          <w:tcPr>
            <w:tcW w:type="dxa" w:w="782"/>
            <w:shd w:fill="F2F5F9" w:color="auto" w:val="clear"/>
            <w:tcMar>
              <w:top w:type="dxa" w:w="40"/>
              <w:left w:type="dxa" w:w="70"/>
              <w:bottom w:type="dxa" w:w="40"/>
              <w:right w:type="dxa" w:w="70"/>
            </w:tcMar>
          </w:tcPr>
          <w:p>
            <w:pPr>
              <w:spacing w:after="0"/>
            </w:pPr>
            <w:r>
              <w:rPr>
                <w:sz w:val="17"/>
                <w:szCs w:val="17"/>
              </w:rPr>
              <w:t xml:space="preserve">10.8%</w:t>
            </w:r>
          </w:p>
        </w:tc>
        <w:tc>
          <w:tcPr>
            <w:tcW w:type="dxa" w:w="880"/>
            <w:shd w:fill="F2F5F9" w:color="auto" w:val="clear"/>
            <w:tcMar>
              <w:top w:type="dxa" w:w="40"/>
              <w:left w:type="dxa" w:w="70"/>
              <w:bottom w:type="dxa" w:w="40"/>
              <w:right w:type="dxa" w:w="70"/>
            </w:tcMar>
          </w:tcPr>
          <w:p>
            <w:pPr>
              <w:spacing w:after="0"/>
            </w:pPr>
            <w:r>
              <w:rPr>
                <w:sz w:val="17"/>
                <w:szCs w:val="17"/>
              </w:rPr>
              <w:t xml:space="preserve">36.9</w:t>
            </w:r>
          </w:p>
        </w:tc>
        <w:tc>
          <w:tcPr>
            <w:tcW w:type="dxa" w:w="880"/>
            <w:shd w:fill="F2F5F9" w:color="auto" w:val="clear"/>
            <w:tcMar>
              <w:top w:type="dxa" w:w="40"/>
              <w:left w:type="dxa" w:w="70"/>
              <w:bottom w:type="dxa" w:w="40"/>
              <w:right w:type="dxa" w:w="70"/>
            </w:tcMar>
          </w:tcPr>
          <w:p>
            <w:pPr>
              <w:spacing w:after="0"/>
            </w:pPr>
            <w:r>
              <w:rPr>
                <w:sz w:val="17"/>
                <w:szCs w:val="17"/>
              </w:rPr>
              <w:t xml:space="preserve">153</w:t>
            </w:r>
          </w:p>
        </w:tc>
        <w:tc>
          <w:tcPr>
            <w:tcW w:type="dxa" w:w="880"/>
            <w:shd w:fill="F2F5F9" w:color="auto" w:val="clear"/>
            <w:tcMar>
              <w:top w:type="dxa" w:w="40"/>
              <w:left w:type="dxa" w:w="70"/>
              <w:bottom w:type="dxa" w:w="40"/>
              <w:right w:type="dxa" w:w="70"/>
            </w:tcMar>
          </w:tcPr>
          <w:p>
            <w:pPr>
              <w:spacing w:after="0"/>
            </w:pPr>
            <w:r>
              <w:rPr>
                <w:sz w:val="17"/>
                <w:szCs w:val="17"/>
              </w:rPr>
              <w:t xml:space="preserve">145</w:t>
            </w:r>
          </w:p>
        </w:tc>
        <w:tc>
          <w:tcPr>
            <w:tcW w:type="dxa" w:w="782"/>
            <w:shd w:fill="F2F5F9" w:color="auto" w:val="clear"/>
            <w:tcMar>
              <w:top w:type="dxa" w:w="40"/>
              <w:left w:type="dxa" w:w="70"/>
              <w:bottom w:type="dxa" w:w="40"/>
              <w:right w:type="dxa" w:w="70"/>
            </w:tcMar>
          </w:tcPr>
          <w:p>
            <w:pPr>
              <w:spacing w:after="0"/>
            </w:pPr>
            <w:r>
              <w:rPr>
                <w:sz w:val="17"/>
                <w:szCs w:val="17"/>
              </w:rPr>
              <w:t xml:space="preserve">42%</w:t>
            </w:r>
          </w:p>
        </w:tc>
        <w:tc>
          <w:tcPr>
            <w:tcW w:type="dxa" w:w="879"/>
            <w:shd w:fill="F2F5F9" w:color="auto" w:val="clear"/>
            <w:tcMar>
              <w:top w:type="dxa" w:w="40"/>
              <w:left w:type="dxa" w:w="70"/>
              <w:bottom w:type="dxa" w:w="40"/>
              <w:right w:type="dxa" w:w="70"/>
            </w:tcMar>
          </w:tcPr>
          <w:p>
            <w:pPr>
              <w:spacing w:after="0"/>
            </w:pPr>
            <w:r>
              <w:rPr>
                <w:sz w:val="17"/>
                <w:szCs w:val="17"/>
              </w:rPr>
              <w:t xml:space="preserve">$5.48</w:t>
            </w:r>
          </w:p>
        </w:tc>
      </w:tr>
      <w:tr>
        <w:tc>
          <w:tcPr>
            <w:tcW w:type="dxa" w:w="2249"/>
            <w:shd w:fill="FFFFFF" w:color="auto" w:val="clear"/>
            <w:tcMar>
              <w:top w:type="dxa" w:w="40"/>
              <w:left w:type="dxa" w:w="70"/>
              <w:bottom w:type="dxa" w:w="40"/>
              <w:right w:type="dxa" w:w="70"/>
            </w:tcMar>
          </w:tcPr>
          <w:p>
            <w:pPr>
              <w:spacing w:after="0"/>
            </w:pPr>
            <w:r>
              <w:rPr>
                <w:sz w:val="17"/>
                <w:szCs w:val="17"/>
              </w:rPr>
              <w:t xml:space="preserve">Deal, week 2 (22–27 Sep)</w:t>
            </w:r>
          </w:p>
        </w:tc>
        <w:tc>
          <w:tcPr>
            <w:tcW w:type="dxa" w:w="880"/>
            <w:shd w:fill="FFFFFF" w:color="auto" w:val="clear"/>
            <w:tcMar>
              <w:top w:type="dxa" w:w="40"/>
              <w:left w:type="dxa" w:w="70"/>
              <w:bottom w:type="dxa" w:w="40"/>
              <w:right w:type="dxa" w:w="70"/>
            </w:tcMar>
          </w:tcPr>
          <w:p>
            <w:pPr>
              <w:spacing w:after="0"/>
            </w:pPr>
            <w:r>
              <w:rPr>
                <w:sz w:val="17"/>
                <w:szCs w:val="17"/>
              </w:rPr>
              <w:t xml:space="preserve">$1,142</w:t>
            </w:r>
          </w:p>
        </w:tc>
        <w:tc>
          <w:tcPr>
            <w:tcW w:type="dxa" w:w="978"/>
            <w:shd w:fill="FFFFFF" w:color="auto" w:val="clear"/>
            <w:tcMar>
              <w:top w:type="dxa" w:w="40"/>
              <w:left w:type="dxa" w:w="70"/>
              <w:bottom w:type="dxa" w:w="40"/>
              <w:right w:type="dxa" w:w="70"/>
            </w:tcMar>
          </w:tcPr>
          <w:p>
            <w:pPr>
              <w:spacing w:after="0"/>
            </w:pPr>
            <w:r>
              <w:rPr>
                <w:sz w:val="17"/>
                <w:szCs w:val="17"/>
              </w:rPr>
              <w:t xml:space="preserve">$2,541*</w:t>
            </w:r>
          </w:p>
        </w:tc>
        <w:tc>
          <w:tcPr>
            <w:tcW w:type="dxa" w:w="782"/>
            <w:shd w:fill="FFFFFF" w:color="auto" w:val="clear"/>
            <w:tcMar>
              <w:top w:type="dxa" w:w="40"/>
              <w:left w:type="dxa" w:w="70"/>
              <w:bottom w:type="dxa" w:w="40"/>
              <w:right w:type="dxa" w:w="70"/>
            </w:tcMar>
          </w:tcPr>
          <w:p>
            <w:pPr>
              <w:spacing w:after="0"/>
            </w:pPr>
            <w:r>
              <w:rPr>
                <w:sz w:val="17"/>
                <w:szCs w:val="17"/>
              </w:rPr>
              <w:t xml:space="preserve">45.0%*</w:t>
            </w:r>
          </w:p>
        </w:tc>
        <w:tc>
          <w:tcPr>
            <w:tcW w:type="dxa" w:w="782"/>
            <w:shd w:fill="FFFFFF" w:color="auto" w:val="clear"/>
            <w:tcMar>
              <w:top w:type="dxa" w:w="40"/>
              <w:left w:type="dxa" w:w="70"/>
              <w:bottom w:type="dxa" w:w="40"/>
              <w:right w:type="dxa" w:w="70"/>
            </w:tcMar>
          </w:tcPr>
          <w:p>
            <w:pPr>
              <w:spacing w:after="0"/>
            </w:pPr>
            <w:r>
              <w:rPr>
                <w:sz w:val="17"/>
                <w:szCs w:val="17"/>
              </w:rPr>
              <w:t xml:space="preserve">9.6%*</w:t>
            </w:r>
          </w:p>
        </w:tc>
        <w:tc>
          <w:tcPr>
            <w:tcW w:type="dxa" w:w="880"/>
            <w:shd w:fill="FFFFFF" w:color="auto" w:val="clear"/>
            <w:tcMar>
              <w:top w:type="dxa" w:w="40"/>
              <w:left w:type="dxa" w:w="70"/>
              <w:bottom w:type="dxa" w:w="40"/>
              <w:right w:type="dxa" w:w="70"/>
            </w:tcMar>
          </w:tcPr>
          <w:p>
            <w:pPr>
              <w:spacing w:after="0"/>
            </w:pPr>
            <w:r>
              <w:rPr>
                <w:sz w:val="17"/>
                <w:szCs w:val="17"/>
              </w:rPr>
              <w:t xml:space="preserve">35.8*</w:t>
            </w:r>
          </w:p>
        </w:tc>
        <w:tc>
          <w:tcPr>
            <w:tcW w:type="dxa" w:w="880"/>
            <w:shd w:fill="FFFFFF" w:color="auto" w:val="clear"/>
            <w:tcMar>
              <w:top w:type="dxa" w:w="40"/>
              <w:left w:type="dxa" w:w="70"/>
              <w:bottom w:type="dxa" w:w="40"/>
              <w:right w:type="dxa" w:w="70"/>
            </w:tcMar>
          </w:tcPr>
          <w:p>
            <w:pPr>
              <w:spacing w:after="0"/>
            </w:pPr>
            <w:r>
              <w:rPr>
                <w:sz w:val="17"/>
                <w:szCs w:val="17"/>
              </w:rPr>
              <w:t xml:space="preserve">147</w:t>
            </w:r>
          </w:p>
        </w:tc>
        <w:tc>
          <w:tcPr>
            <w:tcW w:type="dxa" w:w="880"/>
            <w:shd w:fill="FFFFFF" w:color="auto" w:val="clear"/>
            <w:tcMar>
              <w:top w:type="dxa" w:w="40"/>
              <w:left w:type="dxa" w:w="70"/>
              <w:bottom w:type="dxa" w:w="40"/>
              <w:right w:type="dxa" w:w="70"/>
            </w:tcMar>
          </w:tcPr>
          <w:p>
            <w:pPr>
              <w:spacing w:after="0"/>
            </w:pPr>
            <w:r>
              <w:rPr>
                <w:sz w:val="17"/>
                <w:szCs w:val="17"/>
              </w:rPr>
              <w:t xml:space="preserve">149</w:t>
            </w:r>
          </w:p>
        </w:tc>
        <w:tc>
          <w:tcPr>
            <w:tcW w:type="dxa" w:w="782"/>
            <w:shd w:fill="FFFFFF" w:color="auto" w:val="clear"/>
            <w:tcMar>
              <w:top w:type="dxa" w:w="40"/>
              <w:left w:type="dxa" w:w="70"/>
              <w:bottom w:type="dxa" w:w="40"/>
              <w:right w:type="dxa" w:w="70"/>
            </w:tcMar>
          </w:tcPr>
          <w:p>
            <w:pPr>
              <w:spacing w:after="0"/>
            </w:pPr>
            <w:r>
              <w:rPr>
                <w:sz w:val="17"/>
                <w:szCs w:val="17"/>
              </w:rPr>
              <w:t xml:space="preserve">37%</w:t>
            </w:r>
          </w:p>
        </w:tc>
        <w:tc>
          <w:tcPr>
            <w:tcW w:type="dxa" w:w="879"/>
            <w:shd w:fill="FFFFFF" w:color="auto" w:val="clear"/>
            <w:tcMar>
              <w:top w:type="dxa" w:w="40"/>
              <w:left w:type="dxa" w:w="70"/>
              <w:bottom w:type="dxa" w:w="40"/>
              <w:right w:type="dxa" w:w="70"/>
            </w:tcMar>
          </w:tcPr>
          <w:p>
            <w:pPr>
              <w:spacing w:after="0"/>
            </w:pPr>
            <w:r>
              <w:rPr>
                <w:sz w:val="17"/>
                <w:szCs w:val="17"/>
              </w:rPr>
              <w:t xml:space="preserve">$5.40</w:t>
            </w:r>
          </w:p>
        </w:tc>
      </w:tr>
    </w:tbl>
    <w:p>
      <w:pPr>
        <w:spacing w:after="120"/>
      </w:pPr>
      <w:r>
        <w:rPr>
          <w:i/>
          <w:iCs/>
          <w:color w:val="555555"/>
          <w:sz w:val="17"/>
          <w:szCs w:val="17"/>
        </w:rPr>
        <w:t xml:space="preserve">Command Center, all campaigns for this product. * Still filling in: Amazon credits sales up to 7 days after the click. The Best Deal (15–28 September) sold 752 units for $53,568. TACoS was 14.1% before the deal, 16.1% over the last 30 days, and about 19% in the deal’s last week.</w:t>
      </w:r>
    </w:p>
    <w:p>
      <w:pPr>
        <w:spacing w:after="100"/>
      </w:pPr>
      <w:r>
        <w:t xml:space="preserve">The deal lifted orders by about a third, but ad spend rose 76% and ACoS went to about 44%. Most of the extra money didn’t buy rank: product pages took as many clicks as top of search, and the top-of-search share never passed 42%. The main term, “bamboo sheets”, spent $4,309 in 13 deal days at 81% ACoS and moved only from 38 to 30.</w:t>
      </w:r>
    </w:p>
    <w:p>
      <w:pPr>
        <w:spacing w:after="60"/>
        <w:jc w:val="center"/>
      </w:pPr>
      <w:r>
        <w:drawing>
          <wp:inline distT="0" distB="0" distL="0" distR="0">
            <wp:extent cx="57150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267325"/>
                    </a:xfrm>
                    <a:prstGeom prst="rect">
                      <a:avLst/>
                    </a:prstGeom>
                  </pic:spPr>
                </pic:pic>
              </a:graphicData>
            </a:graphic>
          </wp:inline>
        </w:drawing>
      </w:r>
    </w:p>
    <w:p>
      <w:pPr>
        <w:spacing w:after="120"/>
      </w:pPr>
      <w:r>
        <w:rPr>
          <w:i/>
          <w:iCs/>
          <w:color w:val="555555"/>
          <w:sz w:val="17"/>
          <w:szCs w:val="17"/>
        </w:rPr>
        <w:t xml:space="preserve">Top: clicks per day at top of search and on product pages. Middle: the average top-of-search bid. Bottom: organic rank for four keyword groups (lower is better). Shaded: the Best Deal.</w:t>
      </w:r>
    </w:p>
    <w:p>
      <w:pPr>
        <w:pStyle w:val="Heading1"/>
      </w:pPr>
      <w:r>
        <w:t xml:space="preserve">2. The rules these corrections apply</w:t>
      </w:r>
    </w:p>
    <w:p>
      <w:pPr>
        <w:pStyle w:val="ListParagraph"/>
        <w:numPr>
          <w:ilvl w:val="0"/>
          <w:numId w:val="3"/>
        </w:numPr>
        <w:spacing w:after="60"/>
      </w:pPr>
      <w:r>
        <w:rPr>
          <w:b/>
          <w:bCs/>
        </w:rPr>
        <w:t xml:space="preserve">Rank is built before a sales event, not only during it. </w:t>
      </w:r>
      <w:r>
        <w:t xml:space="preserve">Focus terms are pushed at top of search continuously into each event (Prime, Black Friday / Cyber Monday). Each term needs four things for a push: shoppers click our ad more than the market average, clicks convert better than the market average, stock can hold the position, and the campaign is actually serving. A term missing any of them runs at break-even until it’s fixed.</w:t>
      </w:r>
    </w:p>
    <w:p>
      <w:pPr>
        <w:pStyle w:val="ListParagraph"/>
        <w:numPr>
          <w:ilvl w:val="0"/>
          <w:numId w:val="3"/>
        </w:numPr>
        <w:spacing w:after="60"/>
      </w:pPr>
      <w:r>
        <w:rPr>
          <w:b/>
          <w:bCs/>
        </w:rPr>
        <w:t xml:space="preserve">A push price has limits. </w:t>
      </w:r>
      <w:r>
        <w:t xml:space="preserve">Start from break-even and add a premium for the rank gap: +25% when the current rank is within 1.5× the target, otherwise (current ÷ target − 1) × 50%. Never climb more than 30% in one step.</w:t>
      </w:r>
    </w:p>
    <w:p>
      <w:pPr>
        <w:pStyle w:val="ListParagraph"/>
        <w:numPr>
          <w:ilvl w:val="0"/>
          <w:numId w:val="3"/>
        </w:numPr>
        <w:spacing w:after="60"/>
      </w:pPr>
      <w:r>
        <w:rPr>
          <w:b/>
          <w:bCs/>
        </w:rPr>
        <w:t xml:space="preserve">Everything not being pushed runs at its own break-even. </w:t>
      </w:r>
      <w:r>
        <w:t xml:space="preserve">A price above break-even comes down straight away where the campaign has no top-of-search clicks, and in steps of at most 50% where it has them.</w:t>
      </w:r>
    </w:p>
    <w:p>
      <w:pPr>
        <w:pStyle w:val="ListParagraph"/>
        <w:numPr>
          <w:ilvl w:val="0"/>
          <w:numId w:val="3"/>
        </w:numPr>
        <w:spacing w:after="60"/>
      </w:pPr>
      <w:r>
        <w:rPr>
          <w:b/>
          <w:bCs/>
        </w:rPr>
        <w:t xml:space="preserve">Break-even comes from real margin. </w:t>
      </w:r>
      <w:r>
        <w:t xml:space="preserve">Use Sellerboard profit before ads (after product cost, all Amazon fees including storage, refunds and promotions) over the 30 days before the deal. Use the campaign’s own conversion rate once it has enough clicks.</w:t>
      </w:r>
    </w:p>
    <w:p>
      <w:pPr>
        <w:pStyle w:val="ListParagraph"/>
        <w:numPr>
          <w:ilvl w:val="0"/>
          <w:numId w:val="3"/>
        </w:numPr>
        <w:spacing w:after="60"/>
      </w:pPr>
      <w:r>
        <w:rPr>
          <w:b/>
          <w:bCs/>
        </w:rPr>
        <w:t xml:space="preserve">Fix where the clicks land before paying a premium. </w:t>
      </w:r>
      <w:r>
        <w:t xml:space="preserve">If more than 20% of clicks land on product pages, lower the base bid and raise the boost so the top-of-search price stays the same. If under 30% land at top of search, this comes first.</w:t>
      </w:r>
    </w:p>
    <w:p>
      <w:pPr>
        <w:pStyle w:val="ListParagraph"/>
        <w:numPr>
          <w:ilvl w:val="0"/>
          <w:numId w:val="3"/>
        </w:numPr>
        <w:spacing w:after="60"/>
      </w:pPr>
      <w:r>
        <w:rPr>
          <w:b/>
          <w:bCs/>
        </w:rPr>
        <w:t xml:space="preserve">If a campaign gets no clicks, don’t cut its base bid. </w:t>
      </w:r>
      <w:r>
        <w:t xml:space="preserve">Check whether down-only bidding is holding the price down, and switch to fixed bidding if it is.</w:t>
      </w:r>
    </w:p>
    <w:p>
      <w:pPr>
        <w:pStyle w:val="ListParagraph"/>
        <w:numPr>
          <w:ilvl w:val="0"/>
          <w:numId w:val="3"/>
        </w:numPr>
        <w:spacing w:after="60"/>
      </w:pPr>
      <w:r>
        <w:rPr>
          <w:b/>
          <w:bCs/>
        </w:rPr>
        <w:t xml:space="preserve">One owner per search term. </w:t>
      </w:r>
      <w:r>
        <w:t xml:space="preserve">Each ranking term is bought by one exact campaign; broad, auto and phrase campaigns exclude it.</w:t>
      </w:r>
    </w:p>
    <w:p>
      <w:pPr>
        <w:pStyle w:val="ListParagraph"/>
        <w:numPr>
          <w:ilvl w:val="0"/>
          <w:numId w:val="3"/>
        </w:numPr>
        <w:spacing w:after="60"/>
      </w:pPr>
      <w:r>
        <w:rPr>
          <w:b/>
          <w:bCs/>
        </w:rPr>
        <w:t xml:space="preserve">Advertise the right colour, judged on Available stock. </w:t>
      </w:r>
      <w:r>
        <w:t xml:space="preserve">Ranking campaigns advertise White, or the size’s next-best seller with healthy stock while White is short. Discovery campaigns advertise the size’s clearance colour.</w:t>
      </w:r>
    </w:p>
    <w:p>
      <w:pPr>
        <w:pStyle w:val="ListParagraph"/>
        <w:numPr>
          <w:ilvl w:val="0"/>
          <w:numId w:val="3"/>
        </w:numPr>
        <w:spacing w:after="60"/>
      </w:pPr>
      <w:r>
        <w:rPr>
          <w:b/>
          <w:bCs/>
        </w:rPr>
        <w:t xml:space="preserve">Outside ranking, each campaign pays for itself. </w:t>
      </w:r>
      <w:r>
        <w:t xml:space="preserve">It is judged on its own results over 30 days against 90. Over break-even, the base bid comes down. Inside break-even, or under 15 clicks, nothing moves.</w:t>
      </w:r>
    </w:p>
    <w:p>
      <w:pPr>
        <w:pStyle w:val="ListParagraph"/>
        <w:numPr>
          <w:ilvl w:val="0"/>
          <w:numId w:val="3"/>
        </w:numPr>
        <w:spacing w:after="60"/>
      </w:pPr>
      <w:r>
        <w:rPr>
          <w:b/>
          <w:bCs/>
        </w:rPr>
        <w:t xml:space="preserve">Numbers from a deal period don’t judge results. </w:t>
      </w:r>
      <w:r>
        <w:t xml:space="preserve">Re-check after seven normal days.</w:t>
      </w:r>
    </w:p>
    <w:p>
      <w:pPr>
        <w:pStyle w:val="Heading1"/>
      </w:pPr>
      <w:r>
        <w:t xml:space="preserve">3. The audit sets no spend target, TACoS goal or product goal</w:t>
      </w:r>
    </w:p>
    <w:p>
      <w:pPr>
        <w:spacing w:after="100"/>
      </w:pPr>
      <w:r>
        <w:t xml:space="preserve">The audit forecasts ad spend rising from $1,107 to $1,384 a day and TACoS to 24.8%. It also uses a 25% TACoS ceiling to size its biggest price jumps. It never sets a goal for the run, so none of those numbers is checked against anything. A 25% ceiling is far too loose: B4 ran at 14.1% TACoS before the deal.</w:t>
      </w:r>
    </w:p>
    <w:p>
      <w:pPr>
        <w:spacing w:after="100"/>
      </w:pPr>
      <w:r>
        <w:rPr>
          <w:b/>
          <w:bCs/>
          <w:color w:val="1F3A5F"/>
        </w:rPr>
        <w:t xml:space="preserve">Correction: set these goals from 29 September through Black Friday / Cyber Monday. </w:t>
      </w:r>
      <w:r>
        <w:t xml:space="preserve"/>
      </w:r>
    </w:p>
    <w:p>
      <w:pPr>
        <w:pStyle w:val="ListParagraph"/>
        <w:numPr>
          <w:ilvl w:val="0"/>
          <w:numId w:val="4"/>
        </w:numPr>
        <w:spacing w:after="60"/>
      </w:pPr>
      <w:r>
        <w:rPr>
          <w:b/>
          <w:bCs/>
        </w:rPr>
        <w:t xml:space="preserve">TACoS goal: below the pre-deal level. </w:t>
      </w:r>
      <w:r>
        <w:t xml:space="preserve">Set it under the 14.1% B4 ran at before the deal, and bring it down further as organic rank grows. The push is paid for by cutting waste, not by adding spend on top (Section 5.5).</w:t>
      </w:r>
    </w:p>
    <w:p>
      <w:pPr>
        <w:pStyle w:val="ListParagraph"/>
        <w:numPr>
          <w:ilvl w:val="0"/>
          <w:numId w:val="4"/>
        </w:numPr>
        <w:spacing w:after="60"/>
      </w:pPr>
      <w:r>
        <w:rPr>
          <w:b/>
          <w:bCs/>
        </w:rPr>
        <w:t xml:space="preserve">Spend limit: a share of the last 7 days’ total sales, </w:t>
      </w:r>
      <w:r>
        <w:t xml:space="preserve">set from the TACoS goal. The limit rises as sales rise, so rank gains fund a bigger push. Within the limit, the focus terms’ top-of-search push is funded first.</w:t>
      </w:r>
    </w:p>
    <w:p>
      <w:pPr>
        <w:pStyle w:val="ListParagraph"/>
        <w:numPr>
          <w:ilvl w:val="0"/>
          <w:numId w:val="4"/>
        </w:numPr>
        <w:spacing w:after="60"/>
      </w:pPr>
      <w:r>
        <w:rPr>
          <w:b/>
          <w:bCs/>
        </w:rPr>
        <w:t xml:space="preserve">Product goal: </w:t>
      </w:r>
      <w:r>
        <w:t xml:space="preserve">enter Prime and Black Friday with the focus terms as high as possible, and keep the gains afterwards. Milestones:</w:t>
      </w:r>
    </w:p>
    <w:p>
      <w:pPr>
        <w:pStyle w:val="ListParagraph"/>
        <w:numPr>
          <w:ilvl w:val="0"/>
          <w:numId w:val="4"/>
        </w:numPr>
        <w:spacing w:after="60"/>
      </w:pPr>
      <w:r>
        <w:t xml:space="preserve">Hold the ground the deal bought: “bamboo sheets” no worse than 30, “bamboo cooling sheets” no worse than 32.</w:t>
      </w:r>
    </w:p>
    <w:p>
      <w:pPr>
        <w:pStyle w:val="ListParagraph"/>
        <w:numPr>
          <w:ilvl w:val="0"/>
          <w:numId w:val="4"/>
        </w:numPr>
        <w:spacing w:after="60"/>
      </w:pPr>
      <w:r>
        <w:t xml:space="preserve">Move “bamboo cooling sheets” and the two King White terms up every week toward their targets (5, 8 and 10).</w:t>
      </w:r>
    </w:p>
    <w:p>
      <w:pPr>
        <w:pStyle w:val="ListParagraph"/>
        <w:numPr>
          <w:ilvl w:val="0"/>
          <w:numId w:val="4"/>
        </w:numPr>
        <w:spacing w:after="60"/>
      </w:pPr>
      <w:r>
        <w:t xml:space="preserve">Keep ad orders at 27 a day or more, the pre-deal level.</w:t>
      </w:r>
    </w:p>
    <w:p>
      <w:pPr>
        <w:pStyle w:val="ListParagraph"/>
        <w:numPr>
          <w:ilvl w:val="0"/>
          <w:numId w:val="4"/>
        </w:numPr>
        <w:spacing w:after="60"/>
      </w:pPr>
      <w:r>
        <w:t xml:space="preserve">Get at least 70% of focus-campaign clicks at top of search.</w:t>
      </w:r>
    </w:p>
    <w:p>
      <w:pPr>
        <w:spacing w:after="100"/>
      </w:pPr>
      <w:r>
        <w:t xml:space="preserve">Check every Monday. If TACoS runs over the goal, cut first whatever is still above break-even outside the push. If it runs under the goal and rank is climbing, raise the push budget.</w:t>
      </w:r>
    </w:p>
    <w:p>
      <w:pPr>
        <w:pStyle w:val="Heading1"/>
      </w:pPr>
      <w:r>
        <w:t xml:space="preserve">4. Moving out of the deal: the transition plan</w:t>
      </w:r>
    </w:p>
    <w:p>
      <w:pPr>
        <w:spacing w:after="100"/>
      </w:pPr>
      <w:r>
        <w:t xml:space="preserve">The audit treats 28 September as a normal day. It has no step for ending deal-level spend, no guard for rank as deal sales stop, and no link to the next events. Rank usually slips when deal sales stop, so the transition has two jobs: bring spend back inside the goals quickly, and move the money onto the focus terms before rank falls.</w:t>
      </w:r>
    </w:p>
    <w:p>
      <w:pPr>
        <w:pStyle w:val="Heading2"/>
      </w:pPr>
      <w:r>
        <w:t xml:space="preserve">Day 1 — 29 September</w:t>
      </w:r>
    </w:p>
    <w:p>
      <w:pPr>
        <w:pStyle w:val="ListParagraph"/>
        <w:numPr>
          <w:ilvl w:val="0"/>
          <w:numId w:val="4"/>
        </w:numPr>
        <w:spacing w:after="60"/>
      </w:pPr>
      <w:r>
        <w:t xml:space="preserve">Confirm the listing is back at its regular price with no deal badge left.</w:t>
      </w:r>
    </w:p>
    <w:p>
      <w:pPr>
        <w:pStyle w:val="ListParagraph"/>
        <w:numPr>
          <w:ilvl w:val="0"/>
          <w:numId w:val="4"/>
        </w:numPr>
        <w:spacing w:after="60"/>
      </w:pPr>
      <w:r>
        <w:rPr>
          <w:b/>
          <w:bCs/>
        </w:rPr>
        <w:t xml:space="preserve">Bring spend back inside the limit. </w:t>
      </w:r>
      <w:r>
        <w:t xml:space="preserve">Spend is $1,142 a day, far above the pre-deal $656. The cut comes from what doesn’t build rank: out-of-focus ranking campaigns come to break-even (straight away with no top-of-search clicks, in 50% steps with them), product-page leaks are fixed (Section 9), and ranking terms are excluded from broad, auto and clearance campaigns (Section 11). Conversions campaigns over break-even step down too (Section 12).</w:t>
      </w:r>
    </w:p>
    <w:p>
      <w:pPr>
        <w:pStyle w:val="ListParagraph"/>
        <w:numPr>
          <w:ilvl w:val="0"/>
          <w:numId w:val="4"/>
        </w:numPr>
        <w:spacing w:after="60"/>
      </w:pPr>
      <w:r>
        <w:rPr>
          <w:b/>
          <w:bCs/>
        </w:rPr>
        <w:t xml:space="preserve">Start the push on the same day. </w:t>
      </w:r>
      <w:r>
        <w:t xml:space="preserve">Write each focus term’s push price (Section 5). Raise the focus budgets to their required clicks at that price. The focus terms must not see a gap between deal traffic ending and the push starting.</w:t>
      </w:r>
    </w:p>
    <w:p>
      <w:pPr>
        <w:pStyle w:val="ListParagraph"/>
        <w:numPr>
          <w:ilvl w:val="0"/>
          <w:numId w:val="4"/>
        </w:numPr>
        <w:spacing w:after="60"/>
      </w:pPr>
      <w:r>
        <w:t xml:space="preserve">Reset budgets raised for the deal to each campaign’s required clicks at its new price. Drop the budget increases on campaigns that aren’t serving (Section 8).</w:t>
      </w:r>
    </w:p>
    <w:p>
      <w:pPr>
        <w:pStyle w:val="ListParagraph"/>
        <w:numPr>
          <w:ilvl w:val="0"/>
          <w:numId w:val="4"/>
        </w:numPr>
        <w:spacing w:after="60"/>
      </w:pPr>
      <w:r>
        <w:t xml:space="preserve">Make the colour switches by hand and move the campaigns on unsellable stock (Sections 7–8).</w:t>
      </w:r>
    </w:p>
    <w:p>
      <w:pPr>
        <w:pStyle w:val="Heading2"/>
      </w:pPr>
      <w:r>
        <w:t xml:space="preserve">Week 1 — 29 September to 5 October: watch, don’t judge</w:t>
      </w:r>
    </w:p>
    <w:p>
      <w:pPr>
        <w:pStyle w:val="ListParagraph"/>
        <w:numPr>
          <w:ilvl w:val="0"/>
          <w:numId w:val="4"/>
        </w:numPr>
        <w:spacing w:after="60"/>
      </w:pPr>
      <w:r>
        <w:t xml:space="preserve">Sales from deal clicks keep arriving until about 5 October, so no ACoS or conversion from this week judges a campaign. Break-even stays on the 30 days before the deal.</w:t>
      </w:r>
    </w:p>
    <w:p>
      <w:pPr>
        <w:pStyle w:val="ListParagraph"/>
        <w:numPr>
          <w:ilvl w:val="0"/>
          <w:numId w:val="4"/>
        </w:numPr>
        <w:spacing w:after="60"/>
      </w:pPr>
      <w:r>
        <w:rPr>
          <w:b/>
          <w:bCs/>
        </w:rPr>
        <w:t xml:space="preserve">Check daily: </w:t>
      </w:r>
      <w:r>
        <w:t xml:space="preserve">total spend against the limit; ad orders against 27 a day; top-of-search share on the focus campaigns; rank on the head terms; Available stock on Queen White (82 units) and California King White (43 units).</w:t>
      </w:r>
    </w:p>
    <w:p>
      <w:pPr>
        <w:pStyle w:val="ListParagraph"/>
        <w:numPr>
          <w:ilvl w:val="0"/>
          <w:numId w:val="4"/>
        </w:numPr>
        <w:spacing w:after="60"/>
      </w:pPr>
      <w:r>
        <w:t xml:space="preserve">If a head term falls more than 10 places, find the cause (listing, competitor, stock or category) before touching price (Section 14).</w:t>
      </w:r>
    </w:p>
    <w:p>
      <w:pPr>
        <w:pStyle w:val="Heading2"/>
      </w:pPr>
      <w:r>
        <w:t xml:space="preserve">Week 2 — 6 to 12 October: first clean read</w:t>
      </w:r>
    </w:p>
    <w:p>
      <w:pPr>
        <w:pStyle w:val="ListParagraph"/>
        <w:numPr>
          <w:ilvl w:val="0"/>
          <w:numId w:val="4"/>
        </w:numPr>
        <w:spacing w:after="60"/>
      </w:pPr>
      <w:r>
        <w:t xml:space="preserve">Re-run break-even on seven normal days of conversion.</w:t>
      </w:r>
    </w:p>
    <w:p>
      <w:pPr>
        <w:pStyle w:val="ListParagraph"/>
        <w:numPr>
          <w:ilvl w:val="0"/>
          <w:numId w:val="4"/>
        </w:numPr>
        <w:spacing w:after="60"/>
      </w:pPr>
      <w:r>
        <w:t xml:space="preserve">Take the second 50% step on campaigns still above break-even.</w:t>
      </w:r>
    </w:p>
    <w:p>
      <w:pPr>
        <w:pStyle w:val="ListParagraph"/>
        <w:numPr>
          <w:ilvl w:val="0"/>
          <w:numId w:val="4"/>
        </w:numPr>
        <w:spacing w:after="60"/>
      </w:pPr>
      <w:r>
        <w:t xml:space="preserve">Give focus terms whose rank moved their next push step (at most +30%). Where rank didn’t move after a week of full delivery, stop the premium and find out why.</w:t>
      </w:r>
    </w:p>
    <w:p>
      <w:pPr>
        <w:pStyle w:val="ListParagraph"/>
        <w:numPr>
          <w:ilvl w:val="0"/>
          <w:numId w:val="4"/>
        </w:numPr>
        <w:spacing w:after="60"/>
      </w:pPr>
      <w:r>
        <w:t xml:space="preserve">12 October: King White checkpoint (Section 6).</w:t>
      </w:r>
    </w:p>
    <w:p>
      <w:pPr>
        <w:pStyle w:val="Heading2"/>
      </w:pPr>
      <w:r>
        <w:t xml:space="preserve">Into the events — 13 October to Black Friday</w:t>
      </w:r>
    </w:p>
    <w:p>
      <w:pPr>
        <w:pStyle w:val="ListParagraph"/>
        <w:numPr>
          <w:ilvl w:val="0"/>
          <w:numId w:val="4"/>
        </w:numPr>
        <w:spacing w:after="60"/>
      </w:pPr>
      <w:r>
        <w:rPr>
          <w:b/>
          <w:bCs/>
        </w:rPr>
        <w:t xml:space="preserve">Prime: </w:t>
      </w:r>
      <w:r>
        <w:t xml:space="preserve">at least three weeks before the event, size its push per focus term (price, clicks, budget, owner) and check stock covers it. After each event, repeat Day 1 and Week 1: back to the limit, and no judging on event data.</w:t>
      </w:r>
    </w:p>
    <w:p>
      <w:pPr>
        <w:pStyle w:val="ListParagraph"/>
        <w:numPr>
          <w:ilvl w:val="0"/>
          <w:numId w:val="4"/>
        </w:numPr>
        <w:spacing w:after="60"/>
      </w:pPr>
      <w:r>
        <w:rPr>
          <w:b/>
          <w:bCs/>
        </w:rPr>
        <w:t xml:space="preserve">Stock arrivals: </w:t>
      </w:r>
      <w:r>
        <w:t xml:space="preserve">King White (606 units) and Twin White land about 16 October; Queen and Full White about 27 October. Switch each size’s ranking ads back to White on arrival, so the Queen and King pushes run on White into Black Friday.</w:t>
      </w:r>
    </w:p>
    <w:p>
      <w:pPr>
        <w:pStyle w:val="ListParagraph"/>
        <w:numPr>
          <w:ilvl w:val="0"/>
          <w:numId w:val="4"/>
        </w:numPr>
        <w:spacing w:after="60"/>
      </w:pPr>
      <w:r>
        <w:rPr>
          <w:b/>
          <w:bCs/>
        </w:rPr>
        <w:t xml:space="preserve">Black Friday / Cyber Monday (27–30 November): </w:t>
      </w:r>
      <w:r>
        <w:t xml:space="preserve">the push on the focus terms runs from early November, with Queen White back in stock. Submit the Black Friday deal early enough that stock is in place by mid-November.</w:t>
      </w:r>
    </w:p>
    <w:p>
      <w:pPr>
        <w:pStyle w:val="Heading1"/>
      </w:pPr>
      <w:r>
        <w:t xml:space="preserve">5. Ranking prices: push the focus terms, bring the rest to break-even</w:t>
      </w:r>
    </w:p>
    <w:p>
      <w:pPr>
        <w:pStyle w:val="Heading2"/>
      </w:pPr>
      <w:r>
        <w:t xml:space="preserve">5.1 What the audit does wrong</w:t>
      </w:r>
    </w:p>
    <w:p>
      <w:pPr>
        <w:pStyle w:val="ListParagraph"/>
        <w:numPr>
          <w:ilvl w:val="0"/>
          <w:numId w:val="4"/>
        </w:numPr>
        <w:spacing w:after="60"/>
      </w:pPr>
      <w:r>
        <w:t xml:space="preserve">It raises prices on 16 ranking campaigns without applying the push limits. 14 of the raises land above break-even without being sized to the rank gap, and three are 75% jumps in one step (the audit calls them “dose” pushes). Its own notes rate those at about a 20% chance of working, and none of the three keywords has made a sale yet.</w:t>
      </w:r>
    </w:p>
    <w:p>
      <w:pPr>
        <w:pStyle w:val="ListParagraph"/>
        <w:numPr>
          <w:ilvl w:val="0"/>
          <w:numId w:val="4"/>
        </w:numPr>
        <w:spacing w:after="60"/>
      </w:pPr>
      <w:r>
        <w:t xml:space="preserve">It pushes terms that don’t qualify. The California King terms haven’t converted better than the market on a readable number of clicks, and California King White has 43 units Available with no dated arrival.</w:t>
      </w:r>
    </w:p>
    <w:p>
      <w:pPr>
        <w:pStyle w:val="ListParagraph"/>
        <w:numPr>
          <w:ilvl w:val="0"/>
          <w:numId w:val="4"/>
        </w:numPr>
        <w:spacing w:after="60"/>
      </w:pPr>
      <w:r>
        <w:t xml:space="preserve">It doesn’t push the terms that do qualify. “bamboo cooling sheets” had its raise held for review, and “king sheets bamboo cooling” is left untouched.</w:t>
      </w:r>
    </w:p>
    <w:p>
      <w:pPr>
        <w:pStyle w:val="ListParagraph"/>
        <w:numPr>
          <w:ilvl w:val="0"/>
          <w:numId w:val="4"/>
        </w:numPr>
        <w:spacing w:after="60"/>
      </w:pPr>
      <w:r>
        <w:t xml:space="preserve">It leaves 148 of 274 ranking campaigns paying above break-even at top of search. Many are out of focus, so the money spent there buys no rank the plan needs.</w:t>
      </w:r>
    </w:p>
    <w:p>
      <w:pPr>
        <w:pStyle w:val="ListParagraph"/>
        <w:numPr>
          <w:ilvl w:val="0"/>
          <w:numId w:val="4"/>
        </w:numPr>
        <w:spacing w:after="60"/>
      </w:pPr>
      <w:r>
        <w:t xml:space="preserve">Its notes sometimes contradict the price it writes. On Bamboo Cooling Sheets King Size, the notes say the price is held at the market limit and the keyword is “not pushed”, yet the audit writes a 75% raise to $12.07, about $88 per sale.</w:t>
      </w:r>
    </w:p>
    <w:p>
      <w:pPr>
        <w:pStyle w:val="Heading2"/>
      </w:pPr>
      <w:r>
        <w:t xml:space="preserve">5.2 How the correct price is worked out — examples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150"/>
        <w:gridCol w:w="1400"/>
        <w:gridCol w:w="1100"/>
        <w:gridCol w:w="2572"/>
      </w:tblGrid>
      <w:tr>
        <w:trPr>
          <w:tblHeader/>
        </w:trPr>
        <w:tc>
          <w:tcPr>
            <w:tcW w:type="dxa" w:w="2500"/>
            <w:shd w:fill="1F3A5F" w:color="auto" w:val="clear"/>
            <w:tcMar>
              <w:top w:type="dxa" w:w="40"/>
              <w:left w:type="dxa" w:w="70"/>
              <w:bottom w:type="dxa" w:w="40"/>
              <w:right w:type="dxa" w:w="70"/>
            </w:tcMar>
          </w:tcPr>
          <w:p>
            <w:pPr>
              <w:spacing w:after="0"/>
            </w:pPr>
            <w:r>
              <w:rPr>
                <w:b/>
                <w:bCs/>
                <w:color w:val="FFFFFF"/>
                <w:sz w:val="17"/>
                <w:szCs w:val="17"/>
              </w:rPr>
              <w:t xml:space="preserve">Campaign</w:t>
            </w:r>
          </w:p>
        </w:tc>
        <w:tc>
          <w:tcPr>
            <w:tcW w:type="dxa" w:w="1250"/>
            <w:shd w:fill="1F3A5F" w:color="auto" w:val="clear"/>
            <w:tcMar>
              <w:top w:type="dxa" w:w="40"/>
              <w:left w:type="dxa" w:w="70"/>
              <w:bottom w:type="dxa" w:w="40"/>
              <w:right w:type="dxa" w:w="70"/>
            </w:tcMar>
          </w:tcPr>
          <w:p>
            <w:pPr>
              <w:spacing w:after="0"/>
            </w:pPr>
            <w:r>
              <w:rPr>
                <w:b/>
                <w:bCs/>
                <w:color w:val="FFFFFF"/>
                <w:sz w:val="17"/>
                <w:szCs w:val="17"/>
              </w:rPr>
              <w:t xml:space="preserve">Break-even</w:t>
            </w:r>
          </w:p>
        </w:tc>
        <w:tc>
          <w:tcPr>
            <w:tcW w:type="dxa" w:w="1150"/>
            <w:shd w:fill="1F3A5F" w:color="auto" w:val="clear"/>
            <w:tcMar>
              <w:top w:type="dxa" w:w="40"/>
              <w:left w:type="dxa" w:w="70"/>
              <w:bottom w:type="dxa" w:w="40"/>
              <w:right w:type="dxa" w:w="70"/>
            </w:tcMar>
          </w:tcPr>
          <w:p>
            <w:pPr>
              <w:spacing w:after="0"/>
            </w:pPr>
            <w:r>
              <w:rPr>
                <w:b/>
                <w:bCs/>
                <w:color w:val="FFFFFF"/>
                <w:sz w:val="17"/>
                <w:szCs w:val="17"/>
              </w:rPr>
              <w:t xml:space="preserve">Rank now → target</w:t>
            </w:r>
          </w:p>
        </w:tc>
        <w:tc>
          <w:tcPr>
            <w:tcW w:type="dxa" w:w="1400"/>
            <w:shd w:fill="1F3A5F" w:color="auto" w:val="clear"/>
            <w:tcMar>
              <w:top w:type="dxa" w:w="40"/>
              <w:left w:type="dxa" w:w="70"/>
              <w:bottom w:type="dxa" w:w="40"/>
              <w:right w:type="dxa" w:w="70"/>
            </w:tcMar>
          </w:tcPr>
          <w:p>
            <w:pPr>
              <w:spacing w:after="0"/>
            </w:pPr>
            <w:r>
              <w:rPr>
                <w:b/>
                <w:bCs/>
                <w:color w:val="FFFFFF"/>
                <w:sz w:val="17"/>
                <w:szCs w:val="17"/>
              </w:rPr>
              <w:t xml:space="preserve">Push price before caps</w:t>
            </w:r>
          </w:p>
        </w:tc>
        <w:tc>
          <w:tcPr>
            <w:tcW w:type="dxa" w:w="1100"/>
            <w:shd w:fill="1F3A5F" w:color="auto" w:val="clear"/>
            <w:tcMar>
              <w:top w:type="dxa" w:w="40"/>
              <w:left w:type="dxa" w:w="70"/>
              <w:bottom w:type="dxa" w:w="40"/>
              <w:right w:type="dxa" w:w="70"/>
            </w:tcMar>
          </w:tcPr>
          <w:p>
            <w:pPr>
              <w:spacing w:after="0"/>
            </w:pPr>
            <w:r>
              <w:rPr>
                <w:b/>
                <w:bCs/>
                <w:color w:val="FFFFFF"/>
                <w:sz w:val="17"/>
                <w:szCs w:val="17"/>
              </w:rPr>
              <w:t xml:space="preserve">Now · audit</w:t>
            </w:r>
          </w:p>
        </w:tc>
        <w:tc>
          <w:tcPr>
            <w:tcW w:type="dxa" w:w="2572"/>
            <w:shd w:fill="1F3A5F" w:color="auto" w:val="clear"/>
            <w:tcMar>
              <w:top w:type="dxa" w:w="40"/>
              <w:left w:type="dxa" w:w="70"/>
              <w:bottom w:type="dxa" w:w="40"/>
              <w:right w:type="dxa" w:w="70"/>
            </w:tcMar>
          </w:tcPr>
          <w:p>
            <w:pPr>
              <w:spacing w:after="0"/>
            </w:pPr>
            <w:r>
              <w:rPr>
                <w:b/>
                <w:bCs/>
                <w:color w:val="FFFFFF"/>
                <w:sz w:val="17"/>
                <w:szCs w:val="17"/>
              </w:rPr>
              <w:t xml:space="preserve">Correct move</w:t>
            </w:r>
          </w:p>
        </w:tc>
      </w:tr>
      <w:tr>
        <w:tc>
          <w:tcPr>
            <w:tcW w:type="dxa" w:w="2500"/>
            <w:shd w:fill="FFFFFF" w:color="auto" w:val="clear"/>
            <w:tcMar>
              <w:top w:type="dxa" w:w="40"/>
              <w:left w:type="dxa" w:w="70"/>
              <w:bottom w:type="dxa" w:w="40"/>
              <w:right w:type="dxa" w:w="70"/>
            </w:tcMar>
          </w:tcPr>
          <w:p>
            <w:pPr>
              <w:spacing w:after="0"/>
            </w:pPr>
            <w:r>
              <w:rPr>
                <w:sz w:val="17"/>
                <w:szCs w:val="17"/>
              </w:rPr>
              <w:t xml:space="preserve">Bamboo Cooling Sheets (focus; meets all four)</w:t>
            </w:r>
          </w:p>
        </w:tc>
        <w:tc>
          <w:tcPr>
            <w:tcW w:type="dxa" w:w="1250"/>
            <w:shd w:fill="FFFFFF" w:color="auto" w:val="clear"/>
            <w:tcMar>
              <w:top w:type="dxa" w:w="40"/>
              <w:left w:type="dxa" w:w="70"/>
              <w:bottom w:type="dxa" w:w="40"/>
              <w:right w:type="dxa" w:w="70"/>
            </w:tcMar>
          </w:tcPr>
          <w:p>
            <w:pPr>
              <w:spacing w:after="0"/>
            </w:pPr>
            <w:r>
              <w:rPr>
                <w:sz w:val="17"/>
                <w:szCs w:val="17"/>
              </w:rPr>
              <w:t xml:space="preserve">$4.00 (14.9% own conv.)</w:t>
            </w:r>
          </w:p>
        </w:tc>
        <w:tc>
          <w:tcPr>
            <w:tcW w:type="dxa" w:w="1150"/>
            <w:shd w:fill="FFFFFF" w:color="auto" w:val="clear"/>
            <w:tcMar>
              <w:top w:type="dxa" w:w="40"/>
              <w:left w:type="dxa" w:w="70"/>
              <w:bottom w:type="dxa" w:w="40"/>
              <w:right w:type="dxa" w:w="70"/>
            </w:tcMar>
          </w:tcPr>
          <w:p>
            <w:pPr>
              <w:spacing w:after="0"/>
            </w:pPr>
            <w:r>
              <w:rPr>
                <w:sz w:val="17"/>
                <w:szCs w:val="17"/>
              </w:rPr>
              <w:t xml:space="preserve">30 → 5</w:t>
            </w:r>
          </w:p>
        </w:tc>
        <w:tc>
          <w:tcPr>
            <w:tcW w:type="dxa" w:w="1400"/>
            <w:shd w:fill="FFFFFF" w:color="auto" w:val="clear"/>
            <w:tcMar>
              <w:top w:type="dxa" w:w="40"/>
              <w:left w:type="dxa" w:w="70"/>
              <w:bottom w:type="dxa" w:w="40"/>
              <w:right w:type="dxa" w:w="70"/>
            </w:tcMar>
          </w:tcPr>
          <w:p>
            <w:pPr>
              <w:spacing w:after="0"/>
            </w:pPr>
            <w:r>
              <w:rPr>
                <w:sz w:val="17"/>
                <w:szCs w:val="17"/>
              </w:rPr>
              <w:t xml:space="preserve">$4.00 × (1 + 2.5) = $14.00</w:t>
            </w:r>
          </w:p>
        </w:tc>
        <w:tc>
          <w:tcPr>
            <w:tcW w:type="dxa" w:w="1100"/>
            <w:shd w:fill="FFFFFF" w:color="auto" w:val="clear"/>
            <w:tcMar>
              <w:top w:type="dxa" w:w="40"/>
              <w:left w:type="dxa" w:w="70"/>
              <w:bottom w:type="dxa" w:w="40"/>
              <w:right w:type="dxa" w:w="70"/>
            </w:tcMar>
          </w:tcPr>
          <w:p>
            <w:pPr>
              <w:spacing w:after="0"/>
            </w:pPr>
            <w:r>
              <w:rPr>
                <w:sz w:val="17"/>
                <w:szCs w:val="17"/>
              </w:rPr>
              <w:t xml:space="preserve">$7.61 · $8.26 held</w:t>
            </w:r>
          </w:p>
        </w:tc>
        <w:tc>
          <w:tcPr>
            <w:tcW w:type="dxa" w:w="2572"/>
            <w:shd w:fill="FFFFFF" w:color="auto" w:val="clear"/>
            <w:tcMar>
              <w:top w:type="dxa" w:w="40"/>
              <w:left w:type="dxa" w:w="70"/>
              <w:bottom w:type="dxa" w:w="40"/>
              <w:right w:type="dxa" w:w="70"/>
            </w:tcMar>
          </w:tcPr>
          <w:p>
            <w:pPr>
              <w:spacing w:after="0"/>
            </w:pPr>
            <w:r>
              <w:rPr>
                <w:sz w:val="17"/>
                <w:szCs w:val="17"/>
              </w:rPr>
              <w:t xml:space="preserve">Climb +30% to $9.89 this step, then +30% a week while rank moves, up to $14.00. Move the ad to Queen Light Blue.</w:t>
            </w:r>
          </w:p>
        </w:tc>
      </w:tr>
      <w:tr>
        <w:tc>
          <w:tcPr>
            <w:tcW w:type="dxa" w:w="2500"/>
            <w:shd w:fill="F2F5F9" w:color="auto" w:val="clear"/>
            <w:tcMar>
              <w:top w:type="dxa" w:w="40"/>
              <w:left w:type="dxa" w:w="70"/>
              <w:bottom w:type="dxa" w:w="40"/>
              <w:right w:type="dxa" w:w="70"/>
            </w:tcMar>
          </w:tcPr>
          <w:p>
            <w:pPr>
              <w:spacing w:after="0"/>
            </w:pPr>
            <w:r>
              <w:rPr>
                <w:sz w:val="17"/>
                <w:szCs w:val="17"/>
              </w:rPr>
              <w:t xml:space="preserve">Bamboo Sheets King (King White push)</w:t>
            </w:r>
          </w:p>
        </w:tc>
        <w:tc>
          <w:tcPr>
            <w:tcW w:type="dxa" w:w="1250"/>
            <w:shd w:fill="F2F5F9" w:color="auto" w:val="clear"/>
            <w:tcMar>
              <w:top w:type="dxa" w:w="40"/>
              <w:left w:type="dxa" w:w="70"/>
              <w:bottom w:type="dxa" w:w="40"/>
              <w:right w:type="dxa" w:w="70"/>
            </w:tcMar>
          </w:tcPr>
          <w:p>
            <w:pPr>
              <w:spacing w:after="0"/>
            </w:pPr>
            <w:r>
              <w:rPr>
                <w:sz w:val="17"/>
                <w:szCs w:val="17"/>
              </w:rPr>
              <w:t xml:space="preserve">$3.53</w:t>
            </w:r>
          </w:p>
        </w:tc>
        <w:tc>
          <w:tcPr>
            <w:tcW w:type="dxa" w:w="1150"/>
            <w:shd w:fill="F2F5F9" w:color="auto" w:val="clear"/>
            <w:tcMar>
              <w:top w:type="dxa" w:w="40"/>
              <w:left w:type="dxa" w:w="70"/>
              <w:bottom w:type="dxa" w:w="40"/>
              <w:right w:type="dxa" w:w="70"/>
            </w:tcMar>
          </w:tcPr>
          <w:p>
            <w:pPr>
              <w:spacing w:after="0"/>
            </w:pPr>
            <w:r>
              <w:rPr>
                <w:sz w:val="17"/>
                <w:szCs w:val="17"/>
              </w:rPr>
              <w:t xml:space="preserve">22 → 8</w:t>
            </w:r>
          </w:p>
        </w:tc>
        <w:tc>
          <w:tcPr>
            <w:tcW w:type="dxa" w:w="1400"/>
            <w:shd w:fill="F2F5F9" w:color="auto" w:val="clear"/>
            <w:tcMar>
              <w:top w:type="dxa" w:w="40"/>
              <w:left w:type="dxa" w:w="70"/>
              <w:bottom w:type="dxa" w:w="40"/>
              <w:right w:type="dxa" w:w="70"/>
            </w:tcMar>
          </w:tcPr>
          <w:p>
            <w:pPr>
              <w:spacing w:after="0"/>
            </w:pPr>
            <w:r>
              <w:rPr>
                <w:sz w:val="17"/>
                <w:szCs w:val="17"/>
              </w:rPr>
              <w:t xml:space="preserve">$3.53 × 1.875 = $6.62</w:t>
            </w:r>
          </w:p>
        </w:tc>
        <w:tc>
          <w:tcPr>
            <w:tcW w:type="dxa" w:w="1100"/>
            <w:shd w:fill="F2F5F9" w:color="auto" w:val="clear"/>
            <w:tcMar>
              <w:top w:type="dxa" w:w="40"/>
              <w:left w:type="dxa" w:w="70"/>
              <w:bottom w:type="dxa" w:w="40"/>
              <w:right w:type="dxa" w:w="70"/>
            </w:tcMar>
          </w:tcPr>
          <w:p>
            <w:pPr>
              <w:spacing w:after="0"/>
            </w:pPr>
            <w:r>
              <w:rPr>
                <w:sz w:val="17"/>
                <w:szCs w:val="17"/>
              </w:rPr>
              <w:t xml:space="preserve">$6.41 · no change</w:t>
            </w:r>
          </w:p>
        </w:tc>
        <w:tc>
          <w:tcPr>
            <w:tcW w:type="dxa" w:w="2572"/>
            <w:shd w:fill="F2F5F9" w:color="auto" w:val="clear"/>
            <w:tcMar>
              <w:top w:type="dxa" w:w="40"/>
              <w:left w:type="dxa" w:w="70"/>
              <w:bottom w:type="dxa" w:w="40"/>
              <w:right w:type="dxa" w:w="70"/>
            </w:tcMar>
          </w:tcPr>
          <w:p>
            <w:pPr>
              <w:spacing w:after="0"/>
            </w:pPr>
            <w:r>
              <w:rPr>
                <w:sz w:val="17"/>
                <w:szCs w:val="17"/>
              </w:rPr>
              <w:t xml:space="preserve">$6.62 (Section 6)</w:t>
            </w:r>
          </w:p>
        </w:tc>
      </w:tr>
      <w:tr>
        <w:tc>
          <w:tcPr>
            <w:tcW w:type="dxa" w:w="2500"/>
            <w:shd w:fill="FFFFFF" w:color="auto" w:val="clear"/>
            <w:tcMar>
              <w:top w:type="dxa" w:w="40"/>
              <w:left w:type="dxa" w:w="70"/>
              <w:bottom w:type="dxa" w:w="40"/>
              <w:right w:type="dxa" w:w="70"/>
            </w:tcMar>
          </w:tcPr>
          <w:p>
            <w:pPr>
              <w:spacing w:after="0"/>
            </w:pPr>
            <w:r>
              <w:rPr>
                <w:sz w:val="17"/>
                <w:szCs w:val="17"/>
              </w:rPr>
              <w:t xml:space="preserve">King Sheets Cooling (focus; meets all four)</w:t>
            </w:r>
          </w:p>
        </w:tc>
        <w:tc>
          <w:tcPr>
            <w:tcW w:type="dxa" w:w="1250"/>
            <w:shd w:fill="FFFFFF" w:color="auto" w:val="clear"/>
            <w:tcMar>
              <w:top w:type="dxa" w:w="40"/>
              <w:left w:type="dxa" w:w="70"/>
              <w:bottom w:type="dxa" w:w="40"/>
              <w:right w:type="dxa" w:w="70"/>
            </w:tcMar>
          </w:tcPr>
          <w:p>
            <w:pPr>
              <w:spacing w:after="0"/>
            </w:pPr>
            <w:r>
              <w:rPr>
                <w:sz w:val="17"/>
                <w:szCs w:val="17"/>
              </w:rPr>
              <w:t xml:space="preserve">$3.68</w:t>
            </w:r>
          </w:p>
        </w:tc>
        <w:tc>
          <w:tcPr>
            <w:tcW w:type="dxa" w:w="1150"/>
            <w:shd w:fill="FFFFFF" w:color="auto" w:val="clear"/>
            <w:tcMar>
              <w:top w:type="dxa" w:w="40"/>
              <w:left w:type="dxa" w:w="70"/>
              <w:bottom w:type="dxa" w:w="40"/>
              <w:right w:type="dxa" w:w="70"/>
            </w:tcMar>
          </w:tcPr>
          <w:p>
            <w:pPr>
              <w:spacing w:after="0"/>
            </w:pPr>
            <w:r>
              <w:rPr>
                <w:sz w:val="17"/>
                <w:szCs w:val="17"/>
              </w:rPr>
              <w:t xml:space="preserve">no rank read → 6</w:t>
            </w:r>
          </w:p>
        </w:tc>
        <w:tc>
          <w:tcPr>
            <w:tcW w:type="dxa" w:w="1400"/>
            <w:shd w:fill="FFFFFF" w:color="auto" w:val="clear"/>
            <w:tcMar>
              <w:top w:type="dxa" w:w="40"/>
              <w:left w:type="dxa" w:w="70"/>
              <w:bottom w:type="dxa" w:w="40"/>
              <w:right w:type="dxa" w:w="70"/>
            </w:tcMar>
          </w:tcPr>
          <w:p>
            <w:pPr>
              <w:spacing w:after="0"/>
            </w:pPr>
            <w:r>
              <w:rPr>
                <w:sz w:val="17"/>
                <w:szCs w:val="17"/>
              </w:rPr>
              <w:t xml:space="preserve">lowest premium: $3.68 × 1.25 = $4.60</w:t>
            </w:r>
          </w:p>
        </w:tc>
        <w:tc>
          <w:tcPr>
            <w:tcW w:type="dxa" w:w="1100"/>
            <w:shd w:fill="FFFFFF" w:color="auto" w:val="clear"/>
            <w:tcMar>
              <w:top w:type="dxa" w:w="40"/>
              <w:left w:type="dxa" w:w="70"/>
              <w:bottom w:type="dxa" w:w="40"/>
              <w:right w:type="dxa" w:w="70"/>
            </w:tcMar>
          </w:tcPr>
          <w:p>
            <w:pPr>
              <w:spacing w:after="0"/>
            </w:pPr>
            <w:r>
              <w:rPr>
                <w:sz w:val="17"/>
                <w:szCs w:val="17"/>
              </w:rPr>
              <w:t xml:space="preserve">$9.76 · no change</w:t>
            </w:r>
          </w:p>
        </w:tc>
        <w:tc>
          <w:tcPr>
            <w:tcW w:type="dxa" w:w="2572"/>
            <w:shd w:fill="FFFFFF" w:color="auto" w:val="clear"/>
            <w:tcMar>
              <w:top w:type="dxa" w:w="40"/>
              <w:left w:type="dxa" w:w="70"/>
              <w:bottom w:type="dxa" w:w="40"/>
              <w:right w:type="dxa" w:w="70"/>
            </w:tcMar>
          </w:tcPr>
          <w:p>
            <w:pPr>
              <w:spacing w:after="0"/>
            </w:pPr>
            <w:r>
              <w:rPr>
                <w:sz w:val="17"/>
                <w:szCs w:val="17"/>
              </w:rPr>
              <w:t xml:space="preserve">$4.88 now, $4.60 a week later. Get a rank read before paying more.</w:t>
            </w:r>
          </w:p>
        </w:tc>
      </w:tr>
      <w:tr>
        <w:tc>
          <w:tcPr>
            <w:tcW w:type="dxa" w:w="2500"/>
            <w:shd w:fill="F2F5F9" w:color="auto" w:val="clear"/>
            <w:tcMar>
              <w:top w:type="dxa" w:w="40"/>
              <w:left w:type="dxa" w:w="70"/>
              <w:bottom w:type="dxa" w:w="40"/>
              <w:right w:type="dxa" w:w="70"/>
            </w:tcMar>
          </w:tcPr>
          <w:p>
            <w:pPr>
              <w:spacing w:after="0"/>
            </w:pPr>
            <w:r>
              <w:rPr>
                <w:sz w:val="17"/>
                <w:szCs w:val="17"/>
              </w:rPr>
              <w:t xml:space="preserve">Bamboo Cooling Sheets King Size (focus; not serving)</w:t>
            </w:r>
          </w:p>
        </w:tc>
        <w:tc>
          <w:tcPr>
            <w:tcW w:type="dxa" w:w="1250"/>
            <w:shd w:fill="F2F5F9" w:color="auto" w:val="clear"/>
            <w:tcMar>
              <w:top w:type="dxa" w:w="40"/>
              <w:left w:type="dxa" w:w="70"/>
              <w:bottom w:type="dxa" w:w="40"/>
              <w:right w:type="dxa" w:w="70"/>
            </w:tcMar>
          </w:tcPr>
          <w:p>
            <w:pPr>
              <w:spacing w:after="0"/>
            </w:pPr>
            <w:r>
              <w:rPr>
                <w:sz w:val="17"/>
                <w:szCs w:val="17"/>
              </w:rPr>
              <w:t xml:space="preserve">about $2.60</w:t>
            </w:r>
          </w:p>
        </w:tc>
        <w:tc>
          <w:tcPr>
            <w:tcW w:type="dxa" w:w="1150"/>
            <w:shd w:fill="F2F5F9" w:color="auto" w:val="clear"/>
            <w:tcMar>
              <w:top w:type="dxa" w:w="40"/>
              <w:left w:type="dxa" w:w="70"/>
              <w:bottom w:type="dxa" w:w="40"/>
              <w:right w:type="dxa" w:w="70"/>
            </w:tcMar>
          </w:tcPr>
          <w:p>
            <w:pPr>
              <w:spacing w:after="0"/>
            </w:pPr>
            <w:r>
              <w:rPr>
                <w:sz w:val="17"/>
                <w:szCs w:val="17"/>
              </w:rPr>
              <w:t xml:space="preserve">31 → 7</w:t>
            </w:r>
          </w:p>
        </w:tc>
        <w:tc>
          <w:tcPr>
            <w:tcW w:type="dxa" w:w="1400"/>
            <w:shd w:fill="F2F5F9" w:color="auto" w:val="clear"/>
            <w:tcMar>
              <w:top w:type="dxa" w:w="40"/>
              <w:left w:type="dxa" w:w="70"/>
              <w:bottom w:type="dxa" w:w="40"/>
              <w:right w:type="dxa" w:w="70"/>
            </w:tcMar>
          </w:tcPr>
          <w:p>
            <w:pPr>
              <w:spacing w:after="0"/>
            </w:pPr>
            <w:r>
              <w:rPr>
                <w:sz w:val="17"/>
                <w:szCs w:val="17"/>
              </w:rPr>
              <w:t xml:space="preserve">not until it serves</w:t>
            </w:r>
          </w:p>
        </w:tc>
        <w:tc>
          <w:tcPr>
            <w:tcW w:type="dxa" w:w="1100"/>
            <w:shd w:fill="F2F5F9" w:color="auto" w:val="clear"/>
            <w:tcMar>
              <w:top w:type="dxa" w:w="40"/>
              <w:left w:type="dxa" w:w="70"/>
              <w:bottom w:type="dxa" w:w="40"/>
              <w:right w:type="dxa" w:w="70"/>
            </w:tcMar>
          </w:tcPr>
          <w:p>
            <w:pPr>
              <w:spacing w:after="0"/>
            </w:pPr>
            <w:r>
              <w:rPr>
                <w:sz w:val="17"/>
                <w:szCs w:val="17"/>
              </w:rPr>
              <w:t xml:space="preserve">$6.90 · $12.07 (+75%)</w:t>
            </w:r>
          </w:p>
        </w:tc>
        <w:tc>
          <w:tcPr>
            <w:tcW w:type="dxa" w:w="2572"/>
            <w:shd w:fill="F2F5F9" w:color="auto" w:val="clear"/>
            <w:tcMar>
              <w:top w:type="dxa" w:w="40"/>
              <w:left w:type="dxa" w:w="70"/>
              <w:bottom w:type="dxa" w:w="40"/>
              <w:right w:type="dxa" w:w="70"/>
            </w:tcMar>
          </w:tcPr>
          <w:p>
            <w:pPr>
              <w:spacing w:after="0"/>
            </w:pPr>
            <w:r>
              <w:rPr>
                <w:sz w:val="17"/>
                <w:szCs w:val="17"/>
              </w:rPr>
              <w:t xml:space="preserve">Fixed bidding at break-even; push once it serves (Section 8)</w:t>
            </w:r>
          </w:p>
        </w:tc>
      </w:tr>
      <w:tr>
        <w:tc>
          <w:tcPr>
            <w:tcW w:type="dxa" w:w="2500"/>
            <w:shd w:fill="FFFFFF" w:color="auto" w:val="clear"/>
            <w:tcMar>
              <w:top w:type="dxa" w:w="40"/>
              <w:left w:type="dxa" w:w="70"/>
              <w:bottom w:type="dxa" w:w="40"/>
              <w:right w:type="dxa" w:w="70"/>
            </w:tcMar>
          </w:tcPr>
          <w:p>
            <w:pPr>
              <w:spacing w:after="0"/>
            </w:pPr>
            <w:r>
              <w:rPr>
                <w:sz w:val="17"/>
                <w:szCs w:val="17"/>
              </w:rPr>
              <w:t xml:space="preserve">Bamboo Sheets California King (focus; fails on conversion and stock)</w:t>
            </w:r>
          </w:p>
        </w:tc>
        <w:tc>
          <w:tcPr>
            <w:tcW w:type="dxa" w:w="1250"/>
            <w:shd w:fill="FFFFFF" w:color="auto" w:val="clear"/>
            <w:tcMar>
              <w:top w:type="dxa" w:w="40"/>
              <w:left w:type="dxa" w:w="70"/>
              <w:bottom w:type="dxa" w:w="40"/>
              <w:right w:type="dxa" w:w="70"/>
            </w:tcMar>
          </w:tcPr>
          <w:p>
            <w:pPr>
              <w:spacing w:after="0"/>
            </w:pPr>
            <w:r>
              <w:rPr>
                <w:sz w:val="17"/>
                <w:szCs w:val="17"/>
              </w:rPr>
              <w:t xml:space="preserve">break-even</w:t>
            </w:r>
          </w:p>
        </w:tc>
        <w:tc>
          <w:tcPr>
            <w:tcW w:type="dxa" w:w="1150"/>
            <w:shd w:fill="FFFFFF" w:color="auto" w:val="clear"/>
            <w:tcMar>
              <w:top w:type="dxa" w:w="40"/>
              <w:left w:type="dxa" w:w="70"/>
              <w:bottom w:type="dxa" w:w="40"/>
              <w:right w:type="dxa" w:w="70"/>
            </w:tcMar>
          </w:tcPr>
          <w:p>
            <w:pPr>
              <w:spacing w:after="0"/>
            </w:pPr>
            <w:r>
              <w:rPr>
                <w:sz w:val="17"/>
                <w:szCs w:val="17"/>
              </w:rPr>
              <w:t xml:space="preserve">16 → 6</w:t>
            </w:r>
          </w:p>
        </w:tc>
        <w:tc>
          <w:tcPr>
            <w:tcW w:type="dxa" w:w="1400"/>
            <w:shd w:fill="FFFFFF" w:color="auto" w:val="clear"/>
            <w:tcMar>
              <w:top w:type="dxa" w:w="40"/>
              <w:left w:type="dxa" w:w="70"/>
              <w:bottom w:type="dxa" w:w="40"/>
              <w:right w:type="dxa" w:w="70"/>
            </w:tcMar>
          </w:tcPr>
          <w:p>
            <w:pPr>
              <w:spacing w:after="0"/>
            </w:pPr>
            <w:r>
              <w:rPr>
                <w:sz w:val="17"/>
                <w:szCs w:val="17"/>
              </w:rPr>
              <w:t xml:space="preserve">no push</w:t>
            </w:r>
          </w:p>
        </w:tc>
        <w:tc>
          <w:tcPr>
            <w:tcW w:type="dxa" w:w="1100"/>
            <w:shd w:fill="FFFFFF" w:color="auto" w:val="clear"/>
            <w:tcMar>
              <w:top w:type="dxa" w:w="40"/>
              <w:left w:type="dxa" w:w="70"/>
              <w:bottom w:type="dxa" w:w="40"/>
              <w:right w:type="dxa" w:w="70"/>
            </w:tcMar>
          </w:tcPr>
          <w:p>
            <w:pPr>
              <w:spacing w:after="0"/>
            </w:pPr>
            <w:r>
              <w:rPr>
                <w:sz w:val="17"/>
                <w:szCs w:val="17"/>
              </w:rPr>
              <w:t xml:space="preserve">boost 238% · 491%</w:t>
            </w:r>
          </w:p>
        </w:tc>
        <w:tc>
          <w:tcPr>
            <w:tcW w:type="dxa" w:w="2572"/>
            <w:shd w:fill="FFFFFF" w:color="auto" w:val="clear"/>
            <w:tcMar>
              <w:top w:type="dxa" w:w="40"/>
              <w:left w:type="dxa" w:w="70"/>
              <w:bottom w:type="dxa" w:w="40"/>
              <w:right w:type="dxa" w:w="70"/>
            </w:tcMar>
          </w:tcPr>
          <w:p>
            <w:pPr>
              <w:spacing w:after="0"/>
            </w:pPr>
            <w:r>
              <w:rPr>
                <w:sz w:val="17"/>
                <w:szCs w:val="17"/>
              </w:rPr>
              <w:t xml:space="preserve">Break-even. Keep White. Guard rank only.</w:t>
            </w:r>
          </w:p>
        </w:tc>
      </w:tr>
      <w:tr>
        <w:tc>
          <w:tcPr>
            <w:tcW w:type="dxa" w:w="2500"/>
            <w:shd w:fill="F2F5F9" w:color="auto" w:val="clear"/>
            <w:tcMar>
              <w:top w:type="dxa" w:w="40"/>
              <w:left w:type="dxa" w:w="70"/>
              <w:bottom w:type="dxa" w:w="40"/>
              <w:right w:type="dxa" w:w="70"/>
            </w:tcMar>
          </w:tcPr>
          <w:p>
            <w:pPr>
              <w:spacing w:after="0"/>
            </w:pPr>
            <w:r>
              <w:rPr>
                <w:sz w:val="17"/>
                <w:szCs w:val="17"/>
              </w:rPr>
              <w:t xml:space="preserve">Bamboo Sheets Full Size (out of focus)</w:t>
            </w:r>
          </w:p>
        </w:tc>
        <w:tc>
          <w:tcPr>
            <w:tcW w:type="dxa" w:w="1250"/>
            <w:shd w:fill="F2F5F9" w:color="auto" w:val="clear"/>
            <w:tcMar>
              <w:top w:type="dxa" w:w="40"/>
              <w:left w:type="dxa" w:w="70"/>
              <w:bottom w:type="dxa" w:w="40"/>
              <w:right w:type="dxa" w:w="70"/>
            </w:tcMar>
          </w:tcPr>
          <w:p>
            <w:pPr>
              <w:spacing w:after="0"/>
            </w:pPr>
            <w:r>
              <w:rPr>
                <w:sz w:val="17"/>
                <w:szCs w:val="17"/>
              </w:rPr>
              <w:t xml:space="preserve">$1.79 (19.0% own)</w:t>
            </w:r>
          </w:p>
        </w:tc>
        <w:tc>
          <w:tcPr>
            <w:tcW w:type="dxa" w:w="1150"/>
            <w:shd w:fill="F2F5F9" w:color="auto" w:val="clear"/>
            <w:tcMar>
              <w:top w:type="dxa" w:w="40"/>
              <w:left w:type="dxa" w:w="70"/>
              <w:bottom w:type="dxa" w:w="40"/>
              <w:right w:type="dxa" w:w="70"/>
            </w:tcMar>
          </w:tcPr>
          <w:p>
            <w:pPr>
              <w:spacing w:after="0"/>
            </w:pPr>
            <w:r>
              <w:rPr>
                <w:sz w:val="17"/>
                <w:szCs w:val="17"/>
              </w:rPr>
              <w:t xml:space="preserve">—</w:t>
            </w:r>
          </w:p>
        </w:tc>
        <w:tc>
          <w:tcPr>
            <w:tcW w:type="dxa" w:w="1400"/>
            <w:shd w:fill="F2F5F9" w:color="auto" w:val="clear"/>
            <w:tcMar>
              <w:top w:type="dxa" w:w="40"/>
              <w:left w:type="dxa" w:w="70"/>
              <w:bottom w:type="dxa" w:w="40"/>
              <w:right w:type="dxa" w:w="70"/>
            </w:tcMar>
          </w:tcPr>
          <w:p>
            <w:pPr>
              <w:spacing w:after="0"/>
            </w:pPr>
            <w:r>
              <w:rPr>
                <w:sz w:val="17"/>
                <w:szCs w:val="17"/>
              </w:rPr>
              <w:t xml:space="preserve">no push</w:t>
            </w:r>
          </w:p>
        </w:tc>
        <w:tc>
          <w:tcPr>
            <w:tcW w:type="dxa" w:w="1100"/>
            <w:shd w:fill="F2F5F9" w:color="auto" w:val="clear"/>
            <w:tcMar>
              <w:top w:type="dxa" w:w="40"/>
              <w:left w:type="dxa" w:w="70"/>
              <w:bottom w:type="dxa" w:w="40"/>
              <w:right w:type="dxa" w:w="70"/>
            </w:tcMar>
          </w:tcPr>
          <w:p>
            <w:pPr>
              <w:spacing w:after="0"/>
            </w:pPr>
            <w:r>
              <w:rPr>
                <w:sz w:val="17"/>
                <w:szCs w:val="17"/>
              </w:rPr>
              <w:t xml:space="preserve">$4.96 · no change</w:t>
            </w:r>
          </w:p>
        </w:tc>
        <w:tc>
          <w:tcPr>
            <w:tcW w:type="dxa" w:w="2572"/>
            <w:shd w:fill="F2F5F9" w:color="auto" w:val="clear"/>
            <w:tcMar>
              <w:top w:type="dxa" w:w="40"/>
              <w:left w:type="dxa" w:w="70"/>
              <w:bottom w:type="dxa" w:w="40"/>
              <w:right w:type="dxa" w:w="70"/>
            </w:tcMar>
          </w:tcPr>
          <w:p>
            <w:pPr>
              <w:spacing w:after="0"/>
            </w:pPr>
            <w:r>
              <w:rPr>
                <w:sz w:val="17"/>
                <w:szCs w:val="17"/>
              </w:rPr>
              <w:t xml:space="preserve">$2.48 now, $1.79 a week later</w:t>
            </w:r>
          </w:p>
        </w:tc>
      </w:tr>
    </w:tbl>
    <w:p>
      <w:pPr>
        <w:spacing w:after="120"/>
      </w:pPr>
      <w:r>
        <w:rPr>
          <w:i/>
          <w:iCs/>
          <w:color w:val="555555"/>
          <w:sz w:val="17"/>
          <w:szCs w:val="17"/>
        </w:rPr>
        <w:t xml:space="preserve">Premium = (rank now ÷ target − 1) × 50%, or +25% when the ratio is 1.5 or less. The four conditions: clicks above market, conversion above market, stock, serving. “Now · audit” = today’s top-of-search price and what the audit writes.</w:t>
      </w:r>
    </w:p>
    <w:p>
      <w:pPr>
        <w:pStyle w:val="Heading2"/>
      </w:pPr>
      <w:r>
        <w:t xml:space="preserve">5.3 Every focus campaign gets a move this week</w:t>
      </w:r>
    </w:p>
    <w:p>
      <w:pPr>
        <w:spacing w:after="100"/>
      </w:pPr>
      <w:r>
        <w:t xml:space="preserve">No focus campaign is held for review. Each gets one of these moves:</w:t>
      </w:r>
    </w:p>
    <w:p>
      <w:pPr>
        <w:pStyle w:val="ListParagraph"/>
        <w:numPr>
          <w:ilvl w:val="0"/>
          <w:numId w:val="4"/>
        </w:numPr>
        <w:spacing w:after="60"/>
      </w:pPr>
      <w:r>
        <w:rPr>
          <w:b/>
          <w:bCs/>
        </w:rPr>
        <w:t xml:space="preserve">Push </w:t>
      </w:r>
      <w:r>
        <w:t xml:space="preserve">where all four conditions hold: the push price, a budget for its required clicks, and one owner for the term.</w:t>
      </w:r>
    </w:p>
    <w:p>
      <w:pPr>
        <w:pStyle w:val="ListParagraph"/>
        <w:numPr>
          <w:ilvl w:val="0"/>
          <w:numId w:val="4"/>
        </w:numPr>
        <w:spacing w:after="60"/>
      </w:pPr>
      <w:r>
        <w:rPr>
          <w:b/>
          <w:bCs/>
        </w:rPr>
        <w:t xml:space="preserve">Fix the failing condition </w:t>
      </w:r>
      <w:r>
        <w:t xml:space="preserve">where one fails, at break-even in the meantime: the mix (Section 9), the colour (Section 7), serving (Section 8), or a duplicate exact campaign (Section 11).</w:t>
      </w:r>
    </w:p>
    <w:p>
      <w:pPr>
        <w:pStyle w:val="ListParagraph"/>
        <w:numPr>
          <w:ilvl w:val="0"/>
          <w:numId w:val="4"/>
        </w:numPr>
        <w:spacing w:after="60"/>
      </w:pPr>
      <w:r>
        <w:rPr>
          <w:b/>
          <w:bCs/>
        </w:rPr>
        <w:t xml:space="preserve">Guard the rank </w:t>
      </w:r>
      <w:r>
        <w:t xml:space="preserve">where stock can’t support a push, such as California King White: hold it at break-even and check that down-only bidding isn’t holding it back.</w:t>
      </w:r>
    </w:p>
    <w:p>
      <w:pPr>
        <w:pStyle w:val="Heading2"/>
      </w:pPr>
      <w:r>
        <w:t xml:space="preserve">5.4 The main “Bamboo Sheets” campaign</w:t>
      </w:r>
    </w:p>
    <w:p>
      <w:pPr>
        <w:spacing w:after="100"/>
      </w:pPr>
      <w:r>
        <w:t xml:space="preserve">It spends about $319 a day, 29% of all ad spend, and pays $7.42 at top of search against a $2.26 break-even (King White margin × its own 12.7% conversion on 2,448 clicks). The audit leaves it untouched and writes “a human decides” without asking anyone. Even as a push, the price is too high: from rank 30 to a target of 10, the push price is $2.26 × 2 = $4.52.</w:t>
      </w:r>
    </w:p>
    <w:p>
      <w:pPr>
        <w:spacing w:after="100"/>
      </w:pPr>
      <w:r>
        <w:rPr>
          <w:b/>
          <w:bCs/>
          <w:color w:val="1F3A5F"/>
        </w:rPr>
        <w:t xml:space="preserve">Correction. </w:t>
      </w:r>
      <w:r>
        <w:t xml:space="preserve">Step it to $4.52 now (−39%) and keep excluding “bamboo sheets” from the broad and clearance campaigns that take its clicks.</w:t>
      </w:r>
    </w:p>
    <w:p>
      <w:pPr>
        <w:spacing w:after="100"/>
      </w:pPr>
      <w:r>
        <w:rPr>
          <w:b/>
          <w:bCs/>
          <w:color w:val="1F3A5F"/>
        </w:rPr>
        <w:t xml:space="preserve">Your decision. </w:t>
      </w:r>
      <w:r>
        <w:t xml:space="preserve">Whether “bamboo sheets” is a push term into the events. That needs a budget of about 23 top-of-search clicks a day. If it isn’t a push term, its price steps down to the $2.26 break-even the following week.</w:t>
      </w:r>
    </w:p>
    <w:p>
      <w:pPr>
        <w:pStyle w:val="Heading2"/>
      </w:pPr>
      <w:r>
        <w:t xml:space="preserve">5.5 How the push is paid for</w:t>
      </w:r>
    </w:p>
    <w:p>
      <w:pPr>
        <w:spacing w:after="100"/>
      </w:pPr>
      <w:r>
        <w:t xml:space="preserve">The push costs less than the deal did because the money moves rather than grows. The money comes from:</w:t>
      </w:r>
    </w:p>
    <w:p>
      <w:pPr>
        <w:pStyle w:val="ListParagraph"/>
        <w:numPr>
          <w:ilvl w:val="0"/>
          <w:numId w:val="4"/>
        </w:numPr>
        <w:spacing w:after="60"/>
      </w:pPr>
      <w:r>
        <w:t xml:space="preserve">Out-of-focus ranking campaigns coming down to break-even.</w:t>
      </w:r>
    </w:p>
    <w:p>
      <w:pPr>
        <w:pStyle w:val="ListParagraph"/>
        <w:numPr>
          <w:ilvl w:val="0"/>
          <w:numId w:val="4"/>
        </w:numPr>
        <w:spacing w:after="60"/>
      </w:pPr>
      <w:r>
        <w:t xml:space="preserve">Product-page leaks on ranking campaigns (60 campaigns, Section 9).</w:t>
      </w:r>
    </w:p>
    <w:p>
      <w:pPr>
        <w:pStyle w:val="ListParagraph"/>
        <w:numPr>
          <w:ilvl w:val="0"/>
          <w:numId w:val="4"/>
        </w:numPr>
        <w:spacing w:after="60"/>
      </w:pPr>
      <w:r>
        <w:t xml:space="preserve">The clearance broad campaign buying “bamboo sheets” ($409 in 30 days).</w:t>
      </w:r>
    </w:p>
    <w:p>
      <w:pPr>
        <w:pStyle w:val="ListParagraph"/>
        <w:numPr>
          <w:ilvl w:val="0"/>
          <w:numId w:val="4"/>
        </w:numPr>
        <w:spacing w:after="60"/>
      </w:pPr>
      <w:r>
        <w:t xml:space="preserve">Conversions campaigns over break-even (Section 12).</w:t>
      </w:r>
    </w:p>
    <w:p>
      <w:pPr>
        <w:spacing w:after="100"/>
      </w:pPr>
      <w:r>
        <w:t xml:space="preserve">Each Monday, spend is checked against the limit (Section 3).</w:t>
      </w:r>
    </w:p>
    <w:p>
      <w:pPr>
        <w:pStyle w:val="Heading1"/>
      </w:pPr>
      <w:r>
        <w:t xml:space="preserve">6. The King White push: two terms, starting now</w:t>
      </w:r>
    </w:p>
    <w:p>
      <w:pPr>
        <w:spacing w:after="100"/>
      </w:pPr>
      <w:r>
        <w:t xml:space="preserve">King White is B4’s best-selling King colour: 220 units in 30 days, with 298 Available (29 days) and 606 more landing about 16 October. It beats the market on clicks and conversion on its main King terms. The audit leaves King out of the focus and tapers it. Correction: King White joins the push, but only on the two terms that need it and can carry it, not across all 108 King campaigns.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400"/>
        <w:gridCol w:w="3786"/>
        <w:gridCol w:w="3786"/>
      </w:tblGrid>
      <w:tr>
        <w:trPr>
          <w:tblHeader/>
        </w:trPr>
        <w:tc>
          <w:tcPr>
            <w:tcW w:type="dxa" w:w="2400"/>
            <w:shd w:fill="1F3A5F" w:color="auto" w:val="clear"/>
            <w:tcMar>
              <w:top w:type="dxa" w:w="40"/>
              <w:left w:type="dxa" w:w="70"/>
              <w:bottom w:type="dxa" w:w="40"/>
              <w:right w:type="dxa" w:w="70"/>
            </w:tcMar>
          </w:tcPr>
          <w:p>
            <w:pPr>
              <w:spacing w:after="0"/>
            </w:pPr>
            <w:r>
              <w:rPr>
                <w:b/>
                <w:bCs/>
                <w:color w:val="FFFFFF"/>
                <w:sz w:val="17"/>
                <w:szCs w:val="17"/>
              </w:rPr>
              <w:t xml:space="preserve"/>
            </w:r>
          </w:p>
        </w:tc>
        <w:tc>
          <w:tcPr>
            <w:tcW w:type="dxa" w:w="3786"/>
            <w:shd w:fill="1F3A5F" w:color="auto" w:val="clear"/>
            <w:tcMar>
              <w:top w:type="dxa" w:w="40"/>
              <w:left w:type="dxa" w:w="70"/>
              <w:bottom w:type="dxa" w:w="40"/>
              <w:right w:type="dxa" w:w="70"/>
            </w:tcMar>
          </w:tcPr>
          <w:p>
            <w:pPr>
              <w:spacing w:after="0"/>
            </w:pPr>
            <w:r>
              <w:rPr>
                <w:b/>
                <w:bCs/>
                <w:color w:val="FFFFFF"/>
                <w:sz w:val="17"/>
                <w:szCs w:val="17"/>
              </w:rPr>
              <w:t xml:space="preserve">Bamboo Sheets King (MSV)</w:t>
            </w:r>
          </w:p>
        </w:tc>
        <w:tc>
          <w:tcPr>
            <w:tcW w:type="dxa" w:w="3786"/>
            <w:shd w:fill="1F3A5F" w:color="auto" w:val="clear"/>
            <w:tcMar>
              <w:top w:type="dxa" w:w="40"/>
              <w:left w:type="dxa" w:w="70"/>
              <w:bottom w:type="dxa" w:w="40"/>
              <w:right w:type="dxa" w:w="70"/>
            </w:tcMar>
          </w:tcPr>
          <w:p>
            <w:pPr>
              <w:spacing w:after="0"/>
            </w:pPr>
            <w:r>
              <w:rPr>
                <w:b/>
                <w:bCs/>
                <w:color w:val="FFFFFF"/>
                <w:sz w:val="17"/>
                <w:szCs w:val="17"/>
              </w:rPr>
              <w:t xml:space="preserve">Bamboo Sheets King Size (HSV)</w:t>
            </w:r>
          </w:p>
        </w:tc>
      </w:tr>
      <w:tr>
        <w:tc>
          <w:tcPr>
            <w:tcW w:type="dxa" w:w="2400"/>
            <w:shd w:fill="FFFFFF" w:color="auto" w:val="clear"/>
            <w:tcMar>
              <w:top w:type="dxa" w:w="40"/>
              <w:left w:type="dxa" w:w="70"/>
              <w:bottom w:type="dxa" w:w="40"/>
              <w:right w:type="dxa" w:w="70"/>
            </w:tcMar>
          </w:tcPr>
          <w:p>
            <w:pPr>
              <w:spacing w:after="0"/>
            </w:pPr>
            <w:r>
              <w:rPr>
                <w:sz w:val="17"/>
                <w:szCs w:val="17"/>
              </w:rPr>
              <w:t xml:space="preserve">Rank now · target</w:t>
            </w:r>
          </w:p>
        </w:tc>
        <w:tc>
          <w:tcPr>
            <w:tcW w:type="dxa" w:w="3786"/>
            <w:shd w:fill="FFFFFF" w:color="auto" w:val="clear"/>
            <w:tcMar>
              <w:top w:type="dxa" w:w="40"/>
              <w:left w:type="dxa" w:w="70"/>
              <w:bottom w:type="dxa" w:w="40"/>
              <w:right w:type="dxa" w:w="70"/>
            </w:tcMar>
          </w:tcPr>
          <w:p>
            <w:pPr>
              <w:spacing w:after="0"/>
            </w:pPr>
            <w:r>
              <w:rPr>
                <w:sz w:val="17"/>
                <w:szCs w:val="17"/>
              </w:rPr>
              <w:t xml:space="preserve">22 · 8</w:t>
            </w:r>
          </w:p>
        </w:tc>
        <w:tc>
          <w:tcPr>
            <w:tcW w:type="dxa" w:w="3786"/>
            <w:shd w:fill="FFFFFF" w:color="auto" w:val="clear"/>
            <w:tcMar>
              <w:top w:type="dxa" w:w="40"/>
              <w:left w:type="dxa" w:w="70"/>
              <w:bottom w:type="dxa" w:w="40"/>
              <w:right w:type="dxa" w:w="70"/>
            </w:tcMar>
          </w:tcPr>
          <w:p>
            <w:pPr>
              <w:spacing w:after="0"/>
            </w:pPr>
            <w:r>
              <w:rPr>
                <w:sz w:val="17"/>
                <w:szCs w:val="17"/>
              </w:rPr>
              <w:t xml:space="preserve">25 · 10</w:t>
            </w:r>
          </w:p>
        </w:tc>
      </w:tr>
      <w:tr>
        <w:tc>
          <w:tcPr>
            <w:tcW w:type="dxa" w:w="2400"/>
            <w:shd w:fill="F2F5F9" w:color="auto" w:val="clear"/>
            <w:tcMar>
              <w:top w:type="dxa" w:w="40"/>
              <w:left w:type="dxa" w:w="70"/>
              <w:bottom w:type="dxa" w:w="40"/>
              <w:right w:type="dxa" w:w="70"/>
            </w:tcMar>
          </w:tcPr>
          <w:p>
            <w:pPr>
              <w:spacing w:after="0"/>
            </w:pPr>
            <w:r>
              <w:rPr>
                <w:sz w:val="17"/>
                <w:szCs w:val="17"/>
              </w:rPr>
              <w:t xml:space="preserve">Top-of-search click-through / conversion vs market</w:t>
            </w:r>
          </w:p>
        </w:tc>
        <w:tc>
          <w:tcPr>
            <w:tcW w:type="dxa" w:w="3786"/>
            <w:shd w:fill="F2F5F9" w:color="auto" w:val="clear"/>
            <w:tcMar>
              <w:top w:type="dxa" w:w="40"/>
              <w:left w:type="dxa" w:w="70"/>
              <w:bottom w:type="dxa" w:w="40"/>
              <w:right w:type="dxa" w:w="70"/>
            </w:tcMar>
          </w:tcPr>
          <w:p>
            <w:pPr>
              <w:spacing w:after="0"/>
            </w:pPr>
            <w:r>
              <w:rPr>
                <w:sz w:val="17"/>
                <w:szCs w:val="17"/>
              </w:rPr>
              <w:t xml:space="preserve">3.72% vs 1.77% · 19.7% vs 3.64%</w:t>
            </w:r>
          </w:p>
        </w:tc>
        <w:tc>
          <w:tcPr>
            <w:tcW w:type="dxa" w:w="3786"/>
            <w:shd w:fill="F2F5F9" w:color="auto" w:val="clear"/>
            <w:tcMar>
              <w:top w:type="dxa" w:w="40"/>
              <w:left w:type="dxa" w:w="70"/>
              <w:bottom w:type="dxa" w:w="40"/>
              <w:right w:type="dxa" w:w="70"/>
            </w:tcMar>
          </w:tcPr>
          <w:p>
            <w:pPr>
              <w:spacing w:after="0"/>
            </w:pPr>
            <w:r>
              <w:rPr>
                <w:sz w:val="17"/>
                <w:szCs w:val="17"/>
              </w:rPr>
              <w:t xml:space="preserve">4.17% vs 1.77% · 15.4% vs 3.64%</w:t>
            </w:r>
          </w:p>
        </w:tc>
      </w:tr>
      <w:tr>
        <w:tc>
          <w:tcPr>
            <w:tcW w:type="dxa" w:w="2400"/>
            <w:shd w:fill="FFFFFF" w:color="auto" w:val="clear"/>
            <w:tcMar>
              <w:top w:type="dxa" w:w="40"/>
              <w:left w:type="dxa" w:w="70"/>
              <w:bottom w:type="dxa" w:w="40"/>
              <w:right w:type="dxa" w:w="70"/>
            </w:tcMar>
          </w:tcPr>
          <w:p>
            <w:pPr>
              <w:spacing w:after="0"/>
            </w:pPr>
            <w:r>
              <w:rPr>
                <w:sz w:val="17"/>
                <w:szCs w:val="17"/>
              </w:rPr>
              <w:t xml:space="preserve">Clicks at top of search / on product pages (30 days)</w:t>
            </w:r>
          </w:p>
        </w:tc>
        <w:tc>
          <w:tcPr>
            <w:tcW w:type="dxa" w:w="3786"/>
            <w:shd w:fill="FFFFFF" w:color="auto" w:val="clear"/>
            <w:tcMar>
              <w:top w:type="dxa" w:w="40"/>
              <w:left w:type="dxa" w:w="70"/>
              <w:bottom w:type="dxa" w:w="40"/>
              <w:right w:type="dxa" w:w="70"/>
            </w:tcMar>
          </w:tcPr>
          <w:p>
            <w:pPr>
              <w:spacing w:after="0"/>
            </w:pPr>
            <w:r>
              <w:rPr>
                <w:sz w:val="17"/>
                <w:szCs w:val="17"/>
              </w:rPr>
              <w:t xml:space="preserve">87% / 11%</w:t>
            </w:r>
          </w:p>
        </w:tc>
        <w:tc>
          <w:tcPr>
            <w:tcW w:type="dxa" w:w="3786"/>
            <w:shd w:fill="FFFFFF" w:color="auto" w:val="clear"/>
            <w:tcMar>
              <w:top w:type="dxa" w:w="40"/>
              <w:left w:type="dxa" w:w="70"/>
              <w:bottom w:type="dxa" w:w="40"/>
              <w:right w:type="dxa" w:w="70"/>
            </w:tcMar>
          </w:tcPr>
          <w:p>
            <w:pPr>
              <w:spacing w:after="0"/>
            </w:pPr>
            <w:r>
              <w:rPr>
                <w:sz w:val="17"/>
                <w:szCs w:val="17"/>
              </w:rPr>
              <w:t xml:space="preserve">34% / 63% (7% at top in the last 14 days)</w:t>
            </w:r>
          </w:p>
        </w:tc>
      </w:tr>
      <w:tr>
        <w:tc>
          <w:tcPr>
            <w:tcW w:type="dxa" w:w="2400"/>
            <w:shd w:fill="F2F5F9" w:color="auto" w:val="clear"/>
            <w:tcMar>
              <w:top w:type="dxa" w:w="40"/>
              <w:left w:type="dxa" w:w="70"/>
              <w:bottom w:type="dxa" w:w="40"/>
              <w:right w:type="dxa" w:w="70"/>
            </w:tcMar>
          </w:tcPr>
          <w:p>
            <w:pPr>
              <w:spacing w:after="0"/>
            </w:pPr>
            <w:r>
              <w:rPr>
                <w:sz w:val="17"/>
                <w:szCs w:val="17"/>
              </w:rPr>
              <w:t xml:space="preserve">Break-even → push price</w:t>
            </w:r>
          </w:p>
        </w:tc>
        <w:tc>
          <w:tcPr>
            <w:tcW w:type="dxa" w:w="3786"/>
            <w:shd w:fill="F2F5F9" w:color="auto" w:val="clear"/>
            <w:tcMar>
              <w:top w:type="dxa" w:w="40"/>
              <w:left w:type="dxa" w:w="70"/>
              <w:bottom w:type="dxa" w:w="40"/>
              <w:right w:type="dxa" w:w="70"/>
            </w:tcMar>
          </w:tcPr>
          <w:p>
            <w:pPr>
              <w:spacing w:after="0"/>
            </w:pPr>
            <w:r>
              <w:rPr>
                <w:sz w:val="17"/>
                <w:szCs w:val="17"/>
              </w:rPr>
              <w:t xml:space="preserve">$3.53 → $6.62</w:t>
            </w:r>
          </w:p>
        </w:tc>
        <w:tc>
          <w:tcPr>
            <w:tcW w:type="dxa" w:w="3786"/>
            <w:shd w:fill="F2F5F9" w:color="auto" w:val="clear"/>
            <w:tcMar>
              <w:top w:type="dxa" w:w="40"/>
              <w:left w:type="dxa" w:w="70"/>
              <w:bottom w:type="dxa" w:w="40"/>
              <w:right w:type="dxa" w:w="70"/>
            </w:tcMar>
          </w:tcPr>
          <w:p>
            <w:pPr>
              <w:spacing w:after="0"/>
            </w:pPr>
            <w:r>
              <w:rPr>
                <w:sz w:val="17"/>
                <w:szCs w:val="17"/>
              </w:rPr>
              <w:t xml:space="preserve">$2.75 → $4.81</w:t>
            </w:r>
          </w:p>
        </w:tc>
      </w:tr>
      <w:tr>
        <w:tc>
          <w:tcPr>
            <w:tcW w:type="dxa" w:w="2400"/>
            <w:shd w:fill="FFFFFF" w:color="auto" w:val="clear"/>
            <w:tcMar>
              <w:top w:type="dxa" w:w="40"/>
              <w:left w:type="dxa" w:w="70"/>
              <w:bottom w:type="dxa" w:w="40"/>
              <w:right w:type="dxa" w:w="70"/>
            </w:tcMar>
          </w:tcPr>
          <w:p>
            <w:pPr>
              <w:spacing w:after="0"/>
            </w:pPr>
            <w:r>
              <w:rPr>
                <w:sz w:val="17"/>
                <w:szCs w:val="17"/>
              </w:rPr>
              <w:t xml:space="preserve">29 September</w:t>
            </w:r>
          </w:p>
        </w:tc>
        <w:tc>
          <w:tcPr>
            <w:tcW w:type="dxa" w:w="3786"/>
            <w:shd w:fill="FFFFFF" w:color="auto" w:val="clear"/>
            <w:tcMar>
              <w:top w:type="dxa" w:w="40"/>
              <w:left w:type="dxa" w:w="70"/>
              <w:bottom w:type="dxa" w:w="40"/>
              <w:right w:type="dxa" w:w="70"/>
            </w:tcMar>
          </w:tcPr>
          <w:p>
            <w:pPr>
              <w:spacing w:after="0"/>
            </w:pPr>
            <w:r>
              <w:rPr>
                <w:sz w:val="17"/>
                <w:szCs w:val="17"/>
              </w:rPr>
              <w:t xml:space="preserve">Top of search $6.41 → $6.62. Budget to its required clicks at that price.</w:t>
            </w:r>
          </w:p>
        </w:tc>
        <w:tc>
          <w:tcPr>
            <w:tcW w:type="dxa" w:w="3786"/>
            <w:shd w:fill="FFFFFF" w:color="auto" w:val="clear"/>
            <w:tcMar>
              <w:top w:type="dxa" w:w="40"/>
              <w:left w:type="dxa" w:w="70"/>
              <w:bottom w:type="dxa" w:w="40"/>
              <w:right w:type="dxa" w:w="70"/>
            </w:tcMar>
          </w:tcPr>
          <w:p>
            <w:pPr>
              <w:spacing w:after="0"/>
            </w:pPr>
            <w:r>
              <w:rPr>
                <w:sz w:val="17"/>
                <w:szCs w:val="17"/>
              </w:rPr>
              <w:t xml:space="preserve">Fix the mix first: base $1.60 → $1.20 and top of search at $2.75. Move to the $4.81 push price once 70% of clicks are at top of search for 7 days.</w:t>
            </w:r>
          </w:p>
        </w:tc>
      </w:tr>
      <w:tr>
        <w:tc>
          <w:tcPr>
            <w:tcW w:type="dxa" w:w="2400"/>
            <w:shd w:fill="F2F5F9" w:color="auto" w:val="clear"/>
            <w:tcMar>
              <w:top w:type="dxa" w:w="40"/>
              <w:left w:type="dxa" w:w="70"/>
              <w:bottom w:type="dxa" w:w="40"/>
              <w:right w:type="dxa" w:w="70"/>
            </w:tcMar>
          </w:tcPr>
          <w:p>
            <w:pPr>
              <w:spacing w:after="0"/>
            </w:pPr>
            <w:r>
              <w:rPr>
                <w:sz w:val="17"/>
                <w:szCs w:val="17"/>
              </w:rPr>
              <w:t xml:space="preserve">Check</w:t>
            </w:r>
          </w:p>
        </w:tc>
        <w:tc>
          <w:tcPr>
            <w:tcW w:type="dxa" w:w="3786"/>
            <w:shd w:fill="F2F5F9" w:color="auto" w:val="clear"/>
            <w:tcMar>
              <w:top w:type="dxa" w:w="40"/>
              <w:left w:type="dxa" w:w="70"/>
              <w:bottom w:type="dxa" w:w="40"/>
              <w:right w:type="dxa" w:w="70"/>
            </w:tcMar>
          </w:tcPr>
          <w:p>
            <w:pPr>
              <w:spacing w:after="0"/>
            </w:pPr>
            <w:r>
              <w:rPr>
                <w:sz w:val="17"/>
                <w:szCs w:val="17"/>
              </w:rPr>
              <w:t xml:space="preserve">Read on 5 October; checkpoint on 12 October</w:t>
            </w:r>
          </w:p>
        </w:tc>
        <w:tc>
          <w:tcPr>
            <w:tcW w:type="dxa" w:w="3786"/>
            <w:shd w:fill="F2F5F9" w:color="auto" w:val="clear"/>
            <w:tcMar>
              <w:top w:type="dxa" w:w="40"/>
              <w:left w:type="dxa" w:w="70"/>
              <w:bottom w:type="dxa" w:w="40"/>
              <w:right w:type="dxa" w:w="70"/>
            </w:tcMar>
          </w:tcPr>
          <w:p>
            <w:pPr>
              <w:spacing w:after="0"/>
            </w:pPr>
            <w:r>
              <w:rPr>
                <w:sz w:val="17"/>
                <w:szCs w:val="17"/>
              </w:rPr>
              <w:t xml:space="preserve">Read on 5 October</w:t>
            </w:r>
          </w:p>
        </w:tc>
      </w:tr>
      <w:tr>
        <w:tc>
          <w:tcPr>
            <w:tcW w:type="dxa" w:w="2400"/>
            <w:shd w:fill="FFFFFF" w:color="auto" w:val="clear"/>
            <w:tcMar>
              <w:top w:type="dxa" w:w="40"/>
              <w:left w:type="dxa" w:w="70"/>
              <w:bottom w:type="dxa" w:w="40"/>
              <w:right w:type="dxa" w:w="70"/>
            </w:tcMar>
          </w:tcPr>
          <w:p>
            <w:pPr>
              <w:spacing w:after="0"/>
            </w:pPr>
            <w:r>
              <w:rPr>
                <w:sz w:val="17"/>
                <w:szCs w:val="17"/>
              </w:rPr>
              <w:t xml:space="preserve">If it doesn’t work</w:t>
            </w:r>
          </w:p>
        </w:tc>
        <w:tc>
          <w:tcPr>
            <w:tcW w:type="dxa" w:w="3786"/>
            <w:shd w:fill="FFFFFF" w:color="auto" w:val="clear"/>
            <w:tcMar>
              <w:top w:type="dxa" w:w="40"/>
              <w:left w:type="dxa" w:w="70"/>
              <w:bottom w:type="dxa" w:w="40"/>
              <w:right w:type="dxa" w:w="70"/>
            </w:tcMar>
          </w:tcPr>
          <w:p>
            <w:pPr>
              <w:spacing w:after="0"/>
            </w:pPr>
            <w:r>
              <w:rPr>
                <w:sz w:val="17"/>
                <w:szCs w:val="17"/>
              </w:rPr>
              <w:t xml:space="preserve">If delivery is under 70% of the required clicks, fix delivery (budget, down-only bidding). If rank doesn’t move on full delivery, stop the premium and find the cause.</w:t>
            </w:r>
          </w:p>
        </w:tc>
        <w:tc>
          <w:tcPr>
            <w:tcW w:type="dxa" w:w="3786"/>
            <w:shd w:fill="FFFFFF" w:color="auto" w:val="clear"/>
            <w:tcMar>
              <w:top w:type="dxa" w:w="40"/>
              <w:left w:type="dxa" w:w="70"/>
              <w:bottom w:type="dxa" w:w="40"/>
              <w:right w:type="dxa" w:w="70"/>
            </w:tcMar>
          </w:tcPr>
          <w:p>
            <w:pPr>
              <w:spacing w:after="0"/>
            </w:pPr>
            <w:r>
              <w:rPr>
                <w:sz w:val="17"/>
                <w:szCs w:val="17"/>
              </w:rPr>
              <w:t xml:space="preserve">If the mix doesn’t move, cut the base bid again, then switch to fixed bidding.</w:t>
            </w:r>
          </w:p>
        </w:tc>
      </w:tr>
    </w:tbl>
    <w:p>
      <w:pPr>
        <w:spacing w:after="40"/>
      </w:pPr>
    </w:p>
    <w:p>
      <w:pPr>
        <w:spacing w:after="100"/>
      </w:pPr>
      <w:r>
        <w:t xml:space="preserve">Before the push price goes live: exclude “bamboo sheets king” from the clearance broad campaign (10 of its 50 clicks went there) and from the main broad campaign.</w:t>
      </w:r>
    </w:p>
    <w:p>
      <w:pPr>
        <w:spacing w:after="100"/>
      </w:pPr>
      <w:r>
        <w:t xml:space="preserve">Stock: the engine flags 26 King campaigns as sitting on a colour that is running out, and moves them to Creme. King White has 29 days Available, with the arrival landing before it runs out. Even on the engine’s own count (228 units, 24 days) it is over the 7-day line. Override the flag and keep King on White.</w:t>
      </w:r>
    </w:p>
    <w:p>
      <w:pPr>
        <w:pStyle w:val="Heading1"/>
      </w:pPr>
      <w:r>
        <w:t xml:space="preserve">7. Which colour each campaign advertises</w:t>
      </w:r>
    </w:p>
    <w:p>
      <w:pPr>
        <w:spacing w:after="100"/>
      </w:pPr>
      <w:r>
        <w:t xml:space="preserve">The audit moves ads to whichever colour has the most units on hand. The rule is the next-best seller with healthy stock, judged on Available units: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1900"/>
        <w:gridCol w:w="2972"/>
      </w:tblGrid>
      <w:tr>
        <w:trPr>
          <w:tblHeader/>
        </w:trPr>
        <w:tc>
          <w:tcPr>
            <w:tcW w:type="dxa" w:w="1300"/>
            <w:shd w:fill="1F3A5F" w:color="auto" w:val="clear"/>
            <w:tcMar>
              <w:top w:type="dxa" w:w="40"/>
              <w:left w:type="dxa" w:w="70"/>
              <w:bottom w:type="dxa" w:w="40"/>
              <w:right w:type="dxa" w:w="70"/>
            </w:tcMar>
          </w:tcPr>
          <w:p>
            <w:pPr>
              <w:spacing w:after="0"/>
            </w:pPr>
            <w:r>
              <w:rPr>
                <w:b/>
                <w:bCs/>
                <w:color w:val="FFFFFF"/>
                <w:sz w:val="17"/>
                <w:szCs w:val="17"/>
              </w:rPr>
              <w:t xml:space="preserve">Size</w:t>
            </w:r>
          </w:p>
        </w:tc>
        <w:tc>
          <w:tcPr>
            <w:tcW w:type="dxa" w:w="3800"/>
            <w:shd w:fill="1F3A5F" w:color="auto" w:val="clear"/>
            <w:tcMar>
              <w:top w:type="dxa" w:w="40"/>
              <w:left w:type="dxa" w:w="70"/>
              <w:bottom w:type="dxa" w:w="40"/>
              <w:right w:type="dxa" w:w="70"/>
            </w:tcMar>
          </w:tcPr>
          <w:p>
            <w:pPr>
              <w:spacing w:after="0"/>
            </w:pPr>
            <w:r>
              <w:rPr>
                <w:b/>
                <w:bCs/>
                <w:color w:val="FFFFFF"/>
                <w:sz w:val="17"/>
                <w:szCs w:val="17"/>
              </w:rPr>
              <w:t xml:space="preserve">White: 30-day sales · Available stock</w:t>
            </w:r>
          </w:p>
        </w:tc>
        <w:tc>
          <w:tcPr>
            <w:tcW w:type="dxa" w:w="1900"/>
            <w:shd w:fill="1F3A5F" w:color="auto" w:val="clear"/>
            <w:tcMar>
              <w:top w:type="dxa" w:w="40"/>
              <w:left w:type="dxa" w:w="70"/>
              <w:bottom w:type="dxa" w:w="40"/>
              <w:right w:type="dxa" w:w="70"/>
            </w:tcMar>
          </w:tcPr>
          <w:p>
            <w:pPr>
              <w:spacing w:after="0"/>
            </w:pPr>
            <w:r>
              <w:rPr>
                <w:b/>
                <w:bCs/>
                <w:color w:val="FFFFFF"/>
                <w:sz w:val="17"/>
                <w:szCs w:val="17"/>
              </w:rPr>
              <w:t xml:space="preserve">Audit moves ranking ads to</w:t>
            </w:r>
          </w:p>
        </w:tc>
        <w:tc>
          <w:tcPr>
            <w:tcW w:type="dxa" w:w="2972"/>
            <w:shd w:fill="1F3A5F" w:color="auto" w:val="clear"/>
            <w:tcMar>
              <w:top w:type="dxa" w:w="40"/>
              <w:left w:type="dxa" w:w="70"/>
              <w:bottom w:type="dxa" w:w="40"/>
              <w:right w:type="dxa" w:w="70"/>
            </w:tcMar>
          </w:tcPr>
          <w:p>
            <w:pPr>
              <w:spacing w:after="0"/>
            </w:pPr>
            <w:r>
              <w:rPr>
                <w:b/>
                <w:bCs/>
                <w:color w:val="FFFFFF"/>
                <w:sz w:val="17"/>
                <w:szCs w:val="17"/>
              </w:rPr>
              <w:t xml:space="preserve">Correct ranking colour</w:t>
            </w:r>
          </w:p>
        </w:tc>
      </w:tr>
      <w:tr>
        <w:tc>
          <w:tcPr>
            <w:tcW w:type="dxa" w:w="1300"/>
            <w:shd w:fill="FFFFFF" w:color="auto" w:val="clear"/>
            <w:tcMar>
              <w:top w:type="dxa" w:w="40"/>
              <w:left w:type="dxa" w:w="70"/>
              <w:bottom w:type="dxa" w:w="40"/>
              <w:right w:type="dxa" w:w="70"/>
            </w:tcMar>
          </w:tcPr>
          <w:p>
            <w:pPr>
              <w:spacing w:after="0"/>
            </w:pPr>
            <w:r>
              <w:rPr>
                <w:sz w:val="17"/>
                <w:szCs w:val="17"/>
              </w:rPr>
              <w:t xml:space="preserve">King</w:t>
            </w:r>
          </w:p>
        </w:tc>
        <w:tc>
          <w:tcPr>
            <w:tcW w:type="dxa" w:w="3800"/>
            <w:shd w:fill="FFFFFF" w:color="auto" w:val="clear"/>
            <w:tcMar>
              <w:top w:type="dxa" w:w="40"/>
              <w:left w:type="dxa" w:w="70"/>
              <w:bottom w:type="dxa" w:w="40"/>
              <w:right w:type="dxa" w:w="70"/>
            </w:tcMar>
          </w:tcPr>
          <w:p>
            <w:pPr>
              <w:spacing w:after="0"/>
            </w:pPr>
            <w:r>
              <w:rPr>
                <w:sz w:val="17"/>
                <w:szCs w:val="17"/>
              </w:rPr>
              <w:t xml:space="preserve">220 units (#1 in the size); 298 Available = 29 days</w:t>
            </w:r>
          </w:p>
        </w:tc>
        <w:tc>
          <w:tcPr>
            <w:tcW w:type="dxa" w:w="1900"/>
            <w:shd w:fill="FFFFFF" w:color="auto" w:val="clear"/>
            <w:tcMar>
              <w:top w:type="dxa" w:w="40"/>
              <w:left w:type="dxa" w:w="70"/>
              <w:bottom w:type="dxa" w:w="40"/>
              <w:right w:type="dxa" w:w="70"/>
            </w:tcMar>
          </w:tcPr>
          <w:p>
            <w:pPr>
              <w:spacing w:after="0"/>
            </w:pPr>
            <w:r>
              <w:rPr>
                <w:sz w:val="17"/>
                <w:szCs w:val="17"/>
              </w:rPr>
              <w:t xml:space="preserve">Creme (26 campaigns)</w:t>
            </w:r>
          </w:p>
        </w:tc>
        <w:tc>
          <w:tcPr>
            <w:tcW w:type="dxa" w:w="2972"/>
            <w:shd w:fill="FFFFFF" w:color="auto" w:val="clear"/>
            <w:tcMar>
              <w:top w:type="dxa" w:w="40"/>
              <w:left w:type="dxa" w:w="70"/>
              <w:bottom w:type="dxa" w:w="40"/>
              <w:right w:type="dxa" w:w="70"/>
            </w:tcMar>
          </w:tcPr>
          <w:p>
            <w:pPr>
              <w:spacing w:after="0"/>
            </w:pPr>
            <w:r>
              <w:rPr>
                <w:sz w:val="17"/>
                <w:szCs w:val="17"/>
              </w:rPr>
              <w:t xml:space="preserve">White</w:t>
            </w:r>
          </w:p>
        </w:tc>
      </w:tr>
      <w:tr>
        <w:tc>
          <w:tcPr>
            <w:tcW w:type="dxa" w:w="1300"/>
            <w:shd w:fill="F2F5F9" w:color="auto" w:val="clear"/>
            <w:tcMar>
              <w:top w:type="dxa" w:w="40"/>
              <w:left w:type="dxa" w:w="70"/>
              <w:bottom w:type="dxa" w:w="40"/>
              <w:right w:type="dxa" w:w="70"/>
            </w:tcMar>
          </w:tcPr>
          <w:p>
            <w:pPr>
              <w:spacing w:after="0"/>
            </w:pPr>
            <w:r>
              <w:rPr>
                <w:sz w:val="17"/>
                <w:szCs w:val="17"/>
              </w:rPr>
              <w:t xml:space="preserve">Queen</w:t>
            </w:r>
          </w:p>
        </w:tc>
        <w:tc>
          <w:tcPr>
            <w:tcW w:type="dxa" w:w="3800"/>
            <w:shd w:fill="F2F5F9" w:color="auto" w:val="clear"/>
            <w:tcMar>
              <w:top w:type="dxa" w:w="40"/>
              <w:left w:type="dxa" w:w="70"/>
              <w:bottom w:type="dxa" w:w="40"/>
              <w:right w:type="dxa" w:w="70"/>
            </w:tcMar>
          </w:tcPr>
          <w:p>
            <w:pPr>
              <w:spacing w:after="0"/>
            </w:pPr>
            <w:r>
              <w:rPr>
                <w:sz w:val="17"/>
                <w:szCs w:val="17"/>
              </w:rPr>
              <w:t xml:space="preserve">109 units (#1); 82 Available = 15 days; arrival 27 Oct</w:t>
            </w:r>
          </w:p>
        </w:tc>
        <w:tc>
          <w:tcPr>
            <w:tcW w:type="dxa" w:w="1900"/>
            <w:shd w:fill="F2F5F9" w:color="auto" w:val="clear"/>
            <w:tcMar>
              <w:top w:type="dxa" w:w="40"/>
              <w:left w:type="dxa" w:w="70"/>
              <w:bottom w:type="dxa" w:w="40"/>
              <w:right w:type="dxa" w:w="70"/>
            </w:tcMar>
          </w:tcPr>
          <w:p>
            <w:pPr>
              <w:spacing w:after="0"/>
            </w:pPr>
            <w:r>
              <w:rPr>
                <w:sz w:val="17"/>
                <w:szCs w:val="17"/>
              </w:rPr>
              <w:t xml:space="preserve">Olive</w:t>
            </w:r>
          </w:p>
        </w:tc>
        <w:tc>
          <w:tcPr>
            <w:tcW w:type="dxa" w:w="2972"/>
            <w:shd w:fill="F2F5F9" w:color="auto" w:val="clear"/>
            <w:tcMar>
              <w:top w:type="dxa" w:w="40"/>
              <w:left w:type="dxa" w:w="70"/>
              <w:bottom w:type="dxa" w:w="40"/>
              <w:right w:type="dxa" w:w="70"/>
            </w:tcMar>
          </w:tcPr>
          <w:p>
            <w:pPr>
              <w:spacing w:after="0"/>
            </w:pPr>
            <w:r>
              <w:rPr>
                <w:sz w:val="17"/>
                <w:szCs w:val="17"/>
              </w:rPr>
              <w:t xml:space="preserve">Light Blue (71 units, 57 days) until White lands</w:t>
            </w:r>
          </w:p>
        </w:tc>
      </w:tr>
      <w:tr>
        <w:tc>
          <w:tcPr>
            <w:tcW w:type="dxa" w:w="1300"/>
            <w:shd w:fill="FFFFFF" w:color="auto" w:val="clear"/>
            <w:tcMar>
              <w:top w:type="dxa" w:w="40"/>
              <w:left w:type="dxa" w:w="70"/>
              <w:bottom w:type="dxa" w:w="40"/>
              <w:right w:type="dxa" w:w="70"/>
            </w:tcMar>
          </w:tcPr>
          <w:p>
            <w:pPr>
              <w:spacing w:after="0"/>
            </w:pPr>
            <w:r>
              <w:rPr>
                <w:sz w:val="17"/>
                <w:szCs w:val="17"/>
              </w:rPr>
              <w:t xml:space="preserve">California King</w:t>
            </w:r>
          </w:p>
        </w:tc>
        <w:tc>
          <w:tcPr>
            <w:tcW w:type="dxa" w:w="3800"/>
            <w:shd w:fill="FFFFFF" w:color="auto" w:val="clear"/>
            <w:tcMar>
              <w:top w:type="dxa" w:w="40"/>
              <w:left w:type="dxa" w:w="70"/>
              <w:bottom w:type="dxa" w:w="40"/>
              <w:right w:type="dxa" w:w="70"/>
            </w:tcMar>
          </w:tcPr>
          <w:p>
            <w:pPr>
              <w:spacing w:after="0"/>
            </w:pPr>
            <w:r>
              <w:rPr>
                <w:sz w:val="17"/>
                <w:szCs w:val="17"/>
              </w:rPr>
              <w:t xml:space="preserve">36 units (#1); 43 Available = 28 days</w:t>
            </w:r>
          </w:p>
        </w:tc>
        <w:tc>
          <w:tcPr>
            <w:tcW w:type="dxa" w:w="1900"/>
            <w:shd w:fill="FFFFFF" w:color="auto" w:val="clear"/>
            <w:tcMar>
              <w:top w:type="dxa" w:w="40"/>
              <w:left w:type="dxa" w:w="70"/>
              <w:bottom w:type="dxa" w:w="40"/>
              <w:right w:type="dxa" w:w="70"/>
            </w:tcMar>
          </w:tcPr>
          <w:p>
            <w:pPr>
              <w:spacing w:after="0"/>
            </w:pPr>
            <w:r>
              <w:rPr>
                <w:sz w:val="17"/>
                <w:szCs w:val="17"/>
              </w:rPr>
              <w:t xml:space="preserve">Burgundy-New</w:t>
            </w:r>
          </w:p>
        </w:tc>
        <w:tc>
          <w:tcPr>
            <w:tcW w:type="dxa" w:w="2972"/>
            <w:shd w:fill="FFFFFF" w:color="auto" w:val="clear"/>
            <w:tcMar>
              <w:top w:type="dxa" w:w="40"/>
              <w:left w:type="dxa" w:w="70"/>
              <w:bottom w:type="dxa" w:w="40"/>
              <w:right w:type="dxa" w:w="70"/>
            </w:tcMar>
          </w:tcPr>
          <w:p>
            <w:pPr>
              <w:spacing w:after="0"/>
            </w:pPr>
            <w:r>
              <w:rPr>
                <w:sz w:val="17"/>
                <w:szCs w:val="17"/>
              </w:rPr>
              <w:t xml:space="preserve">White: keep</w:t>
            </w:r>
          </w:p>
        </w:tc>
      </w:tr>
      <w:tr>
        <w:tc>
          <w:tcPr>
            <w:tcW w:type="dxa" w:w="1300"/>
            <w:shd w:fill="F2F5F9" w:color="auto" w:val="clear"/>
            <w:tcMar>
              <w:top w:type="dxa" w:w="40"/>
              <w:left w:type="dxa" w:w="70"/>
              <w:bottom w:type="dxa" w:w="40"/>
              <w:right w:type="dxa" w:w="70"/>
            </w:tcMar>
          </w:tcPr>
          <w:p>
            <w:pPr>
              <w:spacing w:after="0"/>
            </w:pPr>
            <w:r>
              <w:rPr>
                <w:sz w:val="17"/>
                <w:szCs w:val="17"/>
              </w:rPr>
              <w:t xml:space="preserve">Full</w:t>
            </w:r>
          </w:p>
        </w:tc>
        <w:tc>
          <w:tcPr>
            <w:tcW w:type="dxa" w:w="3800"/>
            <w:shd w:fill="F2F5F9" w:color="auto" w:val="clear"/>
            <w:tcMar>
              <w:top w:type="dxa" w:w="40"/>
              <w:left w:type="dxa" w:w="70"/>
              <w:bottom w:type="dxa" w:w="40"/>
              <w:right w:type="dxa" w:w="70"/>
            </w:tcMar>
          </w:tcPr>
          <w:p>
            <w:pPr>
              <w:spacing w:after="0"/>
            </w:pPr>
            <w:r>
              <w:rPr>
                <w:sz w:val="17"/>
                <w:szCs w:val="17"/>
              </w:rPr>
              <w:t xml:space="preserve">10 units; 0 Available</w:t>
            </w:r>
          </w:p>
        </w:tc>
        <w:tc>
          <w:tcPr>
            <w:tcW w:type="dxa" w:w="1900"/>
            <w:shd w:fill="F2F5F9" w:color="auto" w:val="clear"/>
            <w:tcMar>
              <w:top w:type="dxa" w:w="40"/>
              <w:left w:type="dxa" w:w="70"/>
              <w:bottom w:type="dxa" w:w="40"/>
              <w:right w:type="dxa" w:w="70"/>
            </w:tcMar>
          </w:tcPr>
          <w:p>
            <w:pPr>
              <w:spacing w:after="0"/>
            </w:pPr>
            <w:r>
              <w:rPr>
                <w:sz w:val="17"/>
                <w:szCs w:val="17"/>
              </w:rPr>
              <w:t xml:space="preserve">Light Olive</w:t>
            </w:r>
          </w:p>
        </w:tc>
        <w:tc>
          <w:tcPr>
            <w:tcW w:type="dxa" w:w="2972"/>
            <w:shd w:fill="F2F5F9" w:color="auto" w:val="clear"/>
            <w:tcMar>
              <w:top w:type="dxa" w:w="40"/>
              <w:left w:type="dxa" w:w="70"/>
              <w:bottom w:type="dxa" w:w="40"/>
              <w:right w:type="dxa" w:w="70"/>
            </w:tcMar>
          </w:tcPr>
          <w:p>
            <w:pPr>
              <w:spacing w:after="0"/>
            </w:pPr>
            <w:r>
              <w:rPr>
                <w:sz w:val="17"/>
                <w:szCs w:val="17"/>
              </w:rPr>
              <w:t xml:space="preserve">Olive (30 units, 70 days) until White lands</w:t>
            </w:r>
          </w:p>
        </w:tc>
      </w:tr>
      <w:tr>
        <w:tc>
          <w:tcPr>
            <w:tcW w:type="dxa" w:w="1300"/>
            <w:shd w:fill="FFFFFF" w:color="auto" w:val="clear"/>
            <w:tcMar>
              <w:top w:type="dxa" w:w="40"/>
              <w:left w:type="dxa" w:w="70"/>
              <w:bottom w:type="dxa" w:w="40"/>
              <w:right w:type="dxa" w:w="70"/>
            </w:tcMar>
          </w:tcPr>
          <w:p>
            <w:pPr>
              <w:spacing w:after="0"/>
            </w:pPr>
            <w:r>
              <w:rPr>
                <w:sz w:val="17"/>
                <w:szCs w:val="17"/>
              </w:rPr>
              <w:t xml:space="preserve">Twin</w:t>
            </w:r>
          </w:p>
        </w:tc>
        <w:tc>
          <w:tcPr>
            <w:tcW w:type="dxa" w:w="3800"/>
            <w:shd w:fill="FFFFFF" w:color="auto" w:val="clear"/>
            <w:tcMar>
              <w:top w:type="dxa" w:w="40"/>
              <w:left w:type="dxa" w:w="70"/>
              <w:bottom w:type="dxa" w:w="40"/>
              <w:right w:type="dxa" w:w="70"/>
            </w:tcMar>
          </w:tcPr>
          <w:p>
            <w:pPr>
              <w:spacing w:after="0"/>
            </w:pPr>
            <w:r>
              <w:rPr>
                <w:sz w:val="17"/>
                <w:szCs w:val="17"/>
              </w:rPr>
              <w:t xml:space="preserve">31 units (#1); 0 Available, 154 in transfer</w:t>
            </w:r>
          </w:p>
        </w:tc>
        <w:tc>
          <w:tcPr>
            <w:tcW w:type="dxa" w:w="1900"/>
            <w:shd w:fill="FFFFFF" w:color="auto" w:val="clear"/>
            <w:tcMar>
              <w:top w:type="dxa" w:w="40"/>
              <w:left w:type="dxa" w:w="70"/>
              <w:bottom w:type="dxa" w:w="40"/>
              <w:right w:type="dxa" w:w="70"/>
            </w:tcMar>
          </w:tcPr>
          <w:p>
            <w:pPr>
              <w:spacing w:after="0"/>
            </w:pPr>
            <w:r>
              <w:rPr>
                <w:sz w:val="17"/>
                <w:szCs w:val="17"/>
              </w:rPr>
              <w:t xml:space="preserve">Burgundy-New</w:t>
            </w:r>
          </w:p>
        </w:tc>
        <w:tc>
          <w:tcPr>
            <w:tcW w:type="dxa" w:w="2972"/>
            <w:shd w:fill="FFFFFF" w:color="auto" w:val="clear"/>
            <w:tcMar>
              <w:top w:type="dxa" w:w="40"/>
              <w:left w:type="dxa" w:w="70"/>
              <w:bottom w:type="dxa" w:w="40"/>
              <w:right w:type="dxa" w:w="70"/>
            </w:tcMar>
          </w:tcPr>
          <w:p>
            <w:pPr>
              <w:spacing w:after="0"/>
            </w:pPr>
            <w:r>
              <w:rPr>
                <w:sz w:val="17"/>
                <w:szCs w:val="17"/>
              </w:rPr>
              <w:t xml:space="preserve">Navy Blue (16 units, 80 days) until the transfer lands</w:t>
            </w:r>
          </w:p>
        </w:tc>
      </w:tr>
    </w:tbl>
    <w:p>
      <w:pPr>
        <w:spacing w:after="120"/>
      </w:pPr>
      <w:r>
        <w:rPr>
          <w:i/>
          <w:iCs/>
          <w:color w:val="555555"/>
          <w:sz w:val="17"/>
          <w:szCs w:val="17"/>
        </w:rPr>
        <w:t xml:space="preserve">Sellerboard, 30-day units by colour and stock on 28 September.</w:t>
      </w:r>
    </w:p>
    <w:p>
      <w:pPr>
        <w:pStyle w:val="ListParagraph"/>
        <w:numPr>
          <w:ilvl w:val="0"/>
          <w:numId w:val="4"/>
        </w:numPr>
        <w:spacing w:after="60"/>
      </w:pPr>
      <w:r>
        <w:rPr>
          <w:b/>
          <w:bCs/>
        </w:rPr>
        <w:t xml:space="preserve">Why Queen moves off White for now: </w:t>
      </w:r>
      <w:r>
        <w:t xml:space="preserve">Queen White is the size’s best seller and sells mostly without ads (only 13 of its 109 units came from its own ads). Its stock covers 15 days against a 27 October arrival. Pushing it through ads would drain stock it needs, so Light Blue carries Queen until White lands.</w:t>
      </w:r>
    </w:p>
    <w:p>
      <w:pPr>
        <w:pStyle w:val="ListParagraph"/>
        <w:numPr>
          <w:ilvl w:val="0"/>
          <w:numId w:val="4"/>
        </w:numPr>
        <w:spacing w:after="60"/>
      </w:pPr>
      <w:r>
        <w:rPr>
          <w:b/>
          <w:bCs/>
        </w:rPr>
        <w:t xml:space="preserve">Why the audit’s picks are wrong: </w:t>
      </w:r>
      <w:r>
        <w:t xml:space="preserve">Full Light Olive and Twin Burgundy are among the slowest sellers in their sizes (261 and 665 days of stock), which makes them clearance colours, not ranking colours. California King White still sells and has about a month of cover.</w:t>
      </w:r>
    </w:p>
    <w:p>
      <w:pPr>
        <w:pStyle w:val="ListParagraph"/>
        <w:numPr>
          <w:ilvl w:val="0"/>
          <w:numId w:val="4"/>
        </w:numPr>
        <w:spacing w:after="60"/>
      </w:pPr>
      <w:r>
        <w:rPr>
          <w:b/>
          <w:bCs/>
        </w:rPr>
        <w:t xml:space="preserve">Discovery campaigns (auto, broad, phrase) advertise the clearance colour, never White: </w:t>
      </w:r>
      <w:r>
        <w:t xml:space="preserve">Queen Light Olive, California King Grey, Full Light Blue and Twin Burgundy-New. King has no clearance colour today, so use any colour other than White. 8 discovery campaigns advertise the wrong colour, most of them White.</w:t>
      </w:r>
    </w:p>
    <w:p>
      <w:pPr>
        <w:pStyle w:val="ListParagraph"/>
        <w:numPr>
          <w:ilvl w:val="0"/>
          <w:numId w:val="4"/>
        </w:numPr>
        <w:spacing w:after="60"/>
      </w:pPr>
      <w:r>
        <w:rPr>
          <w:b/>
          <w:bCs/>
        </w:rPr>
        <w:t xml:space="preserve">Names must match the colour advertised. </w:t>
      </w:r>
      <w:r>
        <w:t xml:space="preserve">17 renames write “KING-CREME” into campaign names while the ad stays on King White. Two swaps also move a King and a Queen campaign to another size without renaming them.</w:t>
      </w:r>
    </w:p>
    <w:p>
      <w:pPr>
        <w:pStyle w:val="ListParagraph"/>
        <w:numPr>
          <w:ilvl w:val="0"/>
          <w:numId w:val="4"/>
        </w:numPr>
        <w:spacing w:after="60"/>
      </w:pPr>
      <w:r>
        <w:rPr>
          <w:b/>
          <w:bCs/>
        </w:rPr>
        <w:t xml:space="preserve">The competitor-targeting test </w:t>
      </w:r>
      <w:r>
        <w:t xml:space="preserve">($47.64 a day) advertises Queen White. Move it to Queen Light Blue and match each competitor page by size.</w:t>
      </w:r>
    </w:p>
    <w:p>
      <w:pPr>
        <w:spacing w:after="100"/>
      </w:pPr>
      <w:r>
        <w:t xml:space="preserve">94 ranking campaigns advertise a colour other than their size’s ranking colour. The upload tool skips every colour switch, so they have to be made by hand. Date the switch back to White for each arrival (Section 4).</w:t>
      </w:r>
    </w:p>
    <w:p>
      <w:pPr>
        <w:pStyle w:val="Heading1"/>
      </w:pPr>
      <w:r>
        <w:t xml:space="preserve">8. Campaigns advertising stock that can’t sell, or not serving at all</w:t>
      </w:r>
    </w:p>
    <w:p>
      <w:pPr>
        <w:spacing w:after="100"/>
      </w:pPr>
      <w:r>
        <w:t xml:space="preserve">Ads can only sell Available units. Under 5 days of Available stock, pause ranking and aggressive top-of-search campaigns until the stock arrives; with 7 or more days, run normally. The audit keeps six campaigns spending on colours customers can’t buy today, for example Full White (0 Available) and Twin White (0 Available, 154 in transfer). Move them to the size’s ranking colour, and back once White is Available.</w:t>
      </w:r>
    </w:p>
    <w:p>
      <w:pPr>
        <w:spacing w:after="100"/>
      </w:pPr>
      <w:r>
        <w:t xml:space="preserve">Three focus campaigns with good records spent nothing in the last 14 days:</w:t>
      </w:r>
    </w:p>
    <w:p>
      <w:pPr>
        <w:pStyle w:val="ListParagraph"/>
        <w:numPr>
          <w:ilvl w:val="0"/>
          <w:numId w:val="4"/>
        </w:numPr>
        <w:spacing w:after="60"/>
      </w:pPr>
      <w:r>
        <w:t xml:space="preserve">Bamboo Cooling Sheets King Size: 238 clicks and 29 orders in 90 days.</w:t>
      </w:r>
    </w:p>
    <w:p>
      <w:pPr>
        <w:pStyle w:val="ListParagraph"/>
        <w:numPr>
          <w:ilvl w:val="0"/>
          <w:numId w:val="4"/>
        </w:numPr>
        <w:spacing w:after="60"/>
      </w:pPr>
      <w:r>
        <w:t xml:space="preserve">Cal King Bamboo Sheets: 58 clicks and 7 orders.</w:t>
      </w:r>
    </w:p>
    <w:p>
      <w:pPr>
        <w:pStyle w:val="ListParagraph"/>
        <w:numPr>
          <w:ilvl w:val="0"/>
          <w:numId w:val="4"/>
        </w:numPr>
        <w:spacing w:after="60"/>
      </w:pPr>
      <w:r>
        <w:t xml:space="preserve">Cooling Bamboo Sheets Queen Size: 54 clicks and 7 orders, and no top-of-search showings at all.</w:t>
      </w:r>
    </w:p>
    <w:p>
      <w:pPr>
        <w:spacing w:after="100"/>
      </w:pPr>
      <w:r>
        <w:t xml:space="preserve">The audit raises their price, and on one it cuts the base bid, which makes a quiet campaign quieter. It also predicts one will jump from 0 to 32 top-of-search clicks a week on a $9.94 budget. All three use down-only bidding.</w:t>
      </w:r>
    </w:p>
    <w:p>
      <w:pPr>
        <w:spacing w:after="100"/>
      </w:pPr>
      <w:r>
        <w:rPr>
          <w:b/>
          <w:bCs/>
          <w:color w:val="1F3A5F"/>
        </w:rPr>
        <w:t xml:space="preserve">Correction. </w:t>
      </w:r>
      <w:r>
        <w:t xml:space="preserve">Keep the base bid and check that each ad is live and on the right colour. Switch to fixed bidding at the break-even price so Amazon can’t hold the price down. Drop their forecasts and budget increases: a campaign that spends nothing is not short of budget. Once a campaign serves, it gets its push step like any other focus term.</w:t>
      </w:r>
    </w:p>
    <w:p>
      <w:pPr>
        <w:pStyle w:val="Heading1"/>
      </w:pPr>
      <w:r>
        <w:t xml:space="preserve">9. Where the clicks land</w:t>
      </w:r>
    </w:p>
    <w:p>
      <w:pPr>
        <w:spacing w:after="100"/>
      </w:pPr>
      <w:r>
        <w:t xml:space="preserve">27 ranking campaigns take under 30% of their clicks at top of search, and 33 more lose over 20% to product pages. In the deal, product pages took as many clicks as top of search; those clicks cost money and buy almost no rank. Five campaigns also carry a rest-of-search boost they haven’t earned: it should stay at 0% until that placement converts on 15 or more clicks. Examples: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500"/>
        <w:gridCol w:w="1900"/>
        <w:gridCol w:w="1872"/>
      </w:tblGrid>
      <w:tr>
        <w:trPr>
          <w:tblHeader/>
        </w:trPr>
        <w:tc>
          <w:tcPr>
            <w:tcW w:type="dxa" w:w="3600"/>
            <w:shd w:fill="1F3A5F" w:color="auto" w:val="clear"/>
            <w:tcMar>
              <w:top w:type="dxa" w:w="40"/>
              <w:left w:type="dxa" w:w="70"/>
              <w:bottom w:type="dxa" w:w="40"/>
              <w:right w:type="dxa" w:w="70"/>
            </w:tcMar>
          </w:tcPr>
          <w:p>
            <w:pPr>
              <w:spacing w:after="0"/>
            </w:pPr>
            <w:r>
              <w:rPr>
                <w:b/>
                <w:bCs/>
                <w:color w:val="FFFFFF"/>
                <w:sz w:val="17"/>
                <w:szCs w:val="17"/>
              </w:rPr>
              <w:t xml:space="preserve">Campaign</w:t>
            </w:r>
          </w:p>
        </w:tc>
        <w:tc>
          <w:tcPr>
            <w:tcW w:type="dxa" w:w="1100"/>
            <w:shd w:fill="1F3A5F" w:color="auto" w:val="clear"/>
            <w:tcMar>
              <w:top w:type="dxa" w:w="40"/>
              <w:left w:type="dxa" w:w="70"/>
              <w:bottom w:type="dxa" w:w="40"/>
              <w:right w:type="dxa" w:w="70"/>
            </w:tcMar>
          </w:tcPr>
          <w:p>
            <w:pPr>
              <w:spacing w:after="0"/>
            </w:pPr>
            <w:r>
              <w:rPr>
                <w:b/>
                <w:bCs/>
                <w:color w:val="FFFFFF"/>
                <w:sz w:val="17"/>
                <w:szCs w:val="17"/>
              </w:rPr>
              <w:t xml:space="preserve">Clicks (30 days)</w:t>
            </w:r>
          </w:p>
        </w:tc>
        <w:tc>
          <w:tcPr>
            <w:tcW w:type="dxa" w:w="1500"/>
            <w:shd w:fill="1F3A5F" w:color="auto" w:val="clear"/>
            <w:tcMar>
              <w:top w:type="dxa" w:w="40"/>
              <w:left w:type="dxa" w:w="70"/>
              <w:bottom w:type="dxa" w:w="40"/>
              <w:right w:type="dxa" w:w="70"/>
            </w:tcMar>
          </w:tcPr>
          <w:p>
            <w:pPr>
              <w:spacing w:after="0"/>
            </w:pPr>
            <w:r>
              <w:rPr>
                <w:b/>
                <w:bCs/>
                <w:color w:val="FFFFFF"/>
                <w:sz w:val="17"/>
                <w:szCs w:val="17"/>
              </w:rPr>
              <w:t xml:space="preserve">Top of search / product pages</w:t>
            </w:r>
          </w:p>
        </w:tc>
        <w:tc>
          <w:tcPr>
            <w:tcW w:type="dxa" w:w="1900"/>
            <w:shd w:fill="1F3A5F" w:color="auto" w:val="clear"/>
            <w:tcMar>
              <w:top w:type="dxa" w:w="40"/>
              <w:left w:type="dxa" w:w="70"/>
              <w:bottom w:type="dxa" w:w="40"/>
              <w:right w:type="dxa" w:w="70"/>
            </w:tcMar>
          </w:tcPr>
          <w:p>
            <w:pPr>
              <w:spacing w:after="0"/>
            </w:pPr>
            <w:r>
              <w:rPr>
                <w:b/>
                <w:bCs/>
                <w:color w:val="FFFFFF"/>
                <w:sz w:val="17"/>
                <w:szCs w:val="17"/>
              </w:rPr>
              <w:t xml:space="preserve">Base bid now → correct</w:t>
            </w:r>
          </w:p>
        </w:tc>
        <w:tc>
          <w:tcPr>
            <w:tcW w:type="dxa" w:w="1872"/>
            <w:shd w:fill="1F3A5F" w:color="auto" w:val="clear"/>
            <w:tcMar>
              <w:top w:type="dxa" w:w="40"/>
              <w:left w:type="dxa" w:w="70"/>
              <w:bottom w:type="dxa" w:w="40"/>
              <w:right w:type="dxa" w:w="70"/>
            </w:tcMar>
          </w:tcPr>
          <w:p>
            <w:pPr>
              <w:spacing w:after="0"/>
            </w:pPr>
            <w:r>
              <w:rPr>
                <w:b/>
                <w:bCs/>
                <w:color w:val="FFFFFF"/>
                <w:sz w:val="17"/>
                <w:szCs w:val="17"/>
              </w:rPr>
              <w:t xml:space="preserve">Top-of-search price now → correct</w:t>
            </w:r>
          </w:p>
        </w:tc>
      </w:tr>
      <w:tr>
        <w:tc>
          <w:tcPr>
            <w:tcW w:type="dxa" w:w="3600"/>
            <w:shd w:fill="FFFFFF" w:color="auto" w:val="clear"/>
            <w:tcMar>
              <w:top w:type="dxa" w:w="40"/>
              <w:left w:type="dxa" w:w="70"/>
              <w:bottom w:type="dxa" w:w="40"/>
              <w:right w:type="dxa" w:w="70"/>
            </w:tcMar>
          </w:tcPr>
          <w:p>
            <w:pPr>
              <w:spacing w:after="0"/>
            </w:pPr>
            <w:r>
              <w:rPr>
                <w:sz w:val="17"/>
                <w:szCs w:val="17"/>
              </w:rPr>
              <w:t xml:space="preserve">Bamboo Sheets King Size (HSV)</w:t>
            </w:r>
          </w:p>
        </w:tc>
        <w:tc>
          <w:tcPr>
            <w:tcW w:type="dxa" w:w="1100"/>
            <w:shd w:fill="FFFFFF" w:color="auto" w:val="clear"/>
            <w:tcMar>
              <w:top w:type="dxa" w:w="40"/>
              <w:left w:type="dxa" w:w="70"/>
              <w:bottom w:type="dxa" w:w="40"/>
              <w:right w:type="dxa" w:w="70"/>
            </w:tcMar>
          </w:tcPr>
          <w:p>
            <w:pPr>
              <w:spacing w:after="0"/>
            </w:pPr>
            <w:r>
              <w:rPr>
                <w:sz w:val="17"/>
                <w:szCs w:val="17"/>
              </w:rPr>
              <w:t xml:space="preserve">111</w:t>
            </w:r>
          </w:p>
        </w:tc>
        <w:tc>
          <w:tcPr>
            <w:tcW w:type="dxa" w:w="1500"/>
            <w:shd w:fill="FFFFFF" w:color="auto" w:val="clear"/>
            <w:tcMar>
              <w:top w:type="dxa" w:w="40"/>
              <w:left w:type="dxa" w:w="70"/>
              <w:bottom w:type="dxa" w:w="40"/>
              <w:right w:type="dxa" w:w="70"/>
            </w:tcMar>
          </w:tcPr>
          <w:p>
            <w:pPr>
              <w:spacing w:after="0"/>
            </w:pPr>
            <w:r>
              <w:rPr>
                <w:sz w:val="17"/>
                <w:szCs w:val="17"/>
              </w:rPr>
              <w:t xml:space="preserve">34% / 63%</w:t>
            </w:r>
          </w:p>
        </w:tc>
        <w:tc>
          <w:tcPr>
            <w:tcW w:type="dxa" w:w="1900"/>
            <w:shd w:fill="FFFFFF" w:color="auto" w:val="clear"/>
            <w:tcMar>
              <w:top w:type="dxa" w:w="40"/>
              <w:left w:type="dxa" w:w="70"/>
              <w:bottom w:type="dxa" w:w="40"/>
              <w:right w:type="dxa" w:w="70"/>
            </w:tcMar>
          </w:tcPr>
          <w:p>
            <w:pPr>
              <w:spacing w:after="0"/>
            </w:pPr>
            <w:r>
              <w:rPr>
                <w:sz w:val="17"/>
                <w:szCs w:val="17"/>
              </w:rPr>
              <w:t xml:space="preserve">$1.60 → $1.20</w:t>
            </w:r>
          </w:p>
        </w:tc>
        <w:tc>
          <w:tcPr>
            <w:tcW w:type="dxa" w:w="1872"/>
            <w:shd w:fill="FFFFFF" w:color="auto" w:val="clear"/>
            <w:tcMar>
              <w:top w:type="dxa" w:w="40"/>
              <w:left w:type="dxa" w:w="70"/>
              <w:bottom w:type="dxa" w:w="40"/>
              <w:right w:type="dxa" w:w="70"/>
            </w:tcMar>
          </w:tcPr>
          <w:p>
            <w:pPr>
              <w:spacing w:after="0"/>
            </w:pPr>
            <w:r>
              <w:rPr>
                <w:sz w:val="17"/>
                <w:szCs w:val="17"/>
              </w:rPr>
              <w:t xml:space="preserve">$4.96 → $2.75 until the mix is fixed</w:t>
            </w:r>
          </w:p>
        </w:tc>
      </w:tr>
      <w:tr>
        <w:tc>
          <w:tcPr>
            <w:tcW w:type="dxa" w:w="3600"/>
            <w:shd w:fill="F2F5F9" w:color="auto" w:val="clear"/>
            <w:tcMar>
              <w:top w:type="dxa" w:w="40"/>
              <w:left w:type="dxa" w:w="70"/>
              <w:bottom w:type="dxa" w:w="40"/>
              <w:right w:type="dxa" w:w="70"/>
            </w:tcMar>
          </w:tcPr>
          <w:p>
            <w:pPr>
              <w:spacing w:after="0"/>
            </w:pPr>
            <w:r>
              <w:rPr>
                <w:sz w:val="17"/>
                <w:szCs w:val="17"/>
              </w:rPr>
              <w:t xml:space="preserve">Cooling Sheets King (MSV)</w:t>
            </w:r>
          </w:p>
        </w:tc>
        <w:tc>
          <w:tcPr>
            <w:tcW w:type="dxa" w:w="1100"/>
            <w:shd w:fill="F2F5F9" w:color="auto" w:val="clear"/>
            <w:tcMar>
              <w:top w:type="dxa" w:w="40"/>
              <w:left w:type="dxa" w:w="70"/>
              <w:bottom w:type="dxa" w:w="40"/>
              <w:right w:type="dxa" w:w="70"/>
            </w:tcMar>
          </w:tcPr>
          <w:p>
            <w:pPr>
              <w:spacing w:after="0"/>
            </w:pPr>
            <w:r>
              <w:rPr>
                <w:sz w:val="17"/>
                <w:szCs w:val="17"/>
              </w:rPr>
              <w:t xml:space="preserve">34</w:t>
            </w:r>
          </w:p>
        </w:tc>
        <w:tc>
          <w:tcPr>
            <w:tcW w:type="dxa" w:w="1500"/>
            <w:shd w:fill="F2F5F9" w:color="auto" w:val="clear"/>
            <w:tcMar>
              <w:top w:type="dxa" w:w="40"/>
              <w:left w:type="dxa" w:w="70"/>
              <w:bottom w:type="dxa" w:w="40"/>
              <w:right w:type="dxa" w:w="70"/>
            </w:tcMar>
          </w:tcPr>
          <w:p>
            <w:pPr>
              <w:spacing w:after="0"/>
            </w:pPr>
            <w:r>
              <w:rPr>
                <w:sz w:val="17"/>
                <w:szCs w:val="17"/>
              </w:rPr>
              <w:t xml:space="preserve">41% / 50%</w:t>
            </w:r>
          </w:p>
        </w:tc>
        <w:tc>
          <w:tcPr>
            <w:tcW w:type="dxa" w:w="1900"/>
            <w:shd w:fill="F2F5F9" w:color="auto" w:val="clear"/>
            <w:tcMar>
              <w:top w:type="dxa" w:w="40"/>
              <w:left w:type="dxa" w:w="70"/>
              <w:bottom w:type="dxa" w:w="40"/>
              <w:right w:type="dxa" w:w="70"/>
            </w:tcMar>
          </w:tcPr>
          <w:p>
            <w:pPr>
              <w:spacing w:after="0"/>
            </w:pPr>
            <w:r>
              <w:rPr>
                <w:sz w:val="17"/>
                <w:szCs w:val="17"/>
              </w:rPr>
              <w:t xml:space="preserve">$2.53 → $1.90</w:t>
            </w:r>
          </w:p>
        </w:tc>
        <w:tc>
          <w:tcPr>
            <w:tcW w:type="dxa" w:w="1872"/>
            <w:shd w:fill="F2F5F9" w:color="auto" w:val="clear"/>
            <w:tcMar>
              <w:top w:type="dxa" w:w="40"/>
              <w:left w:type="dxa" w:w="70"/>
              <w:bottom w:type="dxa" w:w="40"/>
              <w:right w:type="dxa" w:w="70"/>
            </w:tcMar>
          </w:tcPr>
          <w:p>
            <w:pPr>
              <w:spacing w:after="0"/>
            </w:pPr>
            <w:r>
              <w:rPr>
                <w:sz w:val="17"/>
                <w:szCs w:val="17"/>
              </w:rPr>
              <w:t xml:space="preserve">$5.97 → $2.99</w:t>
            </w:r>
          </w:p>
        </w:tc>
      </w:tr>
      <w:tr>
        <w:tc>
          <w:tcPr>
            <w:tcW w:type="dxa" w:w="3600"/>
            <w:shd w:fill="FFFFFF" w:color="auto" w:val="clear"/>
            <w:tcMar>
              <w:top w:type="dxa" w:w="40"/>
              <w:left w:type="dxa" w:w="70"/>
              <w:bottom w:type="dxa" w:w="40"/>
              <w:right w:type="dxa" w:w="70"/>
            </w:tcMar>
          </w:tcPr>
          <w:p>
            <w:pPr>
              <w:spacing w:after="0"/>
            </w:pPr>
            <w:r>
              <w:rPr>
                <w:sz w:val="17"/>
                <w:szCs w:val="17"/>
              </w:rPr>
              <w:t xml:space="preserve">Decolure Bamboo Sheets (MSV)</w:t>
            </w:r>
          </w:p>
        </w:tc>
        <w:tc>
          <w:tcPr>
            <w:tcW w:type="dxa" w:w="1100"/>
            <w:shd w:fill="FFFFFF" w:color="auto" w:val="clear"/>
            <w:tcMar>
              <w:top w:type="dxa" w:w="40"/>
              <w:left w:type="dxa" w:w="70"/>
              <w:bottom w:type="dxa" w:w="40"/>
              <w:right w:type="dxa" w:w="70"/>
            </w:tcMar>
          </w:tcPr>
          <w:p>
            <w:pPr>
              <w:spacing w:after="0"/>
            </w:pPr>
            <w:r>
              <w:rPr>
                <w:sz w:val="17"/>
                <w:szCs w:val="17"/>
              </w:rPr>
              <w:t xml:space="preserve">100</w:t>
            </w:r>
          </w:p>
        </w:tc>
        <w:tc>
          <w:tcPr>
            <w:tcW w:type="dxa" w:w="1500"/>
            <w:shd w:fill="FFFFFF" w:color="auto" w:val="clear"/>
            <w:tcMar>
              <w:top w:type="dxa" w:w="40"/>
              <w:left w:type="dxa" w:w="70"/>
              <w:bottom w:type="dxa" w:w="40"/>
              <w:right w:type="dxa" w:w="70"/>
            </w:tcMar>
          </w:tcPr>
          <w:p>
            <w:pPr>
              <w:spacing w:after="0"/>
            </w:pPr>
            <w:r>
              <w:rPr>
                <w:sz w:val="17"/>
                <w:szCs w:val="17"/>
              </w:rPr>
              <w:t xml:space="preserve">57% / 42%</w:t>
            </w:r>
          </w:p>
        </w:tc>
        <w:tc>
          <w:tcPr>
            <w:tcW w:type="dxa" w:w="1900"/>
            <w:shd w:fill="FFFFFF" w:color="auto" w:val="clear"/>
            <w:tcMar>
              <w:top w:type="dxa" w:w="40"/>
              <w:left w:type="dxa" w:w="70"/>
              <w:bottom w:type="dxa" w:w="40"/>
              <w:right w:type="dxa" w:w="70"/>
            </w:tcMar>
          </w:tcPr>
          <w:p>
            <w:pPr>
              <w:spacing w:after="0"/>
            </w:pPr>
            <w:r>
              <w:rPr>
                <w:sz w:val="17"/>
                <w:szCs w:val="17"/>
              </w:rPr>
              <w:t xml:space="preserve">$2.21 → $1.66</w:t>
            </w:r>
          </w:p>
        </w:tc>
        <w:tc>
          <w:tcPr>
            <w:tcW w:type="dxa" w:w="1872"/>
            <w:shd w:fill="FFFFFF" w:color="auto" w:val="clear"/>
            <w:tcMar>
              <w:top w:type="dxa" w:w="40"/>
              <w:left w:type="dxa" w:w="70"/>
              <w:bottom w:type="dxa" w:w="40"/>
              <w:right w:type="dxa" w:w="70"/>
            </w:tcMar>
          </w:tcPr>
          <w:p>
            <w:pPr>
              <w:spacing w:after="0"/>
            </w:pPr>
            <w:r>
              <w:rPr>
                <w:sz w:val="17"/>
                <w:szCs w:val="17"/>
              </w:rPr>
              <w:t xml:space="preserve">$2.90 → $2.90</w:t>
            </w:r>
          </w:p>
        </w:tc>
      </w:tr>
      <w:tr>
        <w:tc>
          <w:tcPr>
            <w:tcW w:type="dxa" w:w="3600"/>
            <w:shd w:fill="F2F5F9" w:color="auto" w:val="clear"/>
            <w:tcMar>
              <w:top w:type="dxa" w:w="40"/>
              <w:left w:type="dxa" w:w="70"/>
              <w:bottom w:type="dxa" w:w="40"/>
              <w:right w:type="dxa" w:w="70"/>
            </w:tcMar>
          </w:tcPr>
          <w:p>
            <w:pPr>
              <w:spacing w:after="0"/>
            </w:pPr>
            <w:r>
              <w:rPr>
                <w:sz w:val="17"/>
                <w:szCs w:val="17"/>
              </w:rPr>
              <w:t xml:space="preserve">Full Size Sheets Bamboo (LSV)</w:t>
            </w:r>
          </w:p>
        </w:tc>
        <w:tc>
          <w:tcPr>
            <w:tcW w:type="dxa" w:w="1100"/>
            <w:shd w:fill="F2F5F9" w:color="auto" w:val="clear"/>
            <w:tcMar>
              <w:top w:type="dxa" w:w="40"/>
              <w:left w:type="dxa" w:w="70"/>
              <w:bottom w:type="dxa" w:w="40"/>
              <w:right w:type="dxa" w:w="70"/>
            </w:tcMar>
          </w:tcPr>
          <w:p>
            <w:pPr>
              <w:spacing w:after="0"/>
            </w:pPr>
            <w:r>
              <w:rPr>
                <w:sz w:val="17"/>
                <w:szCs w:val="17"/>
              </w:rPr>
              <w:t xml:space="preserve">26</w:t>
            </w:r>
          </w:p>
        </w:tc>
        <w:tc>
          <w:tcPr>
            <w:tcW w:type="dxa" w:w="1500"/>
            <w:shd w:fill="F2F5F9" w:color="auto" w:val="clear"/>
            <w:tcMar>
              <w:top w:type="dxa" w:w="40"/>
              <w:left w:type="dxa" w:w="70"/>
              <w:bottom w:type="dxa" w:w="40"/>
              <w:right w:type="dxa" w:w="70"/>
            </w:tcMar>
          </w:tcPr>
          <w:p>
            <w:pPr>
              <w:spacing w:after="0"/>
            </w:pPr>
            <w:r>
              <w:rPr>
                <w:sz w:val="17"/>
                <w:szCs w:val="17"/>
              </w:rPr>
              <w:t xml:space="preserve">73% / 27%</w:t>
            </w:r>
          </w:p>
        </w:tc>
        <w:tc>
          <w:tcPr>
            <w:tcW w:type="dxa" w:w="1900"/>
            <w:shd w:fill="F2F5F9" w:color="auto" w:val="clear"/>
            <w:tcMar>
              <w:top w:type="dxa" w:w="40"/>
              <w:left w:type="dxa" w:w="70"/>
              <w:bottom w:type="dxa" w:w="40"/>
              <w:right w:type="dxa" w:w="70"/>
            </w:tcMar>
          </w:tcPr>
          <w:p>
            <w:pPr>
              <w:spacing w:after="0"/>
            </w:pPr>
            <w:r>
              <w:rPr>
                <w:sz w:val="17"/>
                <w:szCs w:val="17"/>
              </w:rPr>
              <w:t xml:space="preserve">$2.40 → $1.36</w:t>
            </w:r>
          </w:p>
        </w:tc>
        <w:tc>
          <w:tcPr>
            <w:tcW w:type="dxa" w:w="1872"/>
            <w:shd w:fill="F2F5F9" w:color="auto" w:val="clear"/>
            <w:tcMar>
              <w:top w:type="dxa" w:w="40"/>
              <w:left w:type="dxa" w:w="70"/>
              <w:bottom w:type="dxa" w:w="40"/>
              <w:right w:type="dxa" w:w="70"/>
            </w:tcMar>
          </w:tcPr>
          <w:p>
            <w:pPr>
              <w:spacing w:after="0"/>
            </w:pPr>
            <w:r>
              <w:rPr>
                <w:sz w:val="17"/>
                <w:szCs w:val="17"/>
              </w:rPr>
              <w:t xml:space="preserve">$8.74 → $4.37</w:t>
            </w:r>
          </w:p>
        </w:tc>
      </w:tr>
    </w:tbl>
    <w:p>
      <w:pPr>
        <w:spacing w:after="40"/>
      </w:pPr>
    </w:p>
    <w:p>
      <w:pPr>
        <w:spacing w:after="100"/>
      </w:pPr>
      <w:r>
        <w:t xml:space="preserve">On four campaigns, the audit loads half of a base-and-boost change and holds the other half back, so the top-of-search price would rise 11–25% by accident. The two halves should load together or not at all.</w:t>
      </w:r>
    </w:p>
    <w:p>
      <w:pPr>
        <w:pStyle w:val="Heading1"/>
      </w:pPr>
      <w:r>
        <w:t xml:space="preserve">10. Campaign objectives</w:t>
      </w:r>
    </w:p>
    <w:p>
      <w:pPr>
        <w:spacing w:after="100"/>
      </w:pPr>
      <w:r>
        <w:t xml:space="preserve">The objective follows the targeting: exact = ranking, auto/broad/phrase = discovery (clearance campaigns keep their own), product targeting = conversions, and the brand term = defensive. The objective decides how a campaign is priced and judged. The audit gets it wrong in four ways:</w:t>
      </w:r>
    </w:p>
    <w:p>
      <w:pPr>
        <w:pStyle w:val="ListParagraph"/>
        <w:numPr>
          <w:ilvl w:val="0"/>
          <w:numId w:val="4"/>
        </w:numPr>
        <w:spacing w:after="60"/>
      </w:pPr>
      <w:r>
        <w:t xml:space="preserve">53 exact campaigns are tagged “conversions” and should be ranking; 18 of them are even named “(Ranking)”. The audit adds 19 more such tags.</w:t>
      </w:r>
    </w:p>
    <w:p>
      <w:pPr>
        <w:pStyle w:val="ListParagraph"/>
        <w:numPr>
          <w:ilvl w:val="0"/>
          <w:numId w:val="4"/>
        </w:numPr>
        <w:spacing w:after="60"/>
      </w:pPr>
      <w:r>
        <w:t xml:space="preserve">3 brand-term exact campaigns tagged ranking should be defensive: their job is to hold the brand shelf, not to climb.</w:t>
      </w:r>
    </w:p>
    <w:p>
      <w:pPr>
        <w:pStyle w:val="ListParagraph"/>
        <w:numPr>
          <w:ilvl w:val="0"/>
          <w:numId w:val="4"/>
        </w:numPr>
        <w:spacing w:after="60"/>
      </w:pPr>
      <w:r>
        <w:t xml:space="preserve">The broad “Cooling Sheets” campaign is tagged ranking and should be discovery: a broad campaign can’t own a term’s rank.</w:t>
      </w:r>
    </w:p>
    <w:p>
      <w:pPr>
        <w:pStyle w:val="ListParagraph"/>
        <w:numPr>
          <w:ilvl w:val="0"/>
          <w:numId w:val="4"/>
        </w:numPr>
        <w:spacing w:after="60"/>
      </w:pPr>
      <w:r>
        <w:t xml:space="preserve">Two product-targeting campaigns are tagged ranking and should be conversions.</w:t>
      </w:r>
    </w:p>
    <w:p>
      <w:pPr>
        <w:pStyle w:val="Heading1"/>
      </w:pPr>
      <w:r>
        <w:t xml:space="preserve">11. One owner per search term</w:t>
      </w:r>
    </w:p>
    <w:p>
      <w:pPr>
        <w:spacing w:after="100"/>
      </w:pPr>
      <w:r>
        <w:t xml:space="preserve">A ranking term earns rank credit only through the exact campaign that owns it. 26 ranking terms are also bought by broad or auto campaigns. The largest is a clearance broad campaign (advertising B4 Queen Olive). In 30 days it took 164 clicks on “bamboo sheets” ($409), plus clicks on most of the other ranking terms. Separately, 14 campaigns share an exact term with another active exact campaign.</w:t>
      </w:r>
    </w:p>
    <w:p>
      <w:pPr>
        <w:spacing w:after="100"/>
      </w:pPr>
      <w:r>
        <w:rPr>
          <w:b/>
          <w:bCs/>
          <w:color w:val="1F3A5F"/>
        </w:rPr>
        <w:t xml:space="preserve">Correction. </w:t>
      </w:r>
      <w:r>
        <w:t xml:space="preserve">Exclude every ranking term (negative exact) from the broad, auto and phrase campaigns that buy it, starting with the clearance broad. Keep one exact owner per term: the campaign on the ranking colour with the clicks. Pause the duplicate. Check that the audit’s exclusion changes on the three clearance campaigns add the ranking terms rather than remove them, and send those three to the clearance owner.</w:t>
      </w:r>
    </w:p>
    <w:p>
      <w:pPr>
        <w:pStyle w:val="Heading1"/>
      </w:pPr>
      <w:r>
        <w:t xml:space="preserve">12. Conversions, discovery and product-targeting campaigns</w:t>
      </w:r>
    </w:p>
    <w:p>
      <w:pPr>
        <w:spacing w:after="100"/>
      </w:pPr>
      <w:r>
        <w:t xml:space="preserve">These are judged on their own results against the 27.9% break-even. The audit cuts the top-of-search boost by 10% on 36 of them regardless of their results, and misses the ones that are actually over break-even. Examples: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400"/>
        <w:gridCol w:w="1800"/>
        <w:gridCol w:w="1972"/>
      </w:tblGrid>
      <w:tr>
        <w:trPr>
          <w:tblHeader/>
        </w:trPr>
        <w:tc>
          <w:tcPr>
            <w:tcW w:type="dxa" w:w="3300"/>
            <w:shd w:fill="1F3A5F" w:color="auto" w:val="clear"/>
            <w:tcMar>
              <w:top w:type="dxa" w:w="40"/>
              <w:left w:type="dxa" w:w="70"/>
              <w:bottom w:type="dxa" w:w="40"/>
              <w:right w:type="dxa" w:w="70"/>
            </w:tcMar>
          </w:tcPr>
          <w:p>
            <w:pPr>
              <w:spacing w:after="0"/>
            </w:pPr>
            <w:r>
              <w:rPr>
                <w:b/>
                <w:bCs/>
                <w:color w:val="FFFFFF"/>
                <w:sz w:val="17"/>
                <w:szCs w:val="17"/>
              </w:rPr>
              <w:t xml:space="preserve">Campaign</w:t>
            </w:r>
          </w:p>
        </w:tc>
        <w:tc>
          <w:tcPr>
            <w:tcW w:type="dxa" w:w="1500"/>
            <w:shd w:fill="1F3A5F" w:color="auto" w:val="clear"/>
            <w:tcMar>
              <w:top w:type="dxa" w:w="40"/>
              <w:left w:type="dxa" w:w="70"/>
              <w:bottom w:type="dxa" w:w="40"/>
              <w:right w:type="dxa" w:w="70"/>
            </w:tcMar>
          </w:tcPr>
          <w:p>
            <w:pPr>
              <w:spacing w:after="0"/>
            </w:pPr>
            <w:r>
              <w:rPr>
                <w:b/>
                <w:bCs/>
                <w:color w:val="FFFFFF"/>
                <w:sz w:val="17"/>
                <w:szCs w:val="17"/>
              </w:rPr>
              <w:t xml:space="preserve">Clicks / orders (30 days)</w:t>
            </w:r>
          </w:p>
        </w:tc>
        <w:tc>
          <w:tcPr>
            <w:tcW w:type="dxa" w:w="1400"/>
            <w:shd w:fill="1F3A5F" w:color="auto" w:val="clear"/>
            <w:tcMar>
              <w:top w:type="dxa" w:w="40"/>
              <w:left w:type="dxa" w:w="70"/>
              <w:bottom w:type="dxa" w:w="40"/>
              <w:right w:type="dxa" w:w="70"/>
            </w:tcMar>
          </w:tcPr>
          <w:p>
            <w:pPr>
              <w:spacing w:after="0"/>
            </w:pPr>
            <w:r>
              <w:rPr>
                <w:b/>
                <w:bCs/>
                <w:color w:val="FFFFFF"/>
                <w:sz w:val="17"/>
                <w:szCs w:val="17"/>
              </w:rPr>
              <w:t xml:space="preserve">ACoS 30 days (90 days)</w:t>
            </w:r>
          </w:p>
        </w:tc>
        <w:tc>
          <w:tcPr>
            <w:tcW w:type="dxa" w:w="1800"/>
            <w:shd w:fill="1F3A5F" w:color="auto" w:val="clear"/>
            <w:tcMar>
              <w:top w:type="dxa" w:w="40"/>
              <w:left w:type="dxa" w:w="70"/>
              <w:bottom w:type="dxa" w:w="40"/>
              <w:right w:type="dxa" w:w="70"/>
            </w:tcMar>
          </w:tcPr>
          <w:p>
            <w:pPr>
              <w:spacing w:after="0"/>
            </w:pPr>
            <w:r>
              <w:rPr>
                <w:b/>
                <w:bCs/>
                <w:color w:val="FFFFFF"/>
                <w:sz w:val="17"/>
                <w:szCs w:val="17"/>
              </w:rPr>
              <w:t xml:space="preserve">Audit</w:t>
            </w:r>
          </w:p>
        </w:tc>
        <w:tc>
          <w:tcPr>
            <w:tcW w:type="dxa" w:w="1972"/>
            <w:shd w:fill="1F3A5F" w:color="auto" w:val="clear"/>
            <w:tcMar>
              <w:top w:type="dxa" w:w="40"/>
              <w:left w:type="dxa" w:w="70"/>
              <w:bottom w:type="dxa" w:w="40"/>
              <w:right w:type="dxa" w:w="70"/>
            </w:tcMar>
          </w:tcPr>
          <w:p>
            <w:pPr>
              <w:spacing w:after="0"/>
            </w:pPr>
            <w:r>
              <w:rPr>
                <w:b/>
                <w:bCs/>
                <w:color w:val="FFFFFF"/>
                <w:sz w:val="17"/>
                <w:szCs w:val="17"/>
              </w:rPr>
              <w:t xml:space="preserve">Correct</w:t>
            </w:r>
          </w:p>
        </w:tc>
      </w:tr>
      <w:tr>
        <w:tc>
          <w:tcPr>
            <w:tcW w:type="dxa" w:w="3300"/>
            <w:shd w:fill="FFFFFF" w:color="auto" w:val="clear"/>
            <w:tcMar>
              <w:top w:type="dxa" w:w="40"/>
              <w:left w:type="dxa" w:w="70"/>
              <w:bottom w:type="dxa" w:w="40"/>
              <w:right w:type="dxa" w:w="70"/>
            </w:tcMar>
          </w:tcPr>
          <w:p>
            <w:pPr>
              <w:spacing w:after="0"/>
            </w:pPr>
            <w:r>
              <w:rPr>
                <w:sz w:val="17"/>
                <w:szCs w:val="17"/>
              </w:rPr>
              <w:t xml:space="preserve">Product targeting B08KQHRDDG</w:t>
            </w:r>
          </w:p>
        </w:tc>
        <w:tc>
          <w:tcPr>
            <w:tcW w:type="dxa" w:w="1500"/>
            <w:shd w:fill="FFFFFF" w:color="auto" w:val="clear"/>
            <w:tcMar>
              <w:top w:type="dxa" w:w="40"/>
              <w:left w:type="dxa" w:w="70"/>
              <w:bottom w:type="dxa" w:w="40"/>
              <w:right w:type="dxa" w:w="70"/>
            </w:tcMar>
          </w:tcPr>
          <w:p>
            <w:pPr>
              <w:spacing w:after="0"/>
            </w:pPr>
            <w:r>
              <w:rPr>
                <w:sz w:val="17"/>
                <w:szCs w:val="17"/>
              </w:rPr>
              <w:t xml:space="preserve">477 / 120</w:t>
            </w:r>
          </w:p>
        </w:tc>
        <w:tc>
          <w:tcPr>
            <w:tcW w:type="dxa" w:w="1400"/>
            <w:shd w:fill="FFFFFF" w:color="auto" w:val="clear"/>
            <w:tcMar>
              <w:top w:type="dxa" w:w="40"/>
              <w:left w:type="dxa" w:w="70"/>
              <w:bottom w:type="dxa" w:w="40"/>
              <w:right w:type="dxa" w:w="70"/>
            </w:tcMar>
          </w:tcPr>
          <w:p>
            <w:pPr>
              <w:spacing w:after="0"/>
            </w:pPr>
            <w:r>
              <w:rPr>
                <w:sz w:val="17"/>
                <w:szCs w:val="17"/>
              </w:rPr>
              <w:t xml:space="preserve">10% (10%)</w:t>
            </w:r>
          </w:p>
        </w:tc>
        <w:tc>
          <w:tcPr>
            <w:tcW w:type="dxa" w:w="1800"/>
            <w:shd w:fill="FFFFFF" w:color="auto" w:val="clear"/>
            <w:tcMar>
              <w:top w:type="dxa" w:w="40"/>
              <w:left w:type="dxa" w:w="70"/>
              <w:bottom w:type="dxa" w:w="40"/>
              <w:right w:type="dxa" w:w="70"/>
            </w:tcMar>
          </w:tcPr>
          <w:p>
            <w:pPr>
              <w:spacing w:after="0"/>
            </w:pPr>
            <w:r>
              <w:rPr>
                <w:sz w:val="17"/>
                <w:szCs w:val="17"/>
              </w:rPr>
              <w:t xml:space="preserve">boost 32% → 29%</w:t>
            </w:r>
          </w:p>
        </w:tc>
        <w:tc>
          <w:tcPr>
            <w:tcW w:type="dxa" w:w="1972"/>
            <w:shd w:fill="FFFFFF" w:color="auto" w:val="clear"/>
            <w:tcMar>
              <w:top w:type="dxa" w:w="40"/>
              <w:left w:type="dxa" w:w="70"/>
              <w:bottom w:type="dxa" w:w="40"/>
              <w:right w:type="dxa" w:w="70"/>
            </w:tcMar>
          </w:tcPr>
          <w:p>
            <w:pPr>
              <w:spacing w:after="0"/>
            </w:pPr>
            <w:r>
              <w:rPr>
                <w:sz w:val="17"/>
                <w:szCs w:val="17"/>
              </w:rPr>
              <w:t xml:space="preserve">No change: it is the most profitable campaign on the product</w:t>
            </w:r>
          </w:p>
        </w:tc>
      </w:tr>
      <w:tr>
        <w:tc>
          <w:tcPr>
            <w:tcW w:type="dxa" w:w="3300"/>
            <w:shd w:fill="F2F5F9" w:color="auto" w:val="clear"/>
            <w:tcMar>
              <w:top w:type="dxa" w:w="40"/>
              <w:left w:type="dxa" w:w="70"/>
              <w:bottom w:type="dxa" w:w="40"/>
              <w:right w:type="dxa" w:w="70"/>
            </w:tcMar>
          </w:tcPr>
          <w:p>
            <w:pPr>
              <w:spacing w:after="0"/>
            </w:pPr>
            <w:r>
              <w:rPr>
                <w:sz w:val="17"/>
                <w:szCs w:val="17"/>
              </w:rPr>
              <w:t xml:space="preserve">Broad “Bamboo Sheets” discovery</w:t>
            </w:r>
          </w:p>
        </w:tc>
        <w:tc>
          <w:tcPr>
            <w:tcW w:type="dxa" w:w="1500"/>
            <w:shd w:fill="F2F5F9" w:color="auto" w:val="clear"/>
            <w:tcMar>
              <w:top w:type="dxa" w:w="40"/>
              <w:left w:type="dxa" w:w="70"/>
              <w:bottom w:type="dxa" w:w="40"/>
              <w:right w:type="dxa" w:w="70"/>
            </w:tcMar>
          </w:tcPr>
          <w:p>
            <w:pPr>
              <w:spacing w:after="0"/>
            </w:pPr>
            <w:r>
              <w:rPr>
                <w:sz w:val="17"/>
                <w:szCs w:val="17"/>
              </w:rPr>
              <w:t xml:space="preserve">115 / 7</w:t>
            </w:r>
          </w:p>
        </w:tc>
        <w:tc>
          <w:tcPr>
            <w:tcW w:type="dxa" w:w="1400"/>
            <w:shd w:fill="F2F5F9" w:color="auto" w:val="clear"/>
            <w:tcMar>
              <w:top w:type="dxa" w:w="40"/>
              <w:left w:type="dxa" w:w="70"/>
              <w:bottom w:type="dxa" w:w="40"/>
              <w:right w:type="dxa" w:w="70"/>
            </w:tcMar>
          </w:tcPr>
          <w:p>
            <w:pPr>
              <w:spacing w:after="0"/>
            </w:pPr>
            <w:r>
              <w:rPr>
                <w:sz w:val="17"/>
                <w:szCs w:val="17"/>
              </w:rPr>
              <w:t xml:space="preserve">35% (27%)</w:t>
            </w:r>
          </w:p>
        </w:tc>
        <w:tc>
          <w:tcPr>
            <w:tcW w:type="dxa" w:w="1800"/>
            <w:shd w:fill="F2F5F9" w:color="auto" w:val="clear"/>
            <w:tcMar>
              <w:top w:type="dxa" w:w="40"/>
              <w:left w:type="dxa" w:w="70"/>
              <w:bottom w:type="dxa" w:w="40"/>
              <w:right w:type="dxa" w:w="70"/>
            </w:tcMar>
          </w:tcPr>
          <w:p>
            <w:pPr>
              <w:spacing w:after="0"/>
            </w:pPr>
            <w:r>
              <w:rPr>
                <w:sz w:val="17"/>
                <w:szCs w:val="17"/>
              </w:rPr>
              <w:t xml:space="preserve">boost 38% → 34%</w:t>
            </w:r>
          </w:p>
        </w:tc>
        <w:tc>
          <w:tcPr>
            <w:tcW w:type="dxa" w:w="1972"/>
            <w:shd w:fill="F2F5F9" w:color="auto" w:val="clear"/>
            <w:tcMar>
              <w:top w:type="dxa" w:w="40"/>
              <w:left w:type="dxa" w:w="70"/>
              <w:bottom w:type="dxa" w:w="40"/>
              <w:right w:type="dxa" w:w="70"/>
            </w:tcMar>
          </w:tcPr>
          <w:p>
            <w:pPr>
              <w:spacing w:after="0"/>
            </w:pPr>
            <w:r>
              <w:rPr>
                <w:sz w:val="17"/>
                <w:szCs w:val="17"/>
              </w:rPr>
              <w:t xml:space="preserve">Over break-even: base down 25% (break-even $1.09 a click)</w:t>
            </w:r>
          </w:p>
        </w:tc>
      </w:tr>
      <w:tr>
        <w:tc>
          <w:tcPr>
            <w:tcW w:type="dxa" w:w="3300"/>
            <w:shd w:fill="FFFFFF" w:color="auto" w:val="clear"/>
            <w:tcMar>
              <w:top w:type="dxa" w:w="40"/>
              <w:left w:type="dxa" w:w="70"/>
              <w:bottom w:type="dxa" w:w="40"/>
              <w:right w:type="dxa" w:w="70"/>
            </w:tcMar>
          </w:tcPr>
          <w:p>
            <w:pPr>
              <w:spacing w:after="0"/>
            </w:pPr>
            <w:r>
              <w:rPr>
                <w:sz w:val="17"/>
                <w:szCs w:val="17"/>
              </w:rPr>
              <w:t xml:space="preserve">Broad “Cooling Sheets”</w:t>
            </w:r>
          </w:p>
        </w:tc>
        <w:tc>
          <w:tcPr>
            <w:tcW w:type="dxa" w:w="1500"/>
            <w:shd w:fill="FFFFFF" w:color="auto" w:val="clear"/>
            <w:tcMar>
              <w:top w:type="dxa" w:w="40"/>
              <w:left w:type="dxa" w:w="70"/>
              <w:bottom w:type="dxa" w:w="40"/>
              <w:right w:type="dxa" w:w="70"/>
            </w:tcMar>
          </w:tcPr>
          <w:p>
            <w:pPr>
              <w:spacing w:after="0"/>
            </w:pPr>
            <w:r>
              <w:rPr>
                <w:sz w:val="17"/>
                <w:szCs w:val="17"/>
              </w:rPr>
              <w:t xml:space="preserve">274 / 30</w:t>
            </w:r>
          </w:p>
        </w:tc>
        <w:tc>
          <w:tcPr>
            <w:tcW w:type="dxa" w:w="1400"/>
            <w:shd w:fill="FFFFFF" w:color="auto" w:val="clear"/>
            <w:tcMar>
              <w:top w:type="dxa" w:w="40"/>
              <w:left w:type="dxa" w:w="70"/>
              <w:bottom w:type="dxa" w:w="40"/>
              <w:right w:type="dxa" w:w="70"/>
            </w:tcMar>
          </w:tcPr>
          <w:p>
            <w:pPr>
              <w:spacing w:after="0"/>
            </w:pPr>
            <w:r>
              <w:rPr>
                <w:sz w:val="17"/>
                <w:szCs w:val="17"/>
              </w:rPr>
              <w:t xml:space="preserve">34% (32%)</w:t>
            </w:r>
          </w:p>
        </w:tc>
        <w:tc>
          <w:tcPr>
            <w:tcW w:type="dxa" w:w="1800"/>
            <w:shd w:fill="FFFFFF" w:color="auto" w:val="clear"/>
            <w:tcMar>
              <w:top w:type="dxa" w:w="40"/>
              <w:left w:type="dxa" w:w="70"/>
              <w:bottom w:type="dxa" w:w="40"/>
              <w:right w:type="dxa" w:w="70"/>
            </w:tcMar>
          </w:tcPr>
          <w:p>
            <w:pPr>
              <w:spacing w:after="0"/>
            </w:pPr>
            <w:r>
              <w:rPr>
                <w:sz w:val="17"/>
                <w:szCs w:val="17"/>
              </w:rPr>
              <w:t xml:space="preserve">exclusions only</w:t>
            </w:r>
          </w:p>
        </w:tc>
        <w:tc>
          <w:tcPr>
            <w:tcW w:type="dxa" w:w="1972"/>
            <w:shd w:fill="FFFFFF" w:color="auto" w:val="clear"/>
            <w:tcMar>
              <w:top w:type="dxa" w:w="40"/>
              <w:left w:type="dxa" w:w="70"/>
              <w:bottom w:type="dxa" w:w="40"/>
              <w:right w:type="dxa" w:w="70"/>
            </w:tcMar>
          </w:tcPr>
          <w:p>
            <w:pPr>
              <w:spacing w:after="0"/>
            </w:pPr>
            <w:r>
              <w:rPr>
                <w:sz w:val="17"/>
                <w:szCs w:val="17"/>
              </w:rPr>
              <w:t xml:space="preserve">Over break-even: base down 25%; re-tag as discovery</w:t>
            </w:r>
          </w:p>
        </w:tc>
      </w:tr>
      <w:tr>
        <w:tc>
          <w:tcPr>
            <w:tcW w:type="dxa" w:w="3300"/>
            <w:shd w:fill="F2F5F9" w:color="auto" w:val="clear"/>
            <w:tcMar>
              <w:top w:type="dxa" w:w="40"/>
              <w:left w:type="dxa" w:w="70"/>
              <w:bottom w:type="dxa" w:w="40"/>
              <w:right w:type="dxa" w:w="70"/>
            </w:tcMar>
          </w:tcPr>
          <w:p>
            <w:pPr>
              <w:spacing w:after="0"/>
            </w:pPr>
            <w:r>
              <w:rPr>
                <w:sz w:val="17"/>
                <w:szCs w:val="17"/>
              </w:rPr>
              <w:t xml:space="preserve">Broad “King Sheets Bamboo” discovery</w:t>
            </w:r>
          </w:p>
        </w:tc>
        <w:tc>
          <w:tcPr>
            <w:tcW w:type="dxa" w:w="1500"/>
            <w:shd w:fill="F2F5F9" w:color="auto" w:val="clear"/>
            <w:tcMar>
              <w:top w:type="dxa" w:w="40"/>
              <w:left w:type="dxa" w:w="70"/>
              <w:bottom w:type="dxa" w:w="40"/>
              <w:right w:type="dxa" w:w="70"/>
            </w:tcMar>
          </w:tcPr>
          <w:p>
            <w:pPr>
              <w:spacing w:after="0"/>
            </w:pPr>
            <w:r>
              <w:rPr>
                <w:sz w:val="17"/>
                <w:szCs w:val="17"/>
              </w:rPr>
              <w:t xml:space="preserve">83 / 6</w:t>
            </w:r>
          </w:p>
        </w:tc>
        <w:tc>
          <w:tcPr>
            <w:tcW w:type="dxa" w:w="1400"/>
            <w:shd w:fill="F2F5F9" w:color="auto" w:val="clear"/>
            <w:tcMar>
              <w:top w:type="dxa" w:w="40"/>
              <w:left w:type="dxa" w:w="70"/>
              <w:bottom w:type="dxa" w:w="40"/>
              <w:right w:type="dxa" w:w="70"/>
            </w:tcMar>
          </w:tcPr>
          <w:p>
            <w:pPr>
              <w:spacing w:after="0"/>
            </w:pPr>
            <w:r>
              <w:rPr>
                <w:sz w:val="17"/>
                <w:szCs w:val="17"/>
              </w:rPr>
              <w:t xml:space="preserve">28% (34%)</w:t>
            </w:r>
          </w:p>
        </w:tc>
        <w:tc>
          <w:tcPr>
            <w:tcW w:type="dxa" w:w="1800"/>
            <w:shd w:fill="F2F5F9" w:color="auto" w:val="clear"/>
            <w:tcMar>
              <w:top w:type="dxa" w:w="40"/>
              <w:left w:type="dxa" w:w="70"/>
              <w:bottom w:type="dxa" w:w="40"/>
              <w:right w:type="dxa" w:w="70"/>
            </w:tcMar>
          </w:tcPr>
          <w:p>
            <w:pPr>
              <w:spacing w:after="0"/>
            </w:pPr>
            <w:r>
              <w:rPr>
                <w:sz w:val="17"/>
                <w:szCs w:val="17"/>
              </w:rPr>
              <w:t xml:space="preserve">bids −10%</w:t>
            </w:r>
          </w:p>
        </w:tc>
        <w:tc>
          <w:tcPr>
            <w:tcW w:type="dxa" w:w="1972"/>
            <w:shd w:fill="F2F5F9" w:color="auto" w:val="clear"/>
            <w:tcMar>
              <w:top w:type="dxa" w:w="40"/>
              <w:left w:type="dxa" w:w="70"/>
              <w:bottom w:type="dxa" w:w="40"/>
              <w:right w:type="dxa" w:w="70"/>
            </w:tcMar>
          </w:tcPr>
          <w:p>
            <w:pPr>
              <w:spacing w:after="0"/>
            </w:pPr>
            <w:r>
              <w:rPr>
                <w:sz w:val="17"/>
                <w:szCs w:val="17"/>
              </w:rPr>
              <w:t xml:space="preserve">No change: inside break-even on 30 days</w:t>
            </w:r>
          </w:p>
        </w:tc>
      </w:tr>
      <w:tr>
        <w:tc>
          <w:tcPr>
            <w:tcW w:type="dxa" w:w="3300"/>
            <w:shd w:fill="FFFFFF" w:color="auto" w:val="clear"/>
            <w:tcMar>
              <w:top w:type="dxa" w:w="40"/>
              <w:left w:type="dxa" w:w="70"/>
              <w:bottom w:type="dxa" w:w="40"/>
              <w:right w:type="dxa" w:w="70"/>
            </w:tcMar>
          </w:tcPr>
          <w:p>
            <w:pPr>
              <w:spacing w:after="0"/>
            </w:pPr>
            <w:r>
              <w:rPr>
                <w:sz w:val="17"/>
                <w:szCs w:val="17"/>
              </w:rPr>
              <w:t xml:space="preserve">23 campaigns with under 15 clicks in 90 days</w:t>
            </w:r>
          </w:p>
        </w:tc>
        <w:tc>
          <w:tcPr>
            <w:tcW w:type="dxa" w:w="1500"/>
            <w:shd w:fill="FFFFFF" w:color="auto" w:val="clear"/>
            <w:tcMar>
              <w:top w:type="dxa" w:w="40"/>
              <w:left w:type="dxa" w:w="70"/>
              <w:bottom w:type="dxa" w:w="40"/>
              <w:right w:type="dxa" w:w="70"/>
            </w:tcMar>
          </w:tcPr>
          <w:p>
            <w:pPr>
              <w:spacing w:after="0"/>
            </w:pPr>
            <w:r>
              <w:rPr>
                <w:sz w:val="17"/>
                <w:szCs w:val="17"/>
              </w:rPr>
              <w:t xml:space="preserve">—</w:t>
            </w:r>
          </w:p>
        </w:tc>
        <w:tc>
          <w:tcPr>
            <w:tcW w:type="dxa" w:w="1400"/>
            <w:shd w:fill="FFFFFF" w:color="auto" w:val="clear"/>
            <w:tcMar>
              <w:top w:type="dxa" w:w="40"/>
              <w:left w:type="dxa" w:w="70"/>
              <w:bottom w:type="dxa" w:w="40"/>
              <w:right w:type="dxa" w:w="70"/>
            </w:tcMar>
          </w:tcPr>
          <w:p>
            <w:pPr>
              <w:spacing w:after="0"/>
            </w:pPr>
            <w:r>
              <w:rPr>
                <w:sz w:val="17"/>
                <w:szCs w:val="17"/>
              </w:rPr>
              <w:t xml:space="preserve">—</w:t>
            </w:r>
          </w:p>
        </w:tc>
        <w:tc>
          <w:tcPr>
            <w:tcW w:type="dxa" w:w="1800"/>
            <w:shd w:fill="FFFFFF" w:color="auto" w:val="clear"/>
            <w:tcMar>
              <w:top w:type="dxa" w:w="40"/>
              <w:left w:type="dxa" w:w="70"/>
              <w:bottom w:type="dxa" w:w="40"/>
              <w:right w:type="dxa" w:w="70"/>
            </w:tcMar>
          </w:tcPr>
          <w:p>
            <w:pPr>
              <w:spacing w:after="0"/>
            </w:pPr>
            <w:r>
              <w:rPr>
                <w:sz w:val="17"/>
                <w:szCs w:val="17"/>
              </w:rPr>
              <w:t xml:space="preserve">boost −10% each</w:t>
            </w:r>
          </w:p>
        </w:tc>
        <w:tc>
          <w:tcPr>
            <w:tcW w:type="dxa" w:w="1972"/>
            <w:shd w:fill="FFFFFF" w:color="auto" w:val="clear"/>
            <w:tcMar>
              <w:top w:type="dxa" w:w="40"/>
              <w:left w:type="dxa" w:w="70"/>
              <w:bottom w:type="dxa" w:w="40"/>
              <w:right w:type="dxa" w:w="70"/>
            </w:tcMar>
          </w:tcPr>
          <w:p>
            <w:pPr>
              <w:spacing w:after="0"/>
            </w:pPr>
            <w:r>
              <w:rPr>
                <w:sz w:val="17"/>
                <w:szCs w:val="17"/>
              </w:rPr>
              <w:t xml:space="preserve">No change: too little data to judge</w:t>
            </w:r>
          </w:p>
        </w:tc>
      </w:tr>
    </w:tbl>
    <w:p>
      <w:pPr>
        <w:spacing w:after="40"/>
      </w:pPr>
    </w:p>
    <w:p>
      <w:pPr>
        <w:spacing w:after="100"/>
      </w:pPr>
      <w:r>
        <w:t xml:space="preserve">The audit also uses two break-even figures (33.3% and 34.4%). Both are above the real 27.9%.</w:t>
      </w:r>
    </w:p>
    <w:p>
      <w:pPr>
        <w:pStyle w:val="Heading1"/>
      </w:pPr>
      <w:r>
        <w:t xml:space="preserve">13. Required clicks and the forecast</w:t>
      </w:r>
    </w:p>
    <w:p>
      <w:pPr>
        <w:spacing w:after="100"/>
      </w:pPr>
      <w:r>
        <w:t xml:space="preserve">Required top-of-search clicks = what the market sells at the target rank ÷ the campaign’s conversion rate. They set each push’s volume and budget, never its price. Two corrections:</w:t>
      </w:r>
    </w:p>
    <w:p>
      <w:pPr>
        <w:pStyle w:val="ListParagraph"/>
        <w:numPr>
          <w:ilvl w:val="0"/>
          <w:numId w:val="4"/>
        </w:numPr>
        <w:spacing w:after="60"/>
      </w:pPr>
      <w:r>
        <w:rPr>
          <w:b/>
          <w:bCs/>
        </w:rPr>
        <w:t xml:space="preserve">Count only units the term doesn’t already sell, and check the total against the product. </w:t>
      </w:r>
      <w:r>
        <w:t xml:space="preserve">This product’s terms add up to 142 units a day against 72 actually sold, so every requirement is scaled down by half.</w:t>
      </w:r>
    </w:p>
    <w:p>
      <w:pPr>
        <w:pStyle w:val="ListParagraph"/>
        <w:numPr>
          <w:ilvl w:val="0"/>
          <w:numId w:val="4"/>
        </w:numPr>
        <w:spacing w:after="60"/>
      </w:pPr>
      <w:r>
        <w:rPr>
          <w:b/>
          <w:bCs/>
        </w:rPr>
        <w:t xml:space="preserve">Check the auction can supply the clicks. </w:t>
      </w:r>
      <w:r>
        <w:t xml:space="preserve">Where winning every auction at today’s volume still falls short, the requirement is above what the auction holds. Judge those campaigns on impression share and rank, not on a click count; 28 campaigns are in this position. The audit often uses a flat 40 clicks a week per campaign instead.</w:t>
      </w:r>
    </w:p>
    <w:p>
      <w:pPr>
        <w:spacing w:after="100"/>
      </w:pPr>
      <w:r>
        <w:t xml:space="preserve">The audit’s forecast promises top-of-search clicks on the changed campaigns going from 19.8 to 221.9 a week, which fails both checks:</w:t>
      </w:r>
    </w:p>
    <w:p>
      <w:pPr>
        <w:pStyle w:val="ListParagraph"/>
        <w:numPr>
          <w:ilvl w:val="0"/>
          <w:numId w:val="4"/>
        </w:numPr>
        <w:spacing w:after="60"/>
      </w:pPr>
      <w:r>
        <w:t xml:space="preserve">91 of the extra clicks come from three campaigns priced above their own budgets, including one with no top-of-search showings in 90 days.</w:t>
      </w:r>
    </w:p>
    <w:p>
      <w:pPr>
        <w:pStyle w:val="ListParagraph"/>
        <w:numPr>
          <w:ilvl w:val="0"/>
          <w:numId w:val="4"/>
        </w:numPr>
        <w:spacing w:after="60"/>
      </w:pPr>
      <w:r>
        <w:t xml:space="preserve">90 come from six campaigns expected to go from almost nothing to 15 clicks a week each.</w:t>
      </w:r>
    </w:p>
    <w:p>
      <w:pPr>
        <w:pStyle w:val="ListParagraph"/>
        <w:numPr>
          <w:ilvl w:val="0"/>
          <w:numId w:val="4"/>
        </w:numPr>
        <w:spacing w:after="60"/>
      </w:pPr>
      <w:r>
        <w:t xml:space="preserve">Only about 16 come from the focus terms.</w:t>
      </w:r>
    </w:p>
    <w:p>
      <w:pPr>
        <w:spacing w:after="100"/>
      </w:pPr>
      <w:r>
        <w:t xml:space="preserve">About 20–30 extra a week is realistic from the audit’s own changes. Its spend baseline is 14 deal days, so it also overstates normal-week spend and sales. Rebuild the forecast on the corrected push and the pre-deal baseline.</w:t>
      </w:r>
    </w:p>
    <w:p>
      <w:pPr>
        <w:pStyle w:val="Heading1"/>
      </w:pPr>
      <w:r>
        <w:t xml:space="preserve">14. Rank drops</w:t>
      </w:r>
    </w:p>
    <w:p>
      <w:pPr>
        <w:spacing w:after="100"/>
      </w:pPr>
      <w:r>
        <w:t xml:space="preserve">A keyword that falls more than 10 positions while still getting clicks has a cause other than price. Never answer it with more spend: check our listing first, then the competitor now ahead, then whether the drop is category-wide. The audit freezes seven campaigns that fell 31–87 positions but names no causes. Several are already visible:</w:t>
      </w:r>
    </w:p>
    <w:p>
      <w:pPr>
        <w:pStyle w:val="ListParagraph"/>
        <w:numPr>
          <w:ilvl w:val="0"/>
          <w:numId w:val="4"/>
        </w:numPr>
        <w:spacing w:after="60"/>
      </w:pPr>
      <w:r>
        <w:t xml:space="preserve">“bamboo sheets twin” (21 → 52): Twin White is at 0 Available. Move the ad to Navy Blue, not the Burgundy the audit picks.</w:t>
      </w:r>
    </w:p>
    <w:p>
      <w:pPr>
        <w:pStyle w:val="ListParagraph"/>
        <w:numPr>
          <w:ilvl w:val="0"/>
          <w:numId w:val="4"/>
        </w:numPr>
        <w:spacing w:after="60"/>
      </w:pPr>
      <w:r>
        <w:t xml:space="preserve">Two cooling Full-size keywords (about 47 → 130): Full White is out of stock too. Move them to Full Olive.</w:t>
      </w:r>
    </w:p>
    <w:p>
      <w:pPr>
        <w:spacing w:after="100"/>
      </w:pPr>
      <w:r>
        <w:t xml:space="preserve">Several focus keywords also fell more than 10 places with no cause named: “bamboo sheets california king” (4 → 16), “bamboo cooling sheets queen” (23 → 52) and “bamboo sheets cal king” (23 → 39). Find each cause before any price moves.</w:t>
      </w:r>
    </w:p>
    <w:p>
      <w:pPr>
        <w:pStyle w:val="Heading1"/>
      </w:pPr>
      <w:r>
        <w:t xml:space="preserve">15. Changes that shouldn’t load as written</w:t>
      </w:r>
    </w:p>
    <w:p>
      <w:pPr>
        <w:pStyle w:val="ListParagraph"/>
        <w:numPr>
          <w:ilvl w:val="0"/>
          <w:numId w:val="4"/>
        </w:numPr>
        <w:spacing w:after="60"/>
      </w:pPr>
      <w:r>
        <w:rPr>
          <w:b/>
          <w:bCs/>
        </w:rPr>
        <w:t xml:space="preserve">About 40 changes the engine itself marked “don’t change” </w:t>
      </w:r>
      <w:r>
        <w:t xml:space="preserve">but still exported, for example the six bid cuts on product-targeting campaign B0CH885XPG. The audit’s own review passed almost all of them.</w:t>
      </w:r>
    </w:p>
    <w:p>
      <w:pPr>
        <w:pStyle w:val="ListParagraph"/>
        <w:numPr>
          <w:ilvl w:val="0"/>
          <w:numId w:val="4"/>
        </w:numPr>
        <w:spacing w:after="60"/>
      </w:pPr>
      <w:r>
        <w:rPr>
          <w:b/>
          <w:bCs/>
        </w:rPr>
        <w:t xml:space="preserve">17 changes on campaigns that are already paused, and 11 exact duplicates. </w:t>
      </w:r>
      <w:r>
        <w:t xml:space="preserve">The forecast counts their savings twice.</w:t>
      </w:r>
    </w:p>
    <w:p>
      <w:pPr>
        <w:pStyle w:val="ListParagraph"/>
        <w:numPr>
          <w:ilvl w:val="0"/>
          <w:numId w:val="4"/>
        </w:numPr>
        <w:spacing w:after="60"/>
      </w:pPr>
      <w:r>
        <w:rPr>
          <w:b/>
          <w:bCs/>
        </w:rPr>
        <w:t xml:space="preserve">Budget increases blocked by an engine error </w:t>
      </w:r>
      <w:r>
        <w:t xml:space="preserve">(they carry no forecast) while the matching price change went through. Budgets should follow the required clicks at the new price.</w:t>
      </w:r>
    </w:p>
    <w:p>
      <w:pPr>
        <w:pStyle w:val="ListParagraph"/>
        <w:numPr>
          <w:ilvl w:val="0"/>
          <w:numId w:val="4"/>
        </w:numPr>
        <w:spacing w:after="60"/>
      </w:pPr>
      <w:r>
        <w:rPr>
          <w:b/>
          <w:bCs/>
        </w:rPr>
        <w:t xml:space="preserve">21 changes on 14 campaigns missing from the audit’s own campaign list. </w:t>
      </w:r>
      <w:r>
        <w:t xml:space="preserve">Hold every raise on them until each campaign’s status, colour and keywords are confirmed; the cuts can stand.</w:t>
      </w:r>
    </w:p>
    <w:p>
      <w:pPr>
        <w:pStyle w:val="ListParagraph"/>
        <w:numPr>
          <w:ilvl w:val="0"/>
          <w:numId w:val="4"/>
        </w:numPr>
        <w:spacing w:after="60"/>
      </w:pPr>
      <w:r>
        <w:rPr>
          <w:b/>
          <w:bCs/>
        </w:rPr>
        <w:t xml:space="preserve">All 64 colour switches are skipped by the upload tool, </w:t>
      </w:r>
      <w:r>
        <w:t xml:space="preserve">so they have to be made by hand (Section 7).</w:t>
      </w:r>
    </w:p>
    <w:p>
      <w:pPr>
        <w:pStyle w:val="ListParagraph"/>
        <w:numPr>
          <w:ilvl w:val="0"/>
          <w:numId w:val="4"/>
        </w:numPr>
        <w:spacing w:after="60"/>
      </w:pPr>
      <w:r>
        <w:rPr>
          <w:b/>
          <w:bCs/>
        </w:rPr>
        <w:t xml:space="preserve">The engine’s two failed checks: </w:t>
      </w:r>
      <w:r>
        <w:t xml:space="preserve">its “running-out” flag on 26 King campaigns is wrong (Section 6), and the video test beside a brand test on the same keyword group should be held.</w:t>
      </w:r>
    </w:p>
    <w:p>
      <w:pPr>
        <w:spacing w:after="100"/>
      </w:pPr>
      <w:r>
        <w:t xml:space="preserve">Every campaign’s corrected decision is in the campaign register.</w:t>
      </w:r>
    </w:p>
    <w:p>
      <w:pPr>
        <w:pStyle w:val="Heading1"/>
      </w:pPr>
      <w:r>
        <w:t xml:space="preserve">16. Next steps</w:t>
      </w:r>
    </w:p>
    <w:p>
      <w:pPr>
        <w:pStyle w:val="ListParagraph"/>
        <w:numPr>
          <w:ilvl w:val="0"/>
          <w:numId w:val="5"/>
        </w:numPr>
        <w:spacing w:after="60"/>
      </w:pPr>
      <w:r>
        <w:t xml:space="preserve">By 30 September: agree the goals and decide on “bamboo sheets”.</w:t>
      </w:r>
    </w:p>
    <w:p>
      <w:pPr>
        <w:pStyle w:val="ListParagraph"/>
        <w:numPr>
          <w:ilvl w:val="0"/>
          <w:numId w:val="5"/>
        </w:numPr>
        <w:spacing w:after="60"/>
      </w:pPr>
      <w:r>
        <w:t xml:space="preserve">29 September (Day 1): bring spend inside the limit, and write the push prices and budgets. Make the colour switches by hand, and switch the non-serving focus campaigns to fixed bidding.</w:t>
      </w:r>
    </w:p>
    <w:p>
      <w:pPr>
        <w:pStyle w:val="ListParagraph"/>
        <w:numPr>
          <w:ilvl w:val="0"/>
          <w:numId w:val="5"/>
        </w:numPr>
        <w:spacing w:after="60"/>
      </w:pPr>
      <w:r>
        <w:t xml:space="preserve">This week: exclude ranking terms from broad, auto and clearance campaigns; pause duplicate exact campaigns; fix product-page leaks and objective tags; correct the conversions campaigns over break-even.</w:t>
      </w:r>
    </w:p>
    <w:p>
      <w:pPr>
        <w:pStyle w:val="ListParagraph"/>
        <w:numPr>
          <w:ilvl w:val="0"/>
          <w:numId w:val="5"/>
        </w:numPr>
        <w:spacing w:after="60"/>
      </w:pPr>
      <w:r>
        <w:t xml:space="preserve">Daily until 5 October: watch spend, orders, top-of-search share, head-term rank and White stock. Judge nothing on deal data.</w:t>
      </w:r>
    </w:p>
    <w:p>
      <w:pPr>
        <w:pStyle w:val="ListParagraph"/>
        <w:numPr>
          <w:ilvl w:val="0"/>
          <w:numId w:val="5"/>
        </w:numPr>
        <w:spacing w:after="60"/>
      </w:pPr>
      <w:r>
        <w:t xml:space="preserve">Every Monday: TACoS against its goal and spend against the limit.</w:t>
      </w:r>
    </w:p>
    <w:p>
      <w:pPr>
        <w:pStyle w:val="ListParagraph"/>
        <w:numPr>
          <w:ilvl w:val="0"/>
          <w:numId w:val="5"/>
        </w:numPr>
        <w:spacing w:after="60"/>
      </w:pPr>
      <w:r>
        <w:t xml:space="preserve">6–12 October: first clean read, second price steps, next push steps where rank moved, and the King White checkpoint.</w:t>
      </w:r>
    </w:p>
    <w:p>
      <w:pPr>
        <w:pStyle w:val="ListParagraph"/>
        <w:numPr>
          <w:ilvl w:val="0"/>
          <w:numId w:val="5"/>
        </w:numPr>
        <w:spacing w:after="60"/>
      </w:pPr>
      <w:r>
        <w:t xml:space="preserve">At least three weeks before each event: its push sized, owned, funded and stock-checked. Switch ads back to White as stock lands (16 and 27 October). Run the push into Black Friday / Cyber Monday from early November.</w:t>
      </w:r>
    </w:p>
    <w:p>
      <w:pPr>
        <w:pStyle w:val="Heading1"/>
      </w:pPr>
      <w:r>
        <w:t xml:space="preserve">Appendix: fixes for the engine</w:t>
      </w:r>
    </w:p>
    <w:p>
      <w:pPr>
        <w:pStyle w:val="ListParagraph"/>
        <w:numPr>
          <w:ilvl w:val="0"/>
          <w:numId w:val="4"/>
        </w:numPr>
        <w:spacing w:after="60"/>
      </w:pPr>
      <w:r>
        <w:t xml:space="preserve">It sets no spend target, TACoS goal or product goal, and it sizes pushes against a 25% TACoS ceiling.</w:t>
      </w:r>
    </w:p>
    <w:p>
      <w:pPr>
        <w:pStyle w:val="ListParagraph"/>
        <w:numPr>
          <w:ilvl w:val="0"/>
          <w:numId w:val="4"/>
        </w:numPr>
        <w:spacing w:after="60"/>
      </w:pPr>
      <w:r>
        <w:t xml:space="preserve">It has no transition step when a deal ends and no link to upcoming events.</w:t>
      </w:r>
    </w:p>
    <w:p>
      <w:pPr>
        <w:pStyle w:val="ListParagraph"/>
        <w:numPr>
          <w:ilvl w:val="0"/>
          <w:numId w:val="4"/>
        </w:numPr>
        <w:spacing w:after="60"/>
      </w:pPr>
      <w:r>
        <w:t xml:space="preserve">It prices on list-price profit ($24.49) instead of real margin from Sellerboard, and uses two break-even figures.</w:t>
      </w:r>
    </w:p>
    <w:p>
      <w:pPr>
        <w:pStyle w:val="ListParagraph"/>
        <w:numPr>
          <w:ilvl w:val="0"/>
          <w:numId w:val="4"/>
        </w:numPr>
        <w:spacing w:after="60"/>
      </w:pPr>
      <w:r>
        <w:t xml:space="preserve">Its push raises skip the rank-gap size and the 30% step limit (the “dose” rule), and it pushes terms that fail on conversion or stock.</w:t>
      </w:r>
    </w:p>
    <w:p>
      <w:pPr>
        <w:pStyle w:val="ListParagraph"/>
        <w:numPr>
          <w:ilvl w:val="0"/>
          <w:numId w:val="4"/>
        </w:numPr>
        <w:spacing w:after="60"/>
      </w:pPr>
      <w:r>
        <w:t xml:space="preserve">It chooses colours by units on hand instead of sales, and judges stock on total rather than Available units.</w:t>
      </w:r>
    </w:p>
    <w:p>
      <w:pPr>
        <w:pStyle w:val="ListParagraph"/>
        <w:numPr>
          <w:ilvl w:val="0"/>
          <w:numId w:val="4"/>
        </w:numPr>
        <w:spacing w:after="60"/>
      </w:pPr>
      <w:r>
        <w:t xml:space="preserve">It leaves campaigns in the wrong objective.</w:t>
      </w:r>
    </w:p>
    <w:p>
      <w:pPr>
        <w:pStyle w:val="ListParagraph"/>
        <w:numPr>
          <w:ilvl w:val="0"/>
          <w:numId w:val="4"/>
        </w:numPr>
        <w:spacing w:after="60"/>
      </w:pPr>
      <w:r>
        <w:t xml:space="preserve">It exports changes it has marked “don’t change”, changes on paused campaigns, and duplicates.</w:t>
      </w:r>
    </w:p>
    <w:p>
      <w:pPr>
        <w:pStyle w:val="ListParagraph"/>
        <w:numPr>
          <w:ilvl w:val="0"/>
          <w:numId w:val="4"/>
        </w:numPr>
        <w:spacing w:after="60"/>
      </w:pPr>
      <w:r>
        <w:t xml:space="preserve">It blocks budget changes by mistake while the price change goes live.</w:t>
      </w:r>
    </w:p>
    <w:p>
      <w:pPr>
        <w:pStyle w:val="ListParagraph"/>
        <w:numPr>
          <w:ilvl w:val="0"/>
          <w:numId w:val="4"/>
        </w:numPr>
        <w:spacing w:after="60"/>
      </w:pPr>
      <w:r>
        <w:t xml:space="preserve">It loads the two halves of a base-and-boost change separately.</w:t>
      </w:r>
    </w:p>
    <w:p>
      <w:pPr>
        <w:pStyle w:val="ListParagraph"/>
        <w:numPr>
          <w:ilvl w:val="0"/>
          <w:numId w:val="4"/>
        </w:numPr>
        <w:spacing w:after="60"/>
      </w:pPr>
      <w:r>
        <w:t xml:space="preserve">Its notes sometimes contradict the change it writes.</w:t>
      </w:r>
    </w:p>
    <w:p>
      <w:pPr>
        <w:pStyle w:val="ListParagraph"/>
        <w:numPr>
          <w:ilvl w:val="0"/>
          <w:numId w:val="4"/>
        </w:numPr>
        <w:spacing w:after="60"/>
      </w:pPr>
      <w:r>
        <w:t xml:space="preserve">It forecasts clicks a budget can’t buy, and clicks for campaigns that aren’t running.</w:t>
      </w:r>
    </w:p>
    <w:p>
      <w:pPr>
        <w:pStyle w:val="ListParagraph"/>
        <w:numPr>
          <w:ilvl w:val="0"/>
          <w:numId w:val="4"/>
        </w:numPr>
        <w:spacing w:after="60"/>
      </w:pPr>
      <w:r>
        <w:t xml:space="preserve">It holds decisions “for a human” without asking anyone.</w:t>
      </w:r>
    </w:p>
    <w:p>
      <w:pPr>
        <w:pStyle w:val="ListParagraph"/>
        <w:numPr>
          <w:ilvl w:val="0"/>
          <w:numId w:val="4"/>
        </w:numPr>
        <w:spacing w:after="60"/>
      </w:pPr>
      <w:r>
        <w:t xml:space="preserve">It has no current rank for several focus terms, such as “king sheets bamboo cooling”.</w:t>
      </w:r>
    </w:p>
    <w:p>
      <w:pPr>
        <w:pStyle w:val="ListParagraph"/>
        <w:numPr>
          <w:ilvl w:val="0"/>
          <w:numId w:val="4"/>
        </w:numPr>
        <w:spacing w:after="60"/>
      </w:pPr>
      <w:r>
        <w:t xml:space="preserve">It leaves 14 campaigns with changes out of its own campaign list.</w:t>
      </w:r>
    </w:p>
    <w:sectPr>
      <w:pgSz w:w="12240" w:h="15840" w:orient="portrait"/>
      <w:pgMar w:top="1020" w:right="1134" w:bottom="102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abstractNum w:abstractNumId="6" w15:restartNumberingAfterBreak="0">
    <w:multiLevelType w:val="hybridMultilevel"/>
    <w:lvl w:ilvl="0" w:tentative="1">
      <w:start w:val="1"/>
      <w:numFmt w:val="decimal"/>
      <w:lvlText w:val="%1."/>
      <w:lvlJc w:val="left"/>
      <w:pPr>
        <w:ind w:left="360" w:hanging="300"/>
      </w:pPr>
    </w:lvl>
  </w:abstractNum>
  <w:abstractNum w:abstractNumId="7" w15:restartNumberingAfterBreak="0">
    <w:multiLevelType w:val="hybridMultilevel"/>
    <w:lvl w:ilvl="0" w:tentative="1">
      <w:start w:val="1"/>
      <w:numFmt w:val="decimal"/>
      <w:lvlText w:val="%1."/>
      <w:lvlJc w:val="left"/>
      <w:pPr>
        <w:ind w:left="360" w:hanging="300"/>
      </w:pPr>
    </w:lvl>
  </w:abstractNum>
  <w:abstractNum w:abstractNumId="8" w15:restartNumberingAfterBreak="0">
    <w:multiLevelType w:val="hybridMultilevel"/>
    <w:lvl w:ilvl="0" w:tentative="1">
      <w:start w:val="1"/>
      <w:numFmt w:val="decimal"/>
      <w:lvlText w:val="%1."/>
      <w:lvlJc w:val="left"/>
      <w:pPr>
        <w:ind w:left="360" w:hanging="300"/>
      </w:pPr>
    </w:lvl>
  </w:abstractNum>
  <w:abstractNum w:abstractNumId="9"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28"/>
      <w:szCs w:val="28"/>
    </w:rPr>
  </w:style>
  <w:style w:type="paragraph" w:styleId="Heading2">
    <w:name w:val="Heading 2"/>
    <w:basedOn w:val="Normal"/>
    <w:next w:val="Normal"/>
    <w:qFormat/>
    <w:pPr>
      <w:keepNext/>
      <w:keepLines/>
      <w:spacing w:after="8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60" w:before="20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ba4abef4476d5dd210514d645c18c4ab3af718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DBS4 audit corrections — 28 September 2026</dc:title>
  <dc:creator>Claude</dc:creator>
  <cp:lastModifiedBy>Un-named</cp:lastModifiedBy>
  <cp:revision>1</cp:revision>
  <dcterms:created xsi:type="dcterms:W3CDTF">2026-09-28T21:22:28.568Z</dcterms:created>
  <dcterms:modified xsi:type="dcterms:W3CDTF">2026-09-28T21:22:28.568Z</dcterms:modified>
</cp:coreProperties>
</file>

<file path=docProps/custom.xml><?xml version="1.0" encoding="utf-8"?>
<Properties xmlns="http://schemas.openxmlformats.org/officeDocument/2006/custom-properties" xmlns:vt="http://schemas.openxmlformats.org/officeDocument/2006/docPropsVTypes"/>
</file>