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Background before the audit: Decolure Satin Sheets 6 Piece (US)</w:t>
      </w:r>
    </w:p>
    <w:p>
      <w:pPr>
        <w:spacing w:after="120"/>
      </w:pPr>
      <w:r>
        <w:t xml:space="preserve">30 September 2026 · Command Center product 31 · parent ASIN B0D9QQWYP4 · 112 SKUs across Full, King, Queen and Twin in 29 colours · stage "Maintenance", no hero set · read-only background check, no preassumed goal</w:t>
      </w:r>
    </w:p>
    <w:p>
      <w:pPr>
        <w:pStyle w:val="Heading1"/>
      </w:pPr>
      <w:r>
        <w:t xml:space="preserve">Summary</w:t>
      </w:r>
    </w:p>
    <w:p>
      <w:pPr>
        <w:spacing w:after="120"/>
      </w:pPr>
      <w:r>
        <w:t xml:space="preserve">What the data says, before any audit arrives:</w:t>
      </w:r>
    </w:p>
    <w:p>
      <w:pPr>
        <w:pStyle w:val="ListParagraph"/>
        <w:numPr>
          <w:ilvl w:val="0"/>
          <w:numId w:val="2"/>
        </w:numPr>
      </w:pPr>
      <w:r>
        <w:rPr>
          <w:b/>
          <w:bCs/>
        </w:rPr>
        <w:t xml:space="preserve">S6 loses money after ads in every window but the last week.</w:t>
      </w:r>
      <w:r>
        <w:t xml:space="preserve"> Sellerboard, 1–30 Sep: $20,127 of sales, profit before ads $1,815 (9.0%), after ads −$1,090 (−5.4%). Over 90 days: −$12,494 (−9.7%). It lost money in 12 of the last 13 months; only Feb 2026 was positive (+$269).</w:t>
      </w:r>
    </w:p>
    <w:p>
      <w:pPr>
        <w:pStyle w:val="ListParagraph"/>
        <w:numPr>
          <w:ilvl w:val="0"/>
          <w:numId w:val="2"/>
        </w:numPr>
      </w:pPr>
      <w:r>
        <w:rPr>
          <w:b/>
          <w:bCs/>
        </w:rPr>
        <w:t xml:space="preserve">Margin is much thinner than Command Center shows.</w:t>
      </w:r>
      <w:r>
        <w:t xml:space="preserve"> Command Center's list-price contribution is $9.59 a unit (28.9% break-even ACoS). Sellerboard's all-in figure for September is $2.88 a unit (9.0%), or $6.29 (19.7%) before one-off fees (LTSF, removal, inbound). On Queen Black, the top seller, it is $7.00 against $1.61.</w:t>
      </w:r>
    </w:p>
    <w:p>
      <w:pPr>
        <w:pStyle w:val="ListParagraph"/>
        <w:numPr>
          <w:ilvl w:val="0"/>
          <w:numId w:val="2"/>
        </w:numPr>
      </w:pPr>
      <w:r>
        <w:rPr>
          <w:b/>
          <w:bCs/>
        </w:rPr>
        <w:t xml:space="preserve">Ad spend was cut by about 70% at the end of August, and the engine logged none of it.</w:t>
      </w:r>
      <w:r>
        <w:t xml:space="preserve"> Spend: $10,111 over 2–31 Aug, $2,903 over 1–30 Sep. ACoS barely moved (31.3% → 29.9%). The engine has recorded no decisions on S6 in 60 or 180 days, and there is no S6 audit run on file.</w:t>
      </w:r>
    </w:p>
    <w:p>
      <w:pPr>
        <w:pStyle w:val="ListParagraph"/>
        <w:numPr>
          <w:ilvl w:val="0"/>
          <w:numId w:val="2"/>
        </w:numPr>
      </w:pPr>
      <w:r>
        <w:rPr>
          <w:b/>
          <w:bCs/>
        </w:rPr>
        <w:t xml:space="preserve">Sales fell with the ads.</w:t>
      </w:r>
      <w:r>
        <w:t xml:space="preserve"> Units per day: 44.8 over 90 days, 21.0 over 30, 17.5 over 14. Part of the earlier volume was deals and coupons ($5.9k of promotions in August), but the organic part fell too: non-ad sales went from about $710 a day in August to about $358 in September (Command Center).</w:t>
      </w:r>
    </w:p>
    <w:p>
      <w:pPr>
        <w:pStyle w:val="ListParagraph"/>
        <w:numPr>
          <w:ilvl w:val="0"/>
          <w:numId w:val="2"/>
        </w:numPr>
      </w:pPr>
      <w:r>
        <w:rPr>
          <w:b/>
          <w:bCs/>
        </w:rPr>
        <w:t xml:space="preserve">Organic rank has fallen on almost every head term.</w:t>
      </w:r>
      <w:r>
        <w:t xml:space="preserve"> 7-day medians, early July → last week: "satin sheets" 18 → 60, "silk sheets queen" 16 → 89, "satin sheets queen size" 19 → 45, "satin sheets king" 17 → 41. Only "king size silk sheets set" is at its target (5). The July Best Deal lifted ranks only while it ran.</w:t>
      </w:r>
    </w:p>
    <w:p>
      <w:pPr>
        <w:pStyle w:val="ListParagraph"/>
        <w:numPr>
          <w:ilvl w:val="0"/>
          <w:numId w:val="2"/>
        </w:numPr>
      </w:pPr>
      <w:r>
        <w:rPr>
          <w:b/>
          <w:bCs/>
        </w:rPr>
        <w:t xml:space="preserve">King is the one bright spot.</w:t>
      </w:r>
      <w:r>
        <w:t xml:space="preserve"> It is the only size profitable after ads in September (+$277, 4.0%). It is also the only size where we convert above the market like-for-like (Silk|King 6.43% against 5.04%, 90 days). Queen and Full convert at about half the market's rate.</w:t>
      </w:r>
    </w:p>
    <w:p>
      <w:pPr>
        <w:pStyle w:val="ListParagraph"/>
        <w:numPr>
          <w:ilvl w:val="0"/>
          <w:numId w:val="2"/>
        </w:numPr>
      </w:pPr>
      <w:r>
        <w:rPr>
          <w:b/>
          <w:bCs/>
        </w:rPr>
        <w:t xml:space="preserve">S6 is a small player, and S4 is its biggest rival for the same shoppers.</w:t>
      </w:r>
      <w:r>
        <w:t xml:space="preserve"> S6 has 0.90% of tracked niche traffic, against S4's 3.85%. 87% of S6's search terms are also S4's, S4 ranks better on 323 of the 415 both rank for, and each product's ads target the other's pages.</w:t>
      </w:r>
    </w:p>
    <w:p>
      <w:pPr>
        <w:pStyle w:val="ListParagraph"/>
        <w:numPr>
          <w:ilvl w:val="0"/>
          <w:numId w:val="2"/>
        </w:numPr>
      </w:pPr>
      <w:r>
        <w:rPr>
          <w:b/>
          <w:bCs/>
        </w:rPr>
        <w:t xml:space="preserve">Stock is heavy but in the wrong colours.</w:t>
      </w:r>
      <w:r>
        <w:t xml:space="preserve"> About 7,000 units ($81.7k at cost), over 330 days of cover. King Black alone has about 500 days. Meanwhile King Red, the #3 seller, has 13 units left (about 12 days), and 16 active SKUs are at 0.</w:t>
      </w:r>
    </w:p>
    <w:p>
      <w:pPr>
        <w:pStyle w:val="ListParagraph"/>
        <w:numPr>
          <w:ilvl w:val="0"/>
          <w:numId w:val="2"/>
        </w:numPr>
      </w:pPr>
      <w:r>
        <w:rPr>
          <w:b/>
          <w:bCs/>
        </w:rPr>
        <w:t xml:space="preserve">LTSF is material.</w:t>
      </w:r>
      <w:r>
        <w:t xml:space="preserve"> $6,884 was charged in the last 90 days. Slack estimates 792 aged units and about $854 for the 15 Oct charge.</w:t>
      </w:r>
    </w:p>
    <w:p>
      <w:pPr>
        <w:pStyle w:val="ListParagraph"/>
        <w:numPr>
          <w:ilvl w:val="0"/>
          <w:numId w:val="2"/>
        </w:numPr>
      </w:pPr>
      <w:r>
        <w:rPr>
          <w:b/>
          <w:bCs/>
        </w:rPr>
        <w:t xml:space="preserve">The structure has problems to clear before any push:</w:t>
      </w:r>
    </w:p>
    <w:p>
      <w:pPr>
        <w:pStyle w:val="ListParagraph"/>
        <w:numPr>
          <w:ilvl w:val="1"/>
          <w:numId w:val="3"/>
        </w:numPr>
      </w:pPr>
      <w:r>
        <w:t xml:space="preserve">Campaign names often don't match what they advertise.</w:t>
      </w:r>
    </w:p>
    <w:p>
      <w:pPr>
        <w:pStyle w:val="ListParagraph"/>
        <w:numPr>
          <w:ilvl w:val="1"/>
          <w:numId w:val="3"/>
        </w:numPr>
      </w:pPr>
      <w:r>
        <w:t xml:space="preserve">An S4-named LTSF campaign is S6's biggest spender.</w:t>
      </w:r>
    </w:p>
    <w:p>
      <w:pPr>
        <w:pStyle w:val="ListParagraph"/>
        <w:numPr>
          <w:ilvl w:val="1"/>
          <w:numId w:val="3"/>
        </w:numPr>
      </w:pPr>
      <w:r>
        <w:t xml:space="preserve">"satin sheets" exact has no live owner.</w:t>
      </w:r>
    </w:p>
    <w:p>
      <w:pPr>
        <w:pStyle w:val="ListParagraph"/>
        <w:numPr>
          <w:ilvl w:val="1"/>
          <w:numId w:val="3"/>
        </w:numPr>
      </w:pPr>
      <w:r>
        <w:t xml:space="preserve">Exact campaigns send 37–42% of their clicks to product pages.</w:t>
      </w:r>
    </w:p>
    <w:p>
      <w:pPr>
        <w:pStyle w:val="ListParagraph"/>
        <w:numPr>
          <w:ilvl w:val="1"/>
          <w:numId w:val="3"/>
        </w:numPr>
      </w:pPr>
      <w:r>
        <w:t xml:space="preserve">At the top of search S6 pays more per order than anywhere else (35–43% ACoS against about 22% in rest of search), the reverse of S4.</w:t>
      </w:r>
    </w:p>
    <w:p>
      <w:pPr>
        <w:pStyle w:val="Heading1"/>
      </w:pPr>
      <w:r>
        <w:t xml:space="preserve">How to read this</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4387"/>
        <w:gridCol w:w="9653"/>
      </w:tblGrid>
      <w:tr>
        <w:trPr>
          <w:tblHeader/>
        </w:trPr>
        <w:tc>
          <w:tcPr>
            <w:tcW w:type="dxa" w:w="4387"/>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Item</w:t>
            </w:r>
          </w:p>
        </w:tc>
        <w:tc>
          <w:tcPr>
            <w:tcW w:type="dxa" w:w="9653"/>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Meaning here</w:t>
            </w:r>
          </w:p>
        </w:tc>
      </w:tr>
      <w:tr>
        <w:trPr>
          <w:tblHeader w:val="off"/>
        </w:trPr>
        <w:tc>
          <w:tcPr>
            <w:tcW w:type="dxa" w:w="438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Windows</w:t>
            </w:r>
          </w:p>
        </w:tc>
        <w:tc>
          <w:tcPr>
            <w:tcW w:type="dxa" w:w="965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7d = 24–30 Sep · 14d = 17–30 Sep · 30d = 1–30 Sep · 60d = 2 Aug–30 Sep · 90d = 3 Jul–30 Sep. Every comparison uses identical days on both sides.</w:t>
            </w:r>
          </w:p>
        </w:tc>
      </w:tr>
      <w:tr>
        <w:trPr>
          <w:tblHeader w:val="off"/>
        </w:trPr>
        <w:tc>
          <w:tcPr>
            <w:tcW w:type="dxa" w:w="438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Settling</w:t>
            </w:r>
          </w:p>
        </w:tc>
        <w:tc>
          <w:tcPr>
            <w:tcW w:type="dxa" w:w="965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Command Center credits sales up to 7 days after the click, so 24–30 Sep reads low; 30 Sep is a partial day.</w:t>
            </w:r>
          </w:p>
        </w:tc>
      </w:tr>
      <w:tr>
        <w:trPr>
          <w:tblHeader w:val="off"/>
        </w:trPr>
        <w:tc>
          <w:tcPr>
            <w:tcW w:type="dxa" w:w="438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Deal days in the windows</w:t>
            </w:r>
          </w:p>
        </w:tc>
        <w:tc>
          <w:tcPr>
            <w:tcW w:type="dxa" w:w="965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30 Sep: a US Lightning Deal was scheduled; cancellation was recommended and final status is unconfirmed. 60d and 90d: the July Best Deal (31 Jul–13 Aug), Lightning Deals on 18 Jul, 7 Aug, 11 Aug and 16 Aug, the D109 Best Deal (from 24 Aug, killed on 26 Aug), and coupons to mid-August.</w:t>
            </w:r>
          </w:p>
        </w:tc>
      </w:tr>
      <w:tr>
        <w:trPr>
          <w:tblHeader w:val="off"/>
        </w:trPr>
        <w:tc>
          <w:tcPr>
            <w:tcW w:type="dxa" w:w="438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Profit before ads</w:t>
            </w:r>
          </w:p>
        </w:tc>
        <w:tc>
          <w:tcPr>
            <w:tcW w:type="dxa" w:w="965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Sellerboard, all-in: product cost, fees, refunds, storage, LTSF, removal and inbound fees. "Ex one-offs" adds back LTSF, removal, inbound and disposal charges, which land on single dates.</w:t>
            </w:r>
          </w:p>
        </w:tc>
      </w:tr>
      <w:tr>
        <w:trPr>
          <w:tblHeader w:val="off"/>
        </w:trPr>
        <w:tc>
          <w:tcPr>
            <w:tcW w:type="dxa" w:w="438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Break-even ACoS</w:t>
            </w:r>
          </w:p>
        </w:tc>
        <w:tc>
          <w:tcPr>
            <w:tcW w:type="dxa" w:w="965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Profit before ads ÷ sales.</w:t>
            </w:r>
          </w:p>
        </w:tc>
      </w:tr>
      <w:tr>
        <w:trPr>
          <w:tblHeader w:val="off"/>
        </w:trPr>
        <w:tc>
          <w:tcPr>
            <w:tcW w:type="dxa" w:w="438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Like-for-like conversion</w:t>
            </w:r>
          </w:p>
        </w:tc>
        <w:tc>
          <w:tcPr>
            <w:tcW w:type="dxa" w:w="965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Search-query data: our purchases ÷ clicks against the market's, same weeks. Ad-reported conversion (7-day, any colour) runs 2–3 times higher and is compared only with other ad figures.</w:t>
            </w:r>
          </w:p>
        </w:tc>
      </w:tr>
    </w:tbl>
    <w:p/>
    <w:p>
      <w:pPr>
        <w:pStyle w:val="Heading1"/>
      </w:pPr>
      <w:r>
        <w:t xml:space="preserve">1. Money: margins before and after ads</w:t>
      </w:r>
    </w:p>
    <w:p>
      <w:pPr>
        <w:spacing w:after="120"/>
      </w:pPr>
      <w:r>
        <w:t xml:space="preserve">Sellerboard, by window:</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985"/>
        <w:gridCol w:w="1395"/>
        <w:gridCol w:w="1149"/>
        <w:gridCol w:w="1149"/>
        <w:gridCol w:w="903"/>
        <w:gridCol w:w="1888"/>
        <w:gridCol w:w="2463"/>
        <w:gridCol w:w="2298"/>
        <w:gridCol w:w="1810"/>
      </w:tblGrid>
      <w:tr>
        <w:trPr>
          <w:tblHeader/>
        </w:trPr>
        <w:tc>
          <w:tcPr>
            <w:tcW w:type="dxa" w:w="985"/>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Window</w:t>
            </w:r>
          </w:p>
        </w:tc>
        <w:tc>
          <w:tcPr>
            <w:tcW w:type="dxa" w:w="1395"/>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Units / day</w:t>
            </w:r>
          </w:p>
        </w:tc>
        <w:tc>
          <w:tcPr>
            <w:tcW w:type="dxa" w:w="1149"/>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Sales</w:t>
            </w:r>
          </w:p>
        </w:tc>
        <w:tc>
          <w:tcPr>
            <w:tcW w:type="dxa" w:w="1149"/>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Ad spend</w:t>
            </w:r>
          </w:p>
        </w:tc>
        <w:tc>
          <w:tcPr>
            <w:tcW w:type="dxa" w:w="903"/>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TACoS</w:t>
            </w:r>
          </w:p>
        </w:tc>
        <w:tc>
          <w:tcPr>
            <w:tcW w:type="dxa" w:w="188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Profit before ads</w:t>
            </w:r>
          </w:p>
        </w:tc>
        <w:tc>
          <w:tcPr>
            <w:tcW w:type="dxa" w:w="2463"/>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Break-even ACoS (all-in)</w:t>
            </w:r>
          </w:p>
        </w:tc>
        <w:tc>
          <w:tcPr>
            <w:tcW w:type="dxa" w:w="229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Break-even ex one-offs</w:t>
            </w:r>
          </w:p>
        </w:tc>
        <w:tc>
          <w:tcPr>
            <w:tcW w:type="dxa" w:w="181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Profit after ads</w:t>
            </w:r>
          </w:p>
        </w:tc>
      </w:tr>
      <w:tr>
        <w:trPr>
          <w:tblHeader w:val="off"/>
        </w:trPr>
        <w:tc>
          <w:tcPr>
            <w:tcW w:type="dxa" w:w="98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7d</w:t>
            </w:r>
          </w:p>
        </w:tc>
        <w:tc>
          <w:tcPr>
            <w:tcW w:type="dxa" w:w="139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18.3</w:t>
            </w:r>
          </w:p>
        </w:tc>
        <w:tc>
          <w:tcPr>
            <w:tcW w:type="dxa" w:w="114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$4,095</w:t>
            </w:r>
          </w:p>
        </w:tc>
        <w:tc>
          <w:tcPr>
            <w:tcW w:type="dxa" w:w="114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$611</w:t>
            </w:r>
          </w:p>
        </w:tc>
        <w:tc>
          <w:tcPr>
            <w:tcW w:type="dxa" w:w="90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14.9%</w:t>
            </w:r>
          </w:p>
        </w:tc>
        <w:tc>
          <w:tcPr>
            <w:tcW w:type="dxa" w:w="188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$719</w:t>
            </w:r>
          </w:p>
        </w:tc>
        <w:tc>
          <w:tcPr>
            <w:tcW w:type="dxa" w:w="246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17.6%</w:t>
            </w:r>
          </w:p>
        </w:tc>
        <w:tc>
          <w:tcPr>
            <w:tcW w:type="dxa" w:w="229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23.9%</w:t>
            </w:r>
          </w:p>
        </w:tc>
        <w:tc>
          <w:tcPr>
            <w:tcW w:type="dxa" w:w="181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+$108 (2.6%)</w:t>
            </w:r>
          </w:p>
        </w:tc>
      </w:tr>
      <w:tr>
        <w:trPr>
          <w:tblHeader w:val="off"/>
        </w:trPr>
        <w:tc>
          <w:tcPr>
            <w:tcW w:type="dxa" w:w="98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14d</w:t>
            </w:r>
          </w:p>
        </w:tc>
        <w:tc>
          <w:tcPr>
            <w:tcW w:type="dxa" w:w="139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17.5</w:t>
            </w:r>
          </w:p>
        </w:tc>
        <w:tc>
          <w:tcPr>
            <w:tcW w:type="dxa" w:w="114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$7,851</w:t>
            </w:r>
          </w:p>
        </w:tc>
        <w:tc>
          <w:tcPr>
            <w:tcW w:type="dxa" w:w="114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$1,199</w:t>
            </w:r>
          </w:p>
        </w:tc>
        <w:tc>
          <w:tcPr>
            <w:tcW w:type="dxa" w:w="90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15.3%</w:t>
            </w:r>
          </w:p>
        </w:tc>
        <w:tc>
          <w:tcPr>
            <w:tcW w:type="dxa" w:w="188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$555</w:t>
            </w:r>
          </w:p>
        </w:tc>
        <w:tc>
          <w:tcPr>
            <w:tcW w:type="dxa" w:w="246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7.1%</w:t>
            </w:r>
          </w:p>
        </w:tc>
        <w:tc>
          <w:tcPr>
            <w:tcW w:type="dxa" w:w="229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22.6%</w:t>
            </w:r>
          </w:p>
        </w:tc>
        <w:tc>
          <w:tcPr>
            <w:tcW w:type="dxa" w:w="181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−$643 (−8.2%)</w:t>
            </w:r>
          </w:p>
        </w:tc>
      </w:tr>
      <w:tr>
        <w:trPr>
          <w:tblHeader w:val="off"/>
        </w:trPr>
        <w:tc>
          <w:tcPr>
            <w:tcW w:type="dxa" w:w="98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30d</w:t>
            </w:r>
          </w:p>
        </w:tc>
        <w:tc>
          <w:tcPr>
            <w:tcW w:type="dxa" w:w="139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21.0</w:t>
            </w:r>
          </w:p>
        </w:tc>
        <w:tc>
          <w:tcPr>
            <w:tcW w:type="dxa" w:w="114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$20,127</w:t>
            </w:r>
          </w:p>
        </w:tc>
        <w:tc>
          <w:tcPr>
            <w:tcW w:type="dxa" w:w="114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$2,905</w:t>
            </w:r>
          </w:p>
        </w:tc>
        <w:tc>
          <w:tcPr>
            <w:tcW w:type="dxa" w:w="90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14.4%</w:t>
            </w:r>
          </w:p>
        </w:tc>
        <w:tc>
          <w:tcPr>
            <w:tcW w:type="dxa" w:w="188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$1,815</w:t>
            </w:r>
          </w:p>
        </w:tc>
        <w:tc>
          <w:tcPr>
            <w:tcW w:type="dxa" w:w="246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9.0%</w:t>
            </w:r>
          </w:p>
        </w:tc>
        <w:tc>
          <w:tcPr>
            <w:tcW w:type="dxa" w:w="229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19.7%</w:t>
            </w:r>
          </w:p>
        </w:tc>
        <w:tc>
          <w:tcPr>
            <w:tcW w:type="dxa" w:w="181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−$1,090 (−5.4%)</w:t>
            </w:r>
          </w:p>
        </w:tc>
      </w:tr>
      <w:tr>
        <w:trPr>
          <w:tblHeader w:val="off"/>
        </w:trPr>
        <w:tc>
          <w:tcPr>
            <w:tcW w:type="dxa" w:w="98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60d</w:t>
            </w:r>
          </w:p>
        </w:tc>
        <w:tc>
          <w:tcPr>
            <w:tcW w:type="dxa" w:w="139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36.1</w:t>
            </w:r>
          </w:p>
        </w:tc>
        <w:tc>
          <w:tcPr>
            <w:tcW w:type="dxa" w:w="114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$72,971</w:t>
            </w:r>
          </w:p>
        </w:tc>
        <w:tc>
          <w:tcPr>
            <w:tcW w:type="dxa" w:w="114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$12,964</w:t>
            </w:r>
          </w:p>
        </w:tc>
        <w:tc>
          <w:tcPr>
            <w:tcW w:type="dxa" w:w="90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17.8%</w:t>
            </w:r>
          </w:p>
        </w:tc>
        <w:tc>
          <w:tcPr>
            <w:tcW w:type="dxa" w:w="188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$6,710</w:t>
            </w:r>
          </w:p>
        </w:tc>
        <w:tc>
          <w:tcPr>
            <w:tcW w:type="dxa" w:w="246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9.2%</w:t>
            </w:r>
          </w:p>
        </w:tc>
        <w:tc>
          <w:tcPr>
            <w:tcW w:type="dxa" w:w="229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15.6%</w:t>
            </w:r>
          </w:p>
        </w:tc>
        <w:tc>
          <w:tcPr>
            <w:tcW w:type="dxa" w:w="181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−$6,254 (−8.6%)</w:t>
            </w:r>
          </w:p>
        </w:tc>
      </w:tr>
      <w:tr>
        <w:trPr>
          <w:tblHeader w:val="off"/>
        </w:trPr>
        <w:tc>
          <w:tcPr>
            <w:tcW w:type="dxa" w:w="98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90d</w:t>
            </w:r>
          </w:p>
        </w:tc>
        <w:tc>
          <w:tcPr>
            <w:tcW w:type="dxa" w:w="139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44.8</w:t>
            </w:r>
          </w:p>
        </w:tc>
        <w:tc>
          <w:tcPr>
            <w:tcW w:type="dxa" w:w="114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$129,188</w:t>
            </w:r>
          </w:p>
        </w:tc>
        <w:tc>
          <w:tcPr>
            <w:tcW w:type="dxa" w:w="114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$22,302</w:t>
            </w:r>
          </w:p>
        </w:tc>
        <w:tc>
          <w:tcPr>
            <w:tcW w:type="dxa" w:w="90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17.3%</w:t>
            </w:r>
          </w:p>
        </w:tc>
        <w:tc>
          <w:tcPr>
            <w:tcW w:type="dxa" w:w="188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$9,808</w:t>
            </w:r>
          </w:p>
        </w:tc>
        <w:tc>
          <w:tcPr>
            <w:tcW w:type="dxa" w:w="246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7.6%</w:t>
            </w:r>
          </w:p>
        </w:tc>
        <w:tc>
          <w:tcPr>
            <w:tcW w:type="dxa" w:w="229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15.1%</w:t>
            </w:r>
          </w:p>
        </w:tc>
        <w:tc>
          <w:tcPr>
            <w:tcW w:type="dxa" w:w="181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−$12,494 (−9.7%)</w:t>
            </w:r>
          </w:p>
        </w:tc>
      </w:tr>
    </w:tbl>
    <w:p/>
    <w:p>
      <w:pPr>
        <w:spacing w:after="120"/>
      </w:pPr>
      <w:r>
        <w:rPr>
          <w:i/>
          <w:iCs/>
        </w:rPr>
        <w:t xml:space="preserve">Command Center agrees on spend and TACoS for the same dates (30d $2,903 and 14.9%; 90d $22,385 and 17.3%). The 60d and 90d break-evens are lower because those windows carry deal and coupon prices.</w:t>
      </w:r>
    </w:p>
    <w:p>
      <w:pPr>
        <w:spacing w:after="120"/>
      </w:pPr>
      <w:r>
        <w:t xml:space="preserve">By size, 30d (1–30 Sep):</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1625"/>
        <w:gridCol w:w="1625"/>
        <w:gridCol w:w="1773"/>
        <w:gridCol w:w="1625"/>
        <w:gridCol w:w="4138"/>
        <w:gridCol w:w="3254"/>
      </w:tblGrid>
      <w:tr>
        <w:trPr>
          <w:tblHeader/>
        </w:trPr>
        <w:tc>
          <w:tcPr>
            <w:tcW w:type="dxa" w:w="1625"/>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Size</w:t>
            </w:r>
          </w:p>
        </w:tc>
        <w:tc>
          <w:tcPr>
            <w:tcW w:type="dxa" w:w="1625"/>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Units</w:t>
            </w:r>
          </w:p>
        </w:tc>
        <w:tc>
          <w:tcPr>
            <w:tcW w:type="dxa" w:w="1773"/>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Sales</w:t>
            </w:r>
          </w:p>
        </w:tc>
        <w:tc>
          <w:tcPr>
            <w:tcW w:type="dxa" w:w="1625"/>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TACoS</w:t>
            </w:r>
          </w:p>
        </w:tc>
        <w:tc>
          <w:tcPr>
            <w:tcW w:type="dxa" w:w="413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Break-even ex one-offs</w:t>
            </w:r>
          </w:p>
        </w:tc>
        <w:tc>
          <w:tcPr>
            <w:tcW w:type="dxa" w:w="3254"/>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Profit after ads</w:t>
            </w:r>
          </w:p>
        </w:tc>
      </w:tr>
      <w:tr>
        <w:trPr>
          <w:tblHeader w:val="off"/>
        </w:trPr>
        <w:tc>
          <w:tcPr>
            <w:tcW w:type="dxa" w:w="162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Queen</w:t>
            </w:r>
          </w:p>
        </w:tc>
        <w:tc>
          <w:tcPr>
            <w:tcW w:type="dxa" w:w="162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265</w:t>
            </w:r>
          </w:p>
        </w:tc>
        <w:tc>
          <w:tcPr>
            <w:tcW w:type="dxa" w:w="177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$8,339</w:t>
            </w:r>
          </w:p>
        </w:tc>
        <w:tc>
          <w:tcPr>
            <w:tcW w:type="dxa" w:w="162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15.3%</w:t>
            </w:r>
          </w:p>
        </w:tc>
        <w:tc>
          <w:tcPr>
            <w:tcW w:type="dxa" w:w="41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17.6%</w:t>
            </w:r>
          </w:p>
        </w:tc>
        <w:tc>
          <w:tcPr>
            <w:tcW w:type="dxa" w:w="325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−$413 (−5.0%)</w:t>
            </w:r>
          </w:p>
        </w:tc>
      </w:tr>
      <w:tr>
        <w:trPr>
          <w:tblHeader w:val="off"/>
        </w:trPr>
        <w:tc>
          <w:tcPr>
            <w:tcW w:type="dxa" w:w="162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King</w:t>
            </w:r>
          </w:p>
        </w:tc>
        <w:tc>
          <w:tcPr>
            <w:tcW w:type="dxa" w:w="162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199</w:t>
            </w:r>
          </w:p>
        </w:tc>
        <w:tc>
          <w:tcPr>
            <w:tcW w:type="dxa" w:w="177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$6,885</w:t>
            </w:r>
          </w:p>
        </w:tc>
        <w:tc>
          <w:tcPr>
            <w:tcW w:type="dxa" w:w="162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16.2%</w:t>
            </w:r>
          </w:p>
        </w:tc>
        <w:tc>
          <w:tcPr>
            <w:tcW w:type="dxa" w:w="41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22.9%</w:t>
            </w:r>
          </w:p>
        </w:tc>
        <w:tc>
          <w:tcPr>
            <w:tcW w:type="dxa" w:w="325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+$277 (4.0%)</w:t>
            </w:r>
          </w:p>
        </w:tc>
      </w:tr>
      <w:tr>
        <w:trPr>
          <w:tblHeader w:val="off"/>
        </w:trPr>
        <w:tc>
          <w:tcPr>
            <w:tcW w:type="dxa" w:w="162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Full</w:t>
            </w:r>
          </w:p>
        </w:tc>
        <w:tc>
          <w:tcPr>
            <w:tcW w:type="dxa" w:w="162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113</w:t>
            </w:r>
          </w:p>
        </w:tc>
        <w:tc>
          <w:tcPr>
            <w:tcW w:type="dxa" w:w="177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$3,421</w:t>
            </w:r>
          </w:p>
        </w:tc>
        <w:tc>
          <w:tcPr>
            <w:tcW w:type="dxa" w:w="162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10.5%</w:t>
            </w:r>
          </w:p>
        </w:tc>
        <w:tc>
          <w:tcPr>
            <w:tcW w:type="dxa" w:w="41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16.9%</w:t>
            </w:r>
          </w:p>
        </w:tc>
        <w:tc>
          <w:tcPr>
            <w:tcW w:type="dxa" w:w="325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−$476 (−13.9%)</w:t>
            </w:r>
          </w:p>
        </w:tc>
      </w:tr>
      <w:tr>
        <w:trPr>
          <w:tblHeader w:val="off"/>
        </w:trPr>
        <w:tc>
          <w:tcPr>
            <w:tcW w:type="dxa" w:w="162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Twin</w:t>
            </w:r>
          </w:p>
        </w:tc>
        <w:tc>
          <w:tcPr>
            <w:tcW w:type="dxa" w:w="162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53</w:t>
            </w:r>
          </w:p>
        </w:tc>
        <w:tc>
          <w:tcPr>
            <w:tcW w:type="dxa" w:w="177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$1,481</w:t>
            </w:r>
          </w:p>
        </w:tc>
        <w:tc>
          <w:tcPr>
            <w:tcW w:type="dxa" w:w="162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10.7%</w:t>
            </w:r>
          </w:p>
        </w:tc>
        <w:tc>
          <w:tcPr>
            <w:tcW w:type="dxa" w:w="41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22.8%</w:t>
            </w:r>
          </w:p>
        </w:tc>
        <w:tc>
          <w:tcPr>
            <w:tcW w:type="dxa" w:w="325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−$478 (−32.3%)</w:t>
            </w:r>
          </w:p>
        </w:tc>
      </w:tr>
    </w:tbl>
    <w:p/>
    <w:p>
      <w:pPr>
        <w:spacing w:after="120"/>
      </w:pPr>
      <w:r>
        <w:rPr>
          <w:i/>
          <w:iCs/>
        </w:rPr>
        <w:t xml:space="preserve">Full and Twin are negative before ads in September, because removal ($943) and LTSF charges land on their slow SKUs.</w:t>
      </w:r>
    </w:p>
    <w:p>
      <w:pPr>
        <w:spacing w:after="120"/>
      </w:pPr>
      <w:r>
        <w:t xml:space="preserve">Main colours, 30d, with Command Center's figure for comparison:</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1418"/>
        <w:gridCol w:w="1630"/>
        <w:gridCol w:w="2765"/>
        <w:gridCol w:w="1205"/>
        <w:gridCol w:w="2127"/>
        <w:gridCol w:w="2694"/>
        <w:gridCol w:w="2201"/>
      </w:tblGrid>
      <w:tr>
        <w:trPr>
          <w:tblHeader/>
        </w:trPr>
        <w:tc>
          <w:tcPr>
            <w:tcW w:type="dxa" w:w="141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SKU</w:t>
            </w:r>
          </w:p>
        </w:tc>
        <w:tc>
          <w:tcPr>
            <w:tcW w:type="dxa" w:w="163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Price</w:t>
            </w:r>
          </w:p>
        </w:tc>
        <w:tc>
          <w:tcPr>
            <w:tcW w:type="dxa" w:w="2765"/>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Profit / unit before ads (all-in)</w:t>
            </w:r>
          </w:p>
        </w:tc>
        <w:tc>
          <w:tcPr>
            <w:tcW w:type="dxa" w:w="1205"/>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Ex one-offs</w:t>
            </w:r>
          </w:p>
        </w:tc>
        <w:tc>
          <w:tcPr>
            <w:tcW w:type="dxa" w:w="2127"/>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Break-even ACoS (all-in)</w:t>
            </w:r>
          </w:p>
        </w:tc>
        <w:tc>
          <w:tcPr>
            <w:tcW w:type="dxa" w:w="2694"/>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Command Center contribution</w:t>
            </w:r>
          </w:p>
        </w:tc>
        <w:tc>
          <w:tcPr>
            <w:tcW w:type="dxa" w:w="2201"/>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Command Center break-even</w:t>
            </w:r>
          </w:p>
        </w:tc>
      </w:tr>
      <w:tr>
        <w:trPr>
          <w:tblHeader w:val="off"/>
        </w:trPr>
        <w:tc>
          <w:tcPr>
            <w:tcW w:type="dxa" w:w="141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Queen Black</w:t>
            </w:r>
          </w:p>
        </w:tc>
        <w:tc>
          <w:tcPr>
            <w:tcW w:type="dxa" w:w="163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$29.95</w:t>
            </w:r>
          </w:p>
        </w:tc>
        <w:tc>
          <w:tcPr>
            <w:tcW w:type="dxa" w:w="276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$1.61</w:t>
            </w:r>
          </w:p>
        </w:tc>
        <w:tc>
          <w:tcPr>
            <w:tcW w:type="dxa" w:w="120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$4.49</w:t>
            </w:r>
          </w:p>
        </w:tc>
        <w:tc>
          <w:tcPr>
            <w:tcW w:type="dxa" w:w="212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5.4%</w:t>
            </w:r>
          </w:p>
        </w:tc>
        <w:tc>
          <w:tcPr>
            <w:tcW w:type="dxa" w:w="269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$7.00</w:t>
            </w:r>
          </w:p>
        </w:tc>
        <w:tc>
          <w:tcPr>
            <w:tcW w:type="dxa" w:w="220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23.4%</w:t>
            </w:r>
          </w:p>
        </w:tc>
      </w:tr>
      <w:tr>
        <w:trPr>
          <w:tblHeader w:val="off"/>
        </w:trPr>
        <w:tc>
          <w:tcPr>
            <w:tcW w:type="dxa" w:w="141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King Black</w:t>
            </w:r>
          </w:p>
        </w:tc>
        <w:tc>
          <w:tcPr>
            <w:tcW w:type="dxa" w:w="163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$33.95</w:t>
            </w:r>
          </w:p>
        </w:tc>
        <w:tc>
          <w:tcPr>
            <w:tcW w:type="dxa" w:w="276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$7.97</w:t>
            </w:r>
          </w:p>
        </w:tc>
        <w:tc>
          <w:tcPr>
            <w:tcW w:type="dxa" w:w="120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$7.97</w:t>
            </w:r>
          </w:p>
        </w:tc>
        <w:tc>
          <w:tcPr>
            <w:tcW w:type="dxa" w:w="212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23.5%</w:t>
            </w:r>
          </w:p>
        </w:tc>
        <w:tc>
          <w:tcPr>
            <w:tcW w:type="dxa" w:w="269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$9.18</w:t>
            </w:r>
          </w:p>
        </w:tc>
        <w:tc>
          <w:tcPr>
            <w:tcW w:type="dxa" w:w="220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27.0%</w:t>
            </w:r>
          </w:p>
        </w:tc>
      </w:tr>
      <w:tr>
        <w:trPr>
          <w:tblHeader w:val="off"/>
        </w:trPr>
        <w:tc>
          <w:tcPr>
            <w:tcW w:type="dxa" w:w="141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King Red</w:t>
            </w:r>
          </w:p>
        </w:tc>
        <w:tc>
          <w:tcPr>
            <w:tcW w:type="dxa" w:w="163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$33.51 (realised)</w:t>
            </w:r>
          </w:p>
        </w:tc>
        <w:tc>
          <w:tcPr>
            <w:tcW w:type="dxa" w:w="276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$6.94</w:t>
            </w:r>
          </w:p>
        </w:tc>
        <w:tc>
          <w:tcPr>
            <w:tcW w:type="dxa" w:w="120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$6.94</w:t>
            </w:r>
          </w:p>
        </w:tc>
        <w:tc>
          <w:tcPr>
            <w:tcW w:type="dxa" w:w="212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20.7%</w:t>
            </w:r>
          </w:p>
        </w:tc>
        <w:tc>
          <w:tcPr>
            <w:tcW w:type="dxa" w:w="269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$23.86 (on a stale $51.95 price)</w:t>
            </w:r>
          </w:p>
        </w:tc>
        <w:tc>
          <w:tcPr>
            <w:tcW w:type="dxa" w:w="220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45.9%</w:t>
            </w:r>
          </w:p>
        </w:tc>
      </w:tr>
      <w:tr>
        <w:trPr>
          <w:tblHeader w:val="off"/>
        </w:trPr>
        <w:tc>
          <w:tcPr>
            <w:tcW w:type="dxa" w:w="141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Queen Rosewood</w:t>
            </w:r>
          </w:p>
        </w:tc>
        <w:tc>
          <w:tcPr>
            <w:tcW w:type="dxa" w:w="163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$31.95</w:t>
            </w:r>
          </w:p>
        </w:tc>
        <w:tc>
          <w:tcPr>
            <w:tcW w:type="dxa" w:w="276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$6.29</w:t>
            </w:r>
          </w:p>
        </w:tc>
        <w:tc>
          <w:tcPr>
            <w:tcW w:type="dxa" w:w="120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$6.85</w:t>
            </w:r>
          </w:p>
        </w:tc>
        <w:tc>
          <w:tcPr>
            <w:tcW w:type="dxa" w:w="212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19.7%</w:t>
            </w:r>
          </w:p>
        </w:tc>
        <w:tc>
          <w:tcPr>
            <w:tcW w:type="dxa" w:w="269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$8.78</w:t>
            </w:r>
          </w:p>
        </w:tc>
        <w:tc>
          <w:tcPr>
            <w:tcW w:type="dxa" w:w="220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27.5%</w:t>
            </w:r>
          </w:p>
        </w:tc>
      </w:tr>
      <w:tr>
        <w:trPr>
          <w:tblHeader w:val="off"/>
        </w:trPr>
        <w:tc>
          <w:tcPr>
            <w:tcW w:type="dxa" w:w="141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Full Black</w:t>
            </w:r>
          </w:p>
        </w:tc>
        <w:tc>
          <w:tcPr>
            <w:tcW w:type="dxa" w:w="163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$29.95</w:t>
            </w:r>
          </w:p>
        </w:tc>
        <w:tc>
          <w:tcPr>
            <w:tcW w:type="dxa" w:w="276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$4.41</w:t>
            </w:r>
          </w:p>
        </w:tc>
        <w:tc>
          <w:tcPr>
            <w:tcW w:type="dxa" w:w="120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$5.89</w:t>
            </w:r>
          </w:p>
        </w:tc>
        <w:tc>
          <w:tcPr>
            <w:tcW w:type="dxa" w:w="212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14.7%</w:t>
            </w:r>
          </w:p>
        </w:tc>
        <w:tc>
          <w:tcPr>
            <w:tcW w:type="dxa" w:w="269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$7.50</w:t>
            </w:r>
          </w:p>
        </w:tc>
        <w:tc>
          <w:tcPr>
            <w:tcW w:type="dxa" w:w="220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25.0%</w:t>
            </w:r>
          </w:p>
        </w:tc>
      </w:tr>
      <w:tr>
        <w:trPr>
          <w:tblHeader w:val="off"/>
        </w:trPr>
        <w:tc>
          <w:tcPr>
            <w:tcW w:type="dxa" w:w="141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Twin Black</w:t>
            </w:r>
          </w:p>
        </w:tc>
        <w:tc>
          <w:tcPr>
            <w:tcW w:type="dxa" w:w="163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$27.95</w:t>
            </w:r>
          </w:p>
        </w:tc>
        <w:tc>
          <w:tcPr>
            <w:tcW w:type="dxa" w:w="276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$4.97</w:t>
            </w:r>
          </w:p>
        </w:tc>
        <w:tc>
          <w:tcPr>
            <w:tcW w:type="dxa" w:w="120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$7.65</w:t>
            </w:r>
          </w:p>
        </w:tc>
        <w:tc>
          <w:tcPr>
            <w:tcW w:type="dxa" w:w="212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17.8%</w:t>
            </w:r>
          </w:p>
        </w:tc>
        <w:tc>
          <w:tcPr>
            <w:tcW w:type="dxa" w:w="269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$8.70</w:t>
            </w:r>
          </w:p>
        </w:tc>
        <w:tc>
          <w:tcPr>
            <w:tcW w:type="dxa" w:w="220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31.1%</w:t>
            </w:r>
          </w:p>
        </w:tc>
      </w:tr>
    </w:tbl>
    <w:p/>
    <w:p>
      <w:pPr>
        <w:spacing w:after="120"/>
      </w:pPr>
      <w:r>
        <w:rPr>
          <w:i/>
          <w:iCs/>
        </w:rPr>
        <w:t xml:space="preserve">Why Command Center reads higher: its contribution is list price less referral, FBA and landed cost. It leaves out refunds (about $1–2 a unit on the top SKUs), storage, LTSF and inbound charges, and it carries stale list prices on some SKUs (Queen Purple $46.95 and King Red $51.95, against $31.95 and $33.51 realised). Queen Black also took a $181 inbound-defect fee in September.</w:t>
      </w:r>
    </w:p>
    <w:p>
      <w:pPr>
        <w:spacing w:after="120"/>
      </w:pPr>
      <w:r>
        <w:rPr>
          <w:b/>
          <w:bCs/>
        </w:rPr>
        <w:t xml:space="preserve">Twelve months</w:t>
      </w:r>
      <w:r>
        <w:t xml:space="preserve"> (Sellerboard):</w:t>
      </w:r>
    </w:p>
    <w:p>
      <w:pPr>
        <w:pStyle w:val="ListParagraph"/>
        <w:numPr>
          <w:ilvl w:val="0"/>
          <w:numId w:val="3"/>
        </w:numPr>
      </w:pPr>
      <w:r>
        <w:t xml:space="preserve">Net margin was negative in 12 of 13 months.</w:t>
      </w:r>
    </w:p>
    <w:p>
      <w:pPr>
        <w:pStyle w:val="ListParagraph"/>
        <w:numPr>
          <w:ilvl w:val="0"/>
          <w:numId w:val="3"/>
        </w:numPr>
      </w:pPr>
      <w:r>
        <w:t xml:space="preserve">November to January was worst (−17% to −29%), when storage ran $9–13k a month.</w:t>
      </w:r>
    </w:p>
    <w:p>
      <w:pPr>
        <w:pStyle w:val="ListParagraph"/>
        <w:numPr>
          <w:ilvl w:val="0"/>
          <w:numId w:val="3"/>
        </w:numPr>
      </w:pPr>
      <w:r>
        <w:t xml:space="preserve">Units peaked in December (74 a day) and in June–July (about 62 a day, with deals and coupons).</w:t>
      </w:r>
    </w:p>
    <w:p>
      <w:pPr>
        <w:pStyle w:val="ListParagraph"/>
        <w:numPr>
          <w:ilvl w:val="0"/>
          <w:numId w:val="3"/>
        </w:numPr>
      </w:pPr>
      <w:r>
        <w:t xml:space="preserve">September is the lowest month in the series, at 21 a day, below last September's 25.</w:t>
      </w:r>
    </w:p>
    <w:p>
      <w:pPr>
        <w:pStyle w:val="ListParagraph"/>
        <w:numPr>
          <w:ilvl w:val="0"/>
          <w:numId w:val="3"/>
        </w:numPr>
      </w:pPr>
      <w:r>
        <w:t xml:space="preserve">TACoS has run 14–20% throughout.</w:t>
      </w:r>
    </w:p>
    <w:p>
      <w:pPr>
        <w:pStyle w:val="ListParagraph"/>
        <w:numPr>
          <w:ilvl w:val="0"/>
          <w:numId w:val="3"/>
        </w:numPr>
      </w:pPr>
      <w:r>
        <w:t xml:space="preserve">Last year's Q4 against September: October 1.18×, November 1.90×, December 3.05×.</w:t>
      </w:r>
    </w:p>
    <w:p>
      <w:pPr>
        <w:pStyle w:val="Heading1"/>
      </w:pPr>
      <w:r>
        <w:t xml:space="preserve">2. What happened to spend</w:t>
      </w:r>
    </w:p>
    <w:p>
      <w:pPr>
        <w:spacing w:after="120"/>
      </w:pPr>
      <w:r>
        <w:t xml:space="preserve">Command Center, product 31, against the equal window before it:</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1567"/>
        <w:gridCol w:w="1567"/>
        <w:gridCol w:w="1567"/>
        <w:gridCol w:w="1306"/>
        <w:gridCol w:w="1306"/>
        <w:gridCol w:w="1436"/>
        <w:gridCol w:w="1306"/>
        <w:gridCol w:w="1371"/>
        <w:gridCol w:w="1306"/>
        <w:gridCol w:w="1308"/>
      </w:tblGrid>
      <w:tr>
        <w:trPr>
          <w:tblHeader/>
        </w:trPr>
        <w:tc>
          <w:tcPr>
            <w:tcW w:type="dxa" w:w="1567"/>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Window</w:t>
            </w:r>
          </w:p>
        </w:tc>
        <w:tc>
          <w:tcPr>
            <w:tcW w:type="dxa" w:w="1567"/>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Spend</w:t>
            </w:r>
          </w:p>
        </w:tc>
        <w:tc>
          <w:tcPr>
            <w:tcW w:type="dxa" w:w="1567"/>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Ad sales</w:t>
            </w:r>
          </w:p>
        </w:tc>
        <w:tc>
          <w:tcPr>
            <w:tcW w:type="dxa" w:w="130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ACoS</w:t>
            </w:r>
          </w:p>
        </w:tc>
        <w:tc>
          <w:tcPr>
            <w:tcW w:type="dxa" w:w="130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TACoS</w:t>
            </w:r>
          </w:p>
        </w:tc>
        <w:tc>
          <w:tcPr>
            <w:tcW w:type="dxa" w:w="143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Clicks</w:t>
            </w:r>
          </w:p>
        </w:tc>
        <w:tc>
          <w:tcPr>
            <w:tcW w:type="dxa" w:w="130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CTR</w:t>
            </w:r>
          </w:p>
        </w:tc>
        <w:tc>
          <w:tcPr>
            <w:tcW w:type="dxa" w:w="1371"/>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Ad CVR</w:t>
            </w:r>
          </w:p>
        </w:tc>
        <w:tc>
          <w:tcPr>
            <w:tcW w:type="dxa" w:w="130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CPC</w:t>
            </w:r>
          </w:p>
        </w:tc>
        <w:tc>
          <w:tcPr>
            <w:tcW w:type="dxa" w:w="130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Orders</w:t>
            </w:r>
          </w:p>
        </w:tc>
      </w:tr>
      <w:tr>
        <w:trPr>
          <w:tblHeader w:val="off"/>
        </w:trPr>
        <w:tc>
          <w:tcPr>
            <w:tcW w:type="dxa" w:w="156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7d vs 17–23 Sep</w:t>
            </w:r>
          </w:p>
        </w:tc>
        <w:tc>
          <w:tcPr>
            <w:tcW w:type="dxa" w:w="156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$603 vs $586</w:t>
            </w:r>
          </w:p>
        </w:tc>
        <w:tc>
          <w:tcPr>
            <w:tcW w:type="dxa" w:w="156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$1,653 vs $1,917</w:t>
            </w:r>
          </w:p>
        </w:tc>
        <w:tc>
          <w:tcPr>
            <w:tcW w:type="dxa" w:w="13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36.5% vs 30.6%</w:t>
            </w:r>
          </w:p>
        </w:tc>
        <w:tc>
          <w:tcPr>
            <w:tcW w:type="dxa" w:w="13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18.2% vs 15.5%</w:t>
            </w:r>
          </w:p>
        </w:tc>
        <w:tc>
          <w:tcPr>
            <w:tcW w:type="dxa" w:w="14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570 vs 637</w:t>
            </w:r>
          </w:p>
        </w:tc>
        <w:tc>
          <w:tcPr>
            <w:tcW w:type="dxa" w:w="13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0.67% vs 0.56%</w:t>
            </w:r>
          </w:p>
        </w:tc>
        <w:tc>
          <w:tcPr>
            <w:tcW w:type="dxa" w:w="137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8.95% vs 9.26%</w:t>
            </w:r>
          </w:p>
        </w:tc>
        <w:tc>
          <w:tcPr>
            <w:tcW w:type="dxa" w:w="13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$1.06 vs $0.92</w:t>
            </w:r>
          </w:p>
        </w:tc>
        <w:tc>
          <w:tcPr>
            <w:tcW w:type="dxa" w:w="130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51 vs 59</w:t>
            </w:r>
          </w:p>
        </w:tc>
      </w:tr>
      <w:tr>
        <w:trPr>
          <w:tblHeader w:val="off"/>
        </w:trPr>
        <w:tc>
          <w:tcPr>
            <w:tcW w:type="dxa" w:w="156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14d vs 3–16 Sep</w:t>
            </w:r>
          </w:p>
        </w:tc>
        <w:tc>
          <w:tcPr>
            <w:tcW w:type="dxa" w:w="156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$1,190 vs $1,482</w:t>
            </w:r>
          </w:p>
        </w:tc>
        <w:tc>
          <w:tcPr>
            <w:tcW w:type="dxa" w:w="156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$3,570 vs $5,192</w:t>
            </w:r>
          </w:p>
        </w:tc>
        <w:tc>
          <w:tcPr>
            <w:tcW w:type="dxa" w:w="13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33.3% vs 28.5%</w:t>
            </w:r>
          </w:p>
        </w:tc>
        <w:tc>
          <w:tcPr>
            <w:tcW w:type="dxa" w:w="13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16.7% vs 14.9%</w:t>
            </w:r>
          </w:p>
        </w:tc>
        <w:tc>
          <w:tcPr>
            <w:tcW w:type="dxa" w:w="14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1,207 vs 1,742</w:t>
            </w:r>
          </w:p>
        </w:tc>
        <w:tc>
          <w:tcPr>
            <w:tcW w:type="dxa" w:w="13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0.61% vs 0.70%</w:t>
            </w:r>
          </w:p>
        </w:tc>
        <w:tc>
          <w:tcPr>
            <w:tcW w:type="dxa" w:w="137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9.11% vs 9.13%</w:t>
            </w:r>
          </w:p>
        </w:tc>
        <w:tc>
          <w:tcPr>
            <w:tcW w:type="dxa" w:w="13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$0.99 vs $0.85</w:t>
            </w:r>
          </w:p>
        </w:tc>
        <w:tc>
          <w:tcPr>
            <w:tcW w:type="dxa" w:w="130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110 vs 159</w:t>
            </w:r>
          </w:p>
        </w:tc>
      </w:tr>
      <w:tr>
        <w:trPr>
          <w:tblHeader w:val="off"/>
        </w:trPr>
        <w:tc>
          <w:tcPr>
            <w:tcW w:type="dxa" w:w="156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30d vs 2–31 Aug</w:t>
            </w:r>
          </w:p>
        </w:tc>
        <w:tc>
          <w:tcPr>
            <w:tcW w:type="dxa" w:w="156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$2,903 vs $10,111</w:t>
            </w:r>
          </w:p>
        </w:tc>
        <w:tc>
          <w:tcPr>
            <w:tcW w:type="dxa" w:w="156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$9,723 vs $32,348</w:t>
            </w:r>
          </w:p>
        </w:tc>
        <w:tc>
          <w:tcPr>
            <w:tcW w:type="dxa" w:w="13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29.9% vs 31.3%</w:t>
            </w:r>
          </w:p>
        </w:tc>
        <w:tc>
          <w:tcPr>
            <w:tcW w:type="dxa" w:w="13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14.9% vs 19.0%</w:t>
            </w:r>
          </w:p>
        </w:tc>
        <w:tc>
          <w:tcPr>
            <w:tcW w:type="dxa" w:w="14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3,188 vs 9,628</w:t>
            </w:r>
          </w:p>
        </w:tc>
        <w:tc>
          <w:tcPr>
            <w:tcW w:type="dxa" w:w="13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0.66% vs 0.61%</w:t>
            </w:r>
          </w:p>
        </w:tc>
        <w:tc>
          <w:tcPr>
            <w:tcW w:type="dxa" w:w="137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9.32% vs 9.89%</w:t>
            </w:r>
          </w:p>
        </w:tc>
        <w:tc>
          <w:tcPr>
            <w:tcW w:type="dxa" w:w="13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$0.91 vs $1.05</w:t>
            </w:r>
          </w:p>
        </w:tc>
        <w:tc>
          <w:tcPr>
            <w:tcW w:type="dxa" w:w="130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297 vs 952</w:t>
            </w:r>
          </w:p>
        </w:tc>
      </w:tr>
      <w:tr>
        <w:trPr>
          <w:tblHeader w:val="off"/>
        </w:trPr>
        <w:tc>
          <w:tcPr>
            <w:tcW w:type="dxa" w:w="156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60d vs 3 Jun–1 Aug</w:t>
            </w:r>
          </w:p>
        </w:tc>
        <w:tc>
          <w:tcPr>
            <w:tcW w:type="dxa" w:w="156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$13,014 vs $21,091</w:t>
            </w:r>
          </w:p>
        </w:tc>
        <w:tc>
          <w:tcPr>
            <w:tcW w:type="dxa" w:w="156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$42,072 vs $75,128</w:t>
            </w:r>
          </w:p>
        </w:tc>
        <w:tc>
          <w:tcPr>
            <w:tcW w:type="dxa" w:w="13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30.9% vs 28.1%</w:t>
            </w:r>
          </w:p>
        </w:tc>
        <w:tc>
          <w:tcPr>
            <w:tcW w:type="dxa" w:w="13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17.9% vs 17.8%</w:t>
            </w:r>
          </w:p>
        </w:tc>
        <w:tc>
          <w:tcPr>
            <w:tcW w:type="dxa" w:w="14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12,816 vs 23,571</w:t>
            </w:r>
          </w:p>
        </w:tc>
        <w:tc>
          <w:tcPr>
            <w:tcW w:type="dxa" w:w="13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0.62% vs 0.74%</w:t>
            </w:r>
          </w:p>
        </w:tc>
        <w:tc>
          <w:tcPr>
            <w:tcW w:type="dxa" w:w="137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9.75% vs 10.20%</w:t>
            </w:r>
          </w:p>
        </w:tc>
        <w:tc>
          <w:tcPr>
            <w:tcW w:type="dxa" w:w="13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$1.02 vs $0.89</w:t>
            </w:r>
          </w:p>
        </w:tc>
        <w:tc>
          <w:tcPr>
            <w:tcW w:type="dxa" w:w="130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1,249 vs 2,405</w:t>
            </w:r>
          </w:p>
        </w:tc>
      </w:tr>
      <w:tr>
        <w:trPr>
          <w:tblHeader w:val="off"/>
        </w:trPr>
        <w:tc>
          <w:tcPr>
            <w:tcW w:type="dxa" w:w="156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90d vs 4 Apr–2 Jul</w:t>
            </w:r>
          </w:p>
        </w:tc>
        <w:tc>
          <w:tcPr>
            <w:tcW w:type="dxa" w:w="156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$22,385 vs $25,924</w:t>
            </w:r>
          </w:p>
        </w:tc>
        <w:tc>
          <w:tcPr>
            <w:tcW w:type="dxa" w:w="156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$77,778 vs $89,935</w:t>
            </w:r>
          </w:p>
        </w:tc>
        <w:tc>
          <w:tcPr>
            <w:tcW w:type="dxa" w:w="13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28.8% vs 28.8%</w:t>
            </w:r>
          </w:p>
        </w:tc>
        <w:tc>
          <w:tcPr>
            <w:tcW w:type="dxa" w:w="13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17.3% vs 18.1%</w:t>
            </w:r>
          </w:p>
        </w:tc>
        <w:tc>
          <w:tcPr>
            <w:tcW w:type="dxa" w:w="14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21,992 vs 31,312</w:t>
            </w:r>
          </w:p>
        </w:tc>
        <w:tc>
          <w:tcPr>
            <w:tcW w:type="dxa" w:w="13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0.57% vs 0.86%</w:t>
            </w:r>
          </w:p>
        </w:tc>
        <w:tc>
          <w:tcPr>
            <w:tcW w:type="dxa" w:w="137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10.99% vs 8.83%</w:t>
            </w:r>
          </w:p>
        </w:tc>
        <w:tc>
          <w:tcPr>
            <w:tcW w:type="dxa" w:w="13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$1.02 vs $0.83</w:t>
            </w:r>
          </w:p>
        </w:tc>
        <w:tc>
          <w:tcPr>
            <w:tcW w:type="dxa" w:w="130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2,416 vs 2,764</w:t>
            </w:r>
          </w:p>
        </w:tc>
      </w:tr>
    </w:tbl>
    <w:p/>
    <w:p>
      <w:pPr>
        <w:spacing w:after="120"/>
      </w:pPr>
      <w:r>
        <w:rPr>
          <w:i/>
          <w:iCs/>
        </w:rPr>
        <w:t xml:space="preserve">7d and 14d contain unsettled days. The 30d prior window has 13 deal days; September has none until the 30 Sep deal.</w:t>
      </w:r>
    </w:p>
    <w:p>
      <w:pPr>
        <w:spacing w:after="120"/>
      </w:pPr>
      <w:r>
        <w:rPr>
          <w:b/>
          <w:bCs/>
        </w:rPr>
        <w:t xml:space="preserve">The timeline:</w:t>
      </w:r>
    </w:p>
    <w:p>
      <w:pPr>
        <w:pStyle w:val="ListParagraph"/>
        <w:numPr>
          <w:ilvl w:val="0"/>
          <w:numId w:val="3"/>
        </w:numPr>
      </w:pPr>
      <w:r>
        <w:rPr>
          <w:b/>
          <w:bCs/>
        </w:rPr>
        <w:t xml:space="preserve">Spend ramped</w:t>
      </w:r>
      <w:r>
        <w:t xml:space="preserve"> from 23 Jul, before the July Best Deal, to $3.2–3.6k a week.</w:t>
      </w:r>
    </w:p>
    <w:p>
      <w:pPr>
        <w:pStyle w:val="ListParagraph"/>
        <w:numPr>
          <w:ilvl w:val="0"/>
          <w:numId w:val="3"/>
        </w:numPr>
      </w:pPr>
      <w:r>
        <w:rPr>
          <w:b/>
          <w:bCs/>
        </w:rPr>
        <w:t xml:space="preserve">After the deal</w:t>
      </w:r>
      <w:r>
        <w:t xml:space="preserve"> (13–26 Aug), ACoS rose to 37–40% while spend stayed at about $2.2k a week.</w:t>
      </w:r>
    </w:p>
    <w:p>
      <w:pPr>
        <w:pStyle w:val="ListParagraph"/>
        <w:numPr>
          <w:ilvl w:val="0"/>
          <w:numId w:val="3"/>
        </w:numPr>
      </w:pPr>
      <w:r>
        <w:rPr>
          <w:b/>
          <w:bCs/>
        </w:rPr>
        <w:t xml:space="preserve">From 27 Aug</w:t>
      </w:r>
      <w:r>
        <w:t xml:space="preserve"> spend was cut by more than half, and it has kept falling to about $600 a week. Settled weeks since then run at 27–31% ACoS, about Command Center's break-even but well above Sellerboard's.</w:t>
      </w:r>
    </w:p>
    <w:p>
      <w:pPr>
        <w:pStyle w:val="ListParagraph"/>
        <w:numPr>
          <w:ilvl w:val="0"/>
          <w:numId w:val="3"/>
        </w:numPr>
      </w:pPr>
      <w:r>
        <w:rPr>
          <w:b/>
          <w:bCs/>
        </w:rPr>
        <w:t xml:space="preserve">Orders fell</w:t>
      </w:r>
      <w:r>
        <w:t xml:space="preserve"> from about 87 to 59 a week.</w:t>
      </w:r>
    </w:p>
    <w:p>
      <w:pPr>
        <w:pStyle w:val="ListParagraph"/>
        <w:numPr>
          <w:ilvl w:val="0"/>
          <w:numId w:val="3"/>
        </w:numPr>
      </w:pPr>
      <w:r>
        <w:rPr>
          <w:b/>
          <w:bCs/>
        </w:rPr>
        <w:t xml:space="preserve">What fell most:</w:t>
      </w:r>
    </w:p>
    <w:p>
      <w:pPr>
        <w:pStyle w:val="ListParagraph"/>
        <w:numPr>
          <w:ilvl w:val="1"/>
          <w:numId w:val="3"/>
        </w:numPr>
      </w:pPr>
      <w:r>
        <w:t xml:space="preserve">"king silk sheets": $824 → $35 a month (Aug → Sep).</w:t>
      </w:r>
    </w:p>
    <w:p>
      <w:pPr>
        <w:pStyle w:val="ListParagraph"/>
        <w:numPr>
          <w:ilvl w:val="1"/>
          <w:numId w:val="3"/>
        </w:numPr>
      </w:pPr>
      <w:r>
        <w:t xml:space="preserve">"satin sheets queen size": $557 → $34.</w:t>
      </w:r>
    </w:p>
    <w:p>
      <w:pPr>
        <w:pStyle w:val="ListParagraph"/>
        <w:numPr>
          <w:ilvl w:val="1"/>
          <w:numId w:val="3"/>
        </w:numPr>
      </w:pPr>
      <w:r>
        <w:t xml:space="preserve">"queen silk sheet set": $504 → $52.</w:t>
      </w:r>
    </w:p>
    <w:p>
      <w:pPr>
        <w:pStyle w:val="ListParagraph"/>
        <w:numPr>
          <w:ilvl w:val="1"/>
          <w:numId w:val="3"/>
        </w:numPr>
      </w:pPr>
      <w:r>
        <w:t xml:space="preserve">"satin sheets king": $451 → $76.</w:t>
      </w:r>
    </w:p>
    <w:p>
      <w:pPr>
        <w:pStyle w:val="ListParagraph"/>
        <w:numPr>
          <w:ilvl w:val="1"/>
          <w:numId w:val="3"/>
        </w:numPr>
      </w:pPr>
      <w:r>
        <w:t xml:space="preserve">"silk sheets": $312 → $20.</w:t>
      </w:r>
    </w:p>
    <w:p>
      <w:pPr>
        <w:pStyle w:val="ListParagraph"/>
        <w:numPr>
          <w:ilvl w:val="1"/>
          <w:numId w:val="3"/>
        </w:numPr>
      </w:pPr>
      <w:r>
        <w:t xml:space="preserve">The catch-all auto: $1,003 → $79.</w:t>
      </w:r>
    </w:p>
    <w:p>
      <w:pPr>
        <w:pStyle w:val="ListParagraph"/>
        <w:numPr>
          <w:ilvl w:val="0"/>
          <w:numId w:val="3"/>
        </w:numPr>
      </w:pPr>
      <w:r>
        <w:rPr>
          <w:b/>
          <w:bCs/>
        </w:rPr>
        <w:t xml:space="preserve">No record of why.</w:t>
      </w:r>
      <w:r>
        <w:t xml:space="preserve"> The engine has logged no decisions on S6 in 60 or 180 days, so the cut was made outside it and there is nothing to grade. The new title and highlights went live on 25 Aug, two days before the step down.</w:t>
      </w:r>
    </w:p>
    <w:p>
      <w:pPr>
        <w:pStyle w:val="ListParagraph"/>
        <w:numPr>
          <w:ilvl w:val="0"/>
          <w:numId w:val="3"/>
        </w:numPr>
      </w:pPr>
      <w:r>
        <w:rPr>
          <w:b/>
          <w:bCs/>
        </w:rPr>
        <w:t xml:space="preserve">Where the spend is now</w:t>
      </w:r>
      <w:r>
        <w:t xml:space="preserve"> (September, campaign view): Liquidation 37.7%, Ranking 32.4%, Defensive 16.1%, Discovery 4.9%, Conquesting 4.5%, no objective 4.4%. 90 days earlier it was Ranking 46.4%, Liquidation 23.0%, Discovery 17.3%. Ranking-objective spend: $12.4k over 90 days, $7.3k over 60, $1.46k over 30.</w:t>
      </w:r>
    </w:p>
    <w:p>
      <w:pPr>
        <w:pStyle w:val="Heading1"/>
      </w:pPr>
      <w:r>
        <w:t xml:space="preserve">3. Deals</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2404"/>
        <w:gridCol w:w="4188"/>
        <w:gridCol w:w="5119"/>
        <w:gridCol w:w="2329"/>
      </w:tblGrid>
      <w:tr>
        <w:trPr>
          <w:tblHeader/>
        </w:trPr>
        <w:tc>
          <w:tcPr>
            <w:tcW w:type="dxa" w:w="2404"/>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Dates</w:t>
            </w:r>
          </w:p>
        </w:tc>
        <w:tc>
          <w:tcPr>
            <w:tcW w:type="dxa" w:w="418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Deal</w:t>
            </w:r>
          </w:p>
        </w:tc>
        <w:tc>
          <w:tcPr>
            <w:tcW w:type="dxa" w:w="5119"/>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What is known</w:t>
            </w:r>
          </w:p>
        </w:tc>
        <w:tc>
          <w:tcPr>
            <w:tcW w:type="dxa" w:w="2329"/>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In windows</w:t>
            </w:r>
          </w:p>
        </w:tc>
      </w:tr>
      <w:tr>
        <w:trPr>
          <w:tblHeader w:val="off"/>
        </w:trPr>
        <w:tc>
          <w:tcPr>
            <w:tcW w:type="dxa" w:w="240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25 Jun–8 Jul</w:t>
            </w:r>
          </w:p>
        </w:tc>
        <w:tc>
          <w:tcPr>
            <w:tcW w:type="dxa" w:w="418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June Best Deal</w:t>
            </w:r>
          </w:p>
        </w:tc>
        <w:tc>
          <w:tcPr>
            <w:tcW w:type="dxa" w:w="511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Command Center calendar</w:t>
            </w:r>
          </w:p>
        </w:tc>
        <w:tc>
          <w:tcPr>
            <w:tcW w:type="dxa" w:w="232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90d (3–8 Jul)</w:t>
            </w:r>
          </w:p>
        </w:tc>
      </w:tr>
      <w:tr>
        <w:trPr>
          <w:tblHeader w:val="off"/>
        </w:trPr>
        <w:tc>
          <w:tcPr>
            <w:tcW w:type="dxa" w:w="240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18 Jul</w:t>
            </w:r>
          </w:p>
        </w:tc>
        <w:tc>
          <w:tcPr>
            <w:tcW w:type="dxa" w:w="418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Lightning Deal</w:t>
            </w:r>
          </w:p>
        </w:tc>
        <w:tc>
          <w:tcPr>
            <w:tcW w:type="dxa" w:w="511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Command Center</w:t>
            </w:r>
          </w:p>
        </w:tc>
        <w:tc>
          <w:tcPr>
            <w:tcW w:type="dxa" w:w="232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90d</w:t>
            </w:r>
          </w:p>
        </w:tc>
      </w:tr>
      <w:tr>
        <w:trPr>
          <w:tblHeader w:val="off"/>
        </w:trPr>
        <w:tc>
          <w:tcPr>
            <w:tcW w:type="dxa" w:w="240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Jul–mid Aug</w:t>
            </w:r>
          </w:p>
        </w:tc>
        <w:tc>
          <w:tcPr>
            <w:tcW w:type="dxa" w:w="418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Coupons and SMPC for LTSF clearance</w:t>
            </w:r>
          </w:p>
        </w:tc>
        <w:tc>
          <w:tcPr>
            <w:tcW w:type="dxa" w:w="511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$597 (Jul) and $5,932 (Aug) of promotion value</w:t>
            </w:r>
          </w:p>
        </w:tc>
        <w:tc>
          <w:tcPr>
            <w:tcW w:type="dxa" w:w="232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60d, 90d</w:t>
            </w:r>
          </w:p>
        </w:tc>
      </w:tr>
      <w:tr>
        <w:trPr>
          <w:tblHeader w:val="off"/>
        </w:trPr>
        <w:tc>
          <w:tcPr>
            <w:tcW w:type="dxa" w:w="240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31 Jul–13 Aug</w:t>
            </w:r>
          </w:p>
        </w:tc>
        <w:tc>
          <w:tcPr>
            <w:tcW w:type="dxa" w:w="418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July Best Deal</w:t>
            </w:r>
          </w:p>
        </w:tc>
        <w:tc>
          <w:tcPr>
            <w:tcW w:type="dxa" w:w="511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Command Center; the Drive tracker says 13–25 Jul instead (1,343 units)</w:t>
            </w:r>
          </w:p>
        </w:tc>
        <w:tc>
          <w:tcPr>
            <w:tcW w:type="dxa" w:w="232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60d, 90d</w:t>
            </w:r>
          </w:p>
        </w:tc>
      </w:tr>
      <w:tr>
        <w:trPr>
          <w:tblHeader w:val="off"/>
        </w:trPr>
        <w:tc>
          <w:tcPr>
            <w:tcW w:type="dxa" w:w="240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7 Aug, 11 Aug</w:t>
            </w:r>
          </w:p>
        </w:tc>
        <w:tc>
          <w:tcPr>
            <w:tcW w:type="dxa" w:w="418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Lightning Deals</w:t>
            </w:r>
          </w:p>
        </w:tc>
        <w:tc>
          <w:tcPr>
            <w:tcW w:type="dxa" w:w="511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7 Aug: 207 units at $20.50, net −$1,175. 11 Aug: 66 units against 63 a day before; the week after was lower than the week before (Slack)</w:t>
            </w:r>
          </w:p>
        </w:tc>
        <w:tc>
          <w:tcPr>
            <w:tcW w:type="dxa" w:w="232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60d, 90d</w:t>
            </w:r>
          </w:p>
        </w:tc>
      </w:tr>
      <w:tr>
        <w:trPr>
          <w:tblHeader w:val="off"/>
        </w:trPr>
        <w:tc>
          <w:tcPr>
            <w:tcW w:type="dxa" w:w="240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16 Aug</w:t>
            </w:r>
          </w:p>
        </w:tc>
        <w:tc>
          <w:tcPr>
            <w:tcW w:type="dxa" w:w="418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"August Lightning"</w:t>
            </w:r>
          </w:p>
        </w:tc>
        <w:tc>
          <w:tcPr>
            <w:tcW w:type="dxa" w:w="511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Command Center only; no visible spike</w:t>
            </w:r>
          </w:p>
        </w:tc>
        <w:tc>
          <w:tcPr>
            <w:tcW w:type="dxa" w:w="232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60d, 90d</w:t>
            </w:r>
          </w:p>
        </w:tc>
      </w:tr>
      <w:tr>
        <w:trPr>
          <w:tblHeader w:val="off"/>
        </w:trPr>
        <w:tc>
          <w:tcPr>
            <w:tcW w:type="dxa" w:w="240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24 Aug → killed 26 Aug</w:t>
            </w:r>
          </w:p>
        </w:tc>
        <w:tc>
          <w:tcPr>
            <w:tcW w:type="dxa" w:w="418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Best Deal D109</w:t>
            </w:r>
          </w:p>
        </w:tc>
        <w:tc>
          <w:tcPr>
            <w:tcW w:type="dxa" w:w="511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66 units in 2 days, −$7.34 a unit net; 1.74× uplift</w:t>
            </w:r>
          </w:p>
        </w:tc>
        <w:tc>
          <w:tcPr>
            <w:tcW w:type="dxa" w:w="232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60d, 90d</w:t>
            </w:r>
          </w:p>
        </w:tc>
      </w:tr>
      <w:tr>
        <w:trPr>
          <w:tblHeader w:val="off"/>
        </w:trPr>
        <w:tc>
          <w:tcPr>
            <w:tcW w:type="dxa" w:w="240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30 Sep (today)</w:t>
            </w:r>
          </w:p>
        </w:tc>
        <w:tc>
          <w:tcPr>
            <w:tcW w:type="dxa" w:w="418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US Lightning Deal, 15% off, 99 of 116 variations</w:t>
            </w:r>
          </w:p>
        </w:tc>
        <w:tc>
          <w:tcPr>
            <w:tcW w:type="dxa" w:w="511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Brand Management recommended not running it; Joseph: "we should probably cancel". </w:t>
            </w:r>
            <w:r>
              <w:rPr>
                <w:b/>
                <w:bCs/>
                <w:sz w:val="17"/>
                <w:szCs w:val="17"/>
              </w:rPr>
              <w:t xml:space="preserve">Final status not found</w:t>
            </w:r>
            <w:r>
              <w:rPr>
                <w:sz w:val="17"/>
                <w:szCs w:val="17"/>
              </w:rPr>
              <w:t xml:space="preserve">; Command Center shows 1 click so far</w:t>
            </w:r>
          </w:p>
        </w:tc>
        <w:tc>
          <w:tcPr>
            <w:tcW w:type="dxa" w:w="232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all windows, partial day</w:t>
            </w:r>
          </w:p>
        </w:tc>
      </w:tr>
      <w:tr>
        <w:trPr>
          <w:tblHeader w:val="off"/>
        </w:trPr>
        <w:tc>
          <w:tcPr>
            <w:tcW w:type="dxa" w:w="240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Oct (Prime Big Deal Days)</w:t>
            </w:r>
          </w:p>
        </w:tc>
        <w:tc>
          <w:tcPr>
            <w:tcW w:type="dxa" w:w="418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Lightning Deal, accepted</w:t>
            </w:r>
          </w:p>
        </w:tc>
        <w:tc>
          <w:tcPr>
            <w:tcW w:type="dxa" w:w="511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Amazon hasn't confirmed the date</w:t>
            </w:r>
          </w:p>
        </w:tc>
        <w:tc>
          <w:tcPr>
            <w:tcW w:type="dxa" w:w="232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upcoming</w:t>
            </w:r>
          </w:p>
        </w:tc>
      </w:tr>
    </w:tbl>
    <w:p/>
    <w:p>
      <w:pPr>
        <w:spacing w:after="120"/>
      </w:pPr>
      <w:r>
        <w:rPr>
          <w:b/>
          <w:bCs/>
        </w:rPr>
        <w:t xml:space="preserve">What 15% off leaves</w:t>
      </w:r>
      <w:r>
        <w:t xml:space="preserve"> (Sellerboard, 30d, before the $70 + 1% deal fee):</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2211"/>
        <w:gridCol w:w="3427"/>
        <w:gridCol w:w="4090"/>
        <w:gridCol w:w="4312"/>
      </w:tblGrid>
      <w:tr>
        <w:trPr>
          <w:tblHeader/>
        </w:trPr>
        <w:tc>
          <w:tcPr>
            <w:tcW w:type="dxa" w:w="2211"/>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Colour</w:t>
            </w:r>
          </w:p>
        </w:tc>
        <w:tc>
          <w:tcPr>
            <w:tcW w:type="dxa" w:w="3427"/>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Profit a unit, full price</w:t>
            </w:r>
          </w:p>
        </w:tc>
        <w:tc>
          <w:tcPr>
            <w:tcW w:type="dxa" w:w="409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Profit a unit at the deal price</w:t>
            </w:r>
          </w:p>
        </w:tc>
        <w:tc>
          <w:tcPr>
            <w:tcW w:type="dxa" w:w="4312"/>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Break-even ACoS at the deal price</w:t>
            </w:r>
          </w:p>
        </w:tc>
      </w:tr>
      <w:tr>
        <w:trPr>
          <w:tblHeader w:val="off"/>
        </w:trPr>
        <w:tc>
          <w:tcPr>
            <w:tcW w:type="dxa" w:w="221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Queen Black</w:t>
            </w:r>
          </w:p>
        </w:tc>
        <w:tc>
          <w:tcPr>
            <w:tcW w:type="dxa" w:w="342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$1.61</w:t>
            </w:r>
          </w:p>
        </w:tc>
        <w:tc>
          <w:tcPr>
            <w:tcW w:type="dxa" w:w="409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−$2.21</w:t>
            </w:r>
          </w:p>
        </w:tc>
        <w:tc>
          <w:tcPr>
            <w:tcW w:type="dxa" w:w="431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negative</w:t>
            </w:r>
          </w:p>
        </w:tc>
      </w:tr>
      <w:tr>
        <w:trPr>
          <w:tblHeader w:val="off"/>
        </w:trPr>
        <w:tc>
          <w:tcPr>
            <w:tcW w:type="dxa" w:w="221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King Black</w:t>
            </w:r>
          </w:p>
        </w:tc>
        <w:tc>
          <w:tcPr>
            <w:tcW w:type="dxa" w:w="342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$7.97</w:t>
            </w:r>
          </w:p>
        </w:tc>
        <w:tc>
          <w:tcPr>
            <w:tcW w:type="dxa" w:w="409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$3.64</w:t>
            </w:r>
          </w:p>
        </w:tc>
        <w:tc>
          <w:tcPr>
            <w:tcW w:type="dxa" w:w="431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12.6%</w:t>
            </w:r>
          </w:p>
        </w:tc>
      </w:tr>
      <w:tr>
        <w:trPr>
          <w:tblHeader w:val="off"/>
        </w:trPr>
        <w:tc>
          <w:tcPr>
            <w:tcW w:type="dxa" w:w="221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Full Black</w:t>
            </w:r>
          </w:p>
        </w:tc>
        <w:tc>
          <w:tcPr>
            <w:tcW w:type="dxa" w:w="342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$4.41</w:t>
            </w:r>
          </w:p>
        </w:tc>
        <w:tc>
          <w:tcPr>
            <w:tcW w:type="dxa" w:w="409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$0.60</w:t>
            </w:r>
          </w:p>
        </w:tc>
        <w:tc>
          <w:tcPr>
            <w:tcW w:type="dxa" w:w="431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2.3%</w:t>
            </w:r>
          </w:p>
        </w:tc>
      </w:tr>
      <w:tr>
        <w:trPr>
          <w:tblHeader w:val="off"/>
        </w:trPr>
        <w:tc>
          <w:tcPr>
            <w:tcW w:type="dxa" w:w="221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Queen Rosewood</w:t>
            </w:r>
          </w:p>
        </w:tc>
        <w:tc>
          <w:tcPr>
            <w:tcW w:type="dxa" w:w="342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$6.29</w:t>
            </w:r>
          </w:p>
        </w:tc>
        <w:tc>
          <w:tcPr>
            <w:tcW w:type="dxa" w:w="409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$2.22</w:t>
            </w:r>
          </w:p>
        </w:tc>
        <w:tc>
          <w:tcPr>
            <w:tcW w:type="dxa" w:w="431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8.2%</w:t>
            </w:r>
          </w:p>
        </w:tc>
      </w:tr>
      <w:tr>
        <w:trPr>
          <w:tblHeader w:val="off"/>
        </w:trPr>
        <w:tc>
          <w:tcPr>
            <w:tcW w:type="dxa" w:w="221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Twin Black</w:t>
            </w:r>
          </w:p>
        </w:tc>
        <w:tc>
          <w:tcPr>
            <w:tcW w:type="dxa" w:w="342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$4.97</w:t>
            </w:r>
          </w:p>
        </w:tc>
        <w:tc>
          <w:tcPr>
            <w:tcW w:type="dxa" w:w="409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$1.41</w:t>
            </w:r>
          </w:p>
        </w:tc>
        <w:tc>
          <w:tcPr>
            <w:tcW w:type="dxa" w:w="431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5.9%</w:t>
            </w:r>
          </w:p>
        </w:tc>
      </w:tr>
    </w:tbl>
    <w:p/>
    <w:p>
      <w:pPr>
        <w:spacing w:after="120"/>
      </w:pPr>
      <w:r>
        <w:t xml:space="preserve">Measured deal uplift on S6 is about 1.7–1.8 times. At these prices a deal day loses money on Queen Black before any ad spend, and ads on deal days can only be a rank cost.</w:t>
      </w:r>
    </w:p>
    <w:p>
      <w:pPr>
        <w:pStyle w:val="Heading1"/>
      </w:pPr>
      <w:r>
        <w:t xml:space="preserve">4. Stock and the right colour per size</w:t>
      </w:r>
    </w:p>
    <w:p>
      <w:pPr>
        <w:spacing w:after="120"/>
      </w:pPr>
      <w:r>
        <w:t xml:space="preserve">About 7,000 units (5,063 available, 1,417 reserved, 520 inbound; $81.7k at cost) against 18–21 units a day: over 330 days of cover (Sellerboard, 30 Sep). No purchase orders are recorded, and inbound shipments have no arrival dates.</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1080"/>
        <w:gridCol w:w="6480"/>
        <w:gridCol w:w="6480"/>
      </w:tblGrid>
      <w:tr>
        <w:trPr>
          <w:tblHeader/>
        </w:trPr>
        <w:tc>
          <w:tcPr>
            <w:tcW w:type="dxa" w:w="108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Size</w:t>
            </w:r>
          </w:p>
        </w:tc>
        <w:tc>
          <w:tcPr>
            <w:tcW w:type="dxa" w:w="648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Best seller with stock (preferred)</w:t>
            </w:r>
          </w:p>
        </w:tc>
        <w:tc>
          <w:tcPr>
            <w:tcW w:type="dxa" w:w="648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Back-up</w:t>
            </w:r>
          </w:p>
        </w:tc>
      </w:tr>
      <w:tr>
        <w:trPr>
          <w:tblHeader w:val="off"/>
        </w:trPr>
        <w:tc>
          <w:tcPr>
            <w:tcW w:type="dxa" w:w="10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Queen</w:t>
            </w:r>
          </w:p>
        </w:tc>
        <w:tc>
          <w:tcPr>
            <w:tcW w:type="dxa" w:w="64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Black</w:t>
            </w:r>
            <w:r>
              <w:rPr>
                <w:sz w:val="17"/>
                <w:szCs w:val="17"/>
              </w:rPr>
              <w:t xml:space="preserve">: 2.10 a day (24% of Queen units), about 290 days of stock, but $1.61 a unit all-in ($4.49 ex one-offs)</w:t>
            </w:r>
          </w:p>
        </w:tc>
        <w:tc>
          <w:tcPr>
            <w:tcW w:type="dxa" w:w="64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Rosewood</w:t>
            </w:r>
            <w:r>
              <w:rPr>
                <w:sz w:val="17"/>
                <w:szCs w:val="17"/>
              </w:rPr>
              <w:t xml:space="preserve">: 1.03 a day, $6.29 a unit, but only 34 fulfillable (+63 reserved). Or Purple: 0.57 a day, $6.40, 78 units</w:t>
            </w:r>
          </w:p>
        </w:tc>
      </w:tr>
      <w:tr>
        <w:trPr>
          <w:tblHeader w:val="off"/>
        </w:trPr>
        <w:tc>
          <w:tcPr>
            <w:tcW w:type="dxa" w:w="10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King</w:t>
            </w:r>
          </w:p>
        </w:tc>
        <w:tc>
          <w:tcPr>
            <w:tcW w:type="dxa" w:w="64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Black</w:t>
            </w:r>
            <w:r>
              <w:rPr>
                <w:sz w:val="17"/>
                <w:szCs w:val="17"/>
              </w:rPr>
              <w:t xml:space="preserve">: 1.07 a day over 30d, 1.64 over 14d and rising; $7.97 a unit; 825 units (about 500 days)</w:t>
            </w:r>
          </w:p>
        </w:tc>
        <w:tc>
          <w:tcPr>
            <w:tcW w:type="dxa" w:w="64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Purple</w:t>
            </w:r>
            <w:r>
              <w:rPr>
                <w:sz w:val="17"/>
                <w:szCs w:val="17"/>
              </w:rPr>
              <w:t xml:space="preserve">: 0.47 a day, $13.26 a unit (realised $40.02), 46 units. King Red sells faster but has 13 left</w:t>
            </w:r>
          </w:p>
        </w:tc>
      </w:tr>
      <w:tr>
        <w:trPr>
          <w:tblHeader w:val="off"/>
        </w:trPr>
        <w:tc>
          <w:tcPr>
            <w:tcW w:type="dxa" w:w="10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Full</w:t>
            </w:r>
          </w:p>
        </w:tc>
        <w:tc>
          <w:tcPr>
            <w:tcW w:type="dxa" w:w="64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Black</w:t>
            </w:r>
            <w:r>
              <w:rPr>
                <w:sz w:val="17"/>
                <w:szCs w:val="17"/>
              </w:rPr>
              <w:t xml:space="preserve">: 0.83 a day, $4.41 a unit, about 170 days</w:t>
            </w:r>
          </w:p>
        </w:tc>
        <w:tc>
          <w:tcPr>
            <w:tcW w:type="dxa" w:w="64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Lavender</w:t>
            </w:r>
            <w:r>
              <w:rPr>
                <w:sz w:val="17"/>
                <w:szCs w:val="17"/>
              </w:rPr>
              <w:t xml:space="preserve">: 0.43 a day, $5.16, 45 units</w:t>
            </w:r>
          </w:p>
        </w:tc>
      </w:tr>
      <w:tr>
        <w:trPr>
          <w:tblHeader w:val="off"/>
        </w:trPr>
        <w:tc>
          <w:tcPr>
            <w:tcW w:type="dxa" w:w="10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Twin</w:t>
            </w:r>
          </w:p>
        </w:tc>
        <w:tc>
          <w:tcPr>
            <w:tcW w:type="dxa" w:w="64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Black</w:t>
            </w:r>
            <w:r>
              <w:rPr>
                <w:sz w:val="17"/>
                <w:szCs w:val="17"/>
              </w:rPr>
              <w:t xml:space="preserve">: 0.43 a day, $4.97 a unit, about 210 days</w:t>
            </w:r>
          </w:p>
        </w:tc>
        <w:tc>
          <w:tcPr>
            <w:tcW w:type="dxa" w:w="64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Striped Gold</w:t>
            </w:r>
            <w:r>
              <w:rPr>
                <w:sz w:val="17"/>
                <w:szCs w:val="17"/>
              </w:rPr>
              <w:t xml:space="preserve">: 0.17 a day, $6.99, 36 units</w:t>
            </w:r>
          </w:p>
        </w:tc>
      </w:tr>
    </w:tbl>
    <w:p/>
    <w:p>
      <w:pPr>
        <w:spacing w:after="120"/>
      </w:pPr>
      <w:r>
        <w:rPr>
          <w:b/>
          <w:bCs/>
        </w:rPr>
        <w:t xml:space="preserve">Running out:</w:t>
      </w:r>
    </w:p>
    <w:p>
      <w:pPr>
        <w:pStyle w:val="ListParagraph"/>
        <w:numPr>
          <w:ilvl w:val="0"/>
          <w:numId w:val="3"/>
        </w:numPr>
      </w:pPr>
      <w:r>
        <w:rPr>
          <w:b/>
          <w:bCs/>
        </w:rPr>
        <w:t xml:space="preserve">King Red</w:t>
      </w:r>
      <w:r>
        <w:t xml:space="preserve">: 13 units, about 12 days at the 30d pace. It is #3 by units, and Command Center puts the stock-out around 8 Oct.</w:t>
      </w:r>
    </w:p>
    <w:p>
      <w:pPr>
        <w:pStyle w:val="ListParagraph"/>
        <w:numPr>
          <w:ilvl w:val="0"/>
          <w:numId w:val="3"/>
        </w:numPr>
      </w:pPr>
      <w:r>
        <w:rPr>
          <w:b/>
          <w:bCs/>
        </w:rPr>
        <w:t xml:space="preserve">Within weeks</w:t>
      </w:r>
      <w:r>
        <w:t xml:space="preserve"> (Q4 lift included, mid-November or earlier): King Dark Green, Queen Burnt Orange, Full Purple, Full Rosewood.</w:t>
      </w:r>
    </w:p>
    <w:p>
      <w:pPr>
        <w:pStyle w:val="ListParagraph"/>
        <w:numPr>
          <w:ilvl w:val="0"/>
          <w:numId w:val="3"/>
        </w:numPr>
      </w:pPr>
      <w:r>
        <w:rPr>
          <w:b/>
          <w:bCs/>
        </w:rPr>
        <w:t xml:space="preserve">Already at 0:</w:t>
      </w:r>
      <w:r>
        <w:t xml:space="preserve"> 16 active SKUs, including King Blush Pink (134 units sold in 90 days) and Striped King Blue (135).</w:t>
      </w:r>
    </w:p>
    <w:p>
      <w:pPr>
        <w:spacing w:after="120"/>
      </w:pPr>
      <w:r>
        <w:rPr>
          <w:b/>
          <w:bCs/>
        </w:rPr>
        <w:t xml:space="preserve">Catalogue problems:</w:t>
      </w:r>
    </w:p>
    <w:p>
      <w:pPr>
        <w:pStyle w:val="ListParagraph"/>
        <w:numPr>
          <w:ilvl w:val="0"/>
          <w:numId w:val="3"/>
        </w:numPr>
      </w:pPr>
      <w:r>
        <w:t xml:space="preserve">Sellerboard groups S6 under parent </w:t>
      </w:r>
      <w:r>
        <w:rPr>
          <w:b/>
          <w:bCs/>
        </w:rPr>
        <w:t xml:space="preserve">B0HDTF4MN2</w:t>
      </w:r>
      <w:r>
        <w:t xml:space="preserve">, not Command Center's B0D9QQWYP4 (which Sellerboard treats as the Full Baby Blue child).</w:t>
      </w:r>
    </w:p>
    <w:p>
      <w:pPr>
        <w:pStyle w:val="ListParagraph"/>
        <w:numPr>
          <w:ilvl w:val="0"/>
          <w:numId w:val="3"/>
        </w:numPr>
      </w:pPr>
      <w:r>
        <w:t xml:space="preserve">That Sellerboard parent includes 7 four-piece Twin SKUs.</w:t>
      </w:r>
    </w:p>
    <w:p>
      <w:pPr>
        <w:pStyle w:val="ListParagraph"/>
        <w:numPr>
          <w:ilvl w:val="0"/>
          <w:numId w:val="3"/>
        </w:numPr>
      </w:pPr>
      <w:r>
        <w:t xml:space="preserve">Three S6 children sit outside it.</w:t>
      </w:r>
    </w:p>
    <w:p>
      <w:pPr>
        <w:pStyle w:val="ListParagraph"/>
        <w:numPr>
          <w:ilvl w:val="0"/>
          <w:numId w:val="3"/>
        </w:numPr>
      </w:pPr>
      <w:r>
        <w:t xml:space="preserve">Three new duplicate ASINs have no cost or price data.</w:t>
      </w:r>
    </w:p>
    <w:p>
      <w:pPr>
        <w:pStyle w:val="ListParagraph"/>
        <w:numPr>
          <w:ilvl w:val="0"/>
          <w:numId w:val="3"/>
        </w:numPr>
      </w:pPr>
      <w:r>
        <w:t xml:space="preserve">Reconcile this before any per-SKU pricing.</w:t>
      </w:r>
    </w:p>
    <w:p>
      <w:pPr>
        <w:pStyle w:val="Heading1"/>
      </w:pPr>
      <w:r>
        <w:t xml:space="preserve">5. LTSF and aged stock</w:t>
      </w:r>
    </w:p>
    <w:p>
      <w:pPr>
        <w:pStyle w:val="ListParagraph"/>
        <w:numPr>
          <w:ilvl w:val="0"/>
          <w:numId w:val="3"/>
        </w:numPr>
      </w:pPr>
      <w:r>
        <w:rPr>
          <w:b/>
          <w:bCs/>
        </w:rPr>
        <w:t xml:space="preserve">What was charged:</w:t>
      </w:r>
      <w:r>
        <w:t xml:space="preserve"> $6,884 of LTSF in 90 days (the 15 Aug charge) and $648 in September; $27.5k over the last 12 months, with monthly storage of $51.7k over the same period. Removal: $943 in September.</w:t>
      </w:r>
    </w:p>
    <w:p>
      <w:pPr>
        <w:pStyle w:val="ListParagraph"/>
        <w:numPr>
          <w:ilvl w:val="0"/>
          <w:numId w:val="3"/>
        </w:numPr>
      </w:pPr>
      <w:r>
        <w:rPr>
          <w:b/>
          <w:bCs/>
        </w:rPr>
        <w:t xml:space="preserve">Next charge:</w:t>
      </w:r>
      <w:r>
        <w:t xml:space="preserve"> Slack (25 Sep) estimates 792 aged units and about $854 for 15 Oct, mostly on Ivory King, Striped Full Gold, Striped Queen Blue and Queen Blush Pink. Each sells 0–2 a week.</w:t>
      </w:r>
    </w:p>
    <w:p>
      <w:pPr>
        <w:pStyle w:val="ListParagraph"/>
        <w:numPr>
          <w:ilvl w:val="0"/>
          <w:numId w:val="3"/>
        </w:numPr>
      </w:pPr>
      <w:r>
        <w:rPr>
          <w:b/>
          <w:bCs/>
        </w:rPr>
        <w:t xml:space="preserve">Largest 90-day charges:</w:t>
      </w:r>
      <w:r>
        <w:t xml:space="preserve"> Stone Grey Queen $720, Ivory King $532, Queen Blush Pink $371, Striped Full Gold $359, Taupe Full $304.</w:t>
      </w:r>
    </w:p>
    <w:p>
      <w:pPr>
        <w:pStyle w:val="ListParagraph"/>
        <w:numPr>
          <w:ilvl w:val="0"/>
          <w:numId w:val="3"/>
        </w:numPr>
      </w:pPr>
      <w:r>
        <w:rPr>
          <w:b/>
          <w:bCs/>
        </w:rPr>
        <w:t xml:space="preserve">The August clearance</w:t>
      </w:r>
      <w:r>
        <w:t xml:space="preserve"> (coupons, SMPC, two Lightning Deals, D109) moved Stone Grey Queen, Blush Pink and Striped King Blue before the 15 Aug charge. That is part of why those SKUs sold heavily in 90 days and little now.</w:t>
      </w:r>
    </w:p>
    <w:p>
      <w:pPr>
        <w:pStyle w:val="ListParagraph"/>
        <w:numPr>
          <w:ilvl w:val="0"/>
          <w:numId w:val="3"/>
        </w:numPr>
      </w:pPr>
      <w:r>
        <w:rPr>
          <w:b/>
          <w:bCs/>
        </w:rPr>
        <w:t xml:space="preserve">Not readable:</w:t>
      </w:r>
      <w:r>
        <w:t xml:space="preserve"> the Drive "S6 Deal Tracker" LTSF tab could not be read (structure only), so the per-SKU aged buckets come from Slack.</w:t>
      </w:r>
    </w:p>
    <w:p>
      <w:pPr>
        <w:pStyle w:val="Heading1"/>
      </w:pPr>
      <w:r>
        <w:t xml:space="preserve">6. Syntax groups</w:t>
      </w:r>
    </w:p>
    <w:p>
      <w:pPr>
        <w:spacing w:after="120"/>
      </w:pPr>
      <w:r>
        <w:t xml:space="preserve">Ad figures (Command Center), 30d and 90d:</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2186"/>
        <w:gridCol w:w="2646"/>
        <w:gridCol w:w="1611"/>
        <w:gridCol w:w="2646"/>
        <w:gridCol w:w="1611"/>
        <w:gridCol w:w="1841"/>
        <w:gridCol w:w="1499"/>
      </w:tblGrid>
      <w:tr>
        <w:trPr>
          <w:tblHeader/>
        </w:trPr>
        <w:tc>
          <w:tcPr>
            <w:tcW w:type="dxa" w:w="218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Group</w:t>
            </w:r>
          </w:p>
        </w:tc>
        <w:tc>
          <w:tcPr>
            <w:tcW w:type="dxa" w:w="264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Spend 30d (share)</w:t>
            </w:r>
          </w:p>
        </w:tc>
        <w:tc>
          <w:tcPr>
            <w:tcW w:type="dxa" w:w="1611"/>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ACoS 30d</w:t>
            </w:r>
          </w:p>
        </w:tc>
        <w:tc>
          <w:tcPr>
            <w:tcW w:type="dxa" w:w="264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Spend 90d (share)</w:t>
            </w:r>
          </w:p>
        </w:tc>
        <w:tc>
          <w:tcPr>
            <w:tcW w:type="dxa" w:w="1611"/>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ACoS 90d</w:t>
            </w:r>
          </w:p>
        </w:tc>
        <w:tc>
          <w:tcPr>
            <w:tcW w:type="dxa" w:w="1841"/>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Ad CVR 90d</w:t>
            </w:r>
          </w:p>
        </w:tc>
        <w:tc>
          <w:tcPr>
            <w:tcW w:type="dxa" w:w="1499"/>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CPC 90d</w:t>
            </w:r>
          </w:p>
        </w:tc>
      </w:tr>
      <w:tr>
        <w:trPr>
          <w:tblHeader w:val="off"/>
        </w:trPr>
        <w:tc>
          <w:tcPr>
            <w:tcW w:type="dxa" w:w="218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Silk</w:t>
            </w:r>
          </w:p>
        </w:tc>
        <w:tc>
          <w:tcPr>
            <w:tcW w:type="dxa" w:w="264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$1,382 (47.6%)</w:t>
            </w:r>
          </w:p>
        </w:tc>
        <w:tc>
          <w:tcPr>
            <w:tcW w:type="dxa" w:w="161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33.7%</w:t>
            </w:r>
          </w:p>
        </w:tc>
        <w:tc>
          <w:tcPr>
            <w:tcW w:type="dxa" w:w="264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$10,590 (47.3%)</w:t>
            </w:r>
          </w:p>
        </w:tc>
        <w:tc>
          <w:tcPr>
            <w:tcW w:type="dxa" w:w="161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34.0%</w:t>
            </w:r>
          </w:p>
        </w:tc>
        <w:tc>
          <w:tcPr>
            <w:tcW w:type="dxa" w:w="184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12.1%</w:t>
            </w:r>
          </w:p>
        </w:tc>
        <w:tc>
          <w:tcPr>
            <w:tcW w:type="dxa" w:w="149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$1.33</w:t>
            </w:r>
          </w:p>
        </w:tc>
      </w:tr>
      <w:tr>
        <w:trPr>
          <w:tblHeader w:val="off"/>
        </w:trPr>
        <w:tc>
          <w:tcPr>
            <w:tcW w:type="dxa" w:w="218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Satin</w:t>
            </w:r>
          </w:p>
        </w:tc>
        <w:tc>
          <w:tcPr>
            <w:tcW w:type="dxa" w:w="264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$1,059 (36.5%)</w:t>
            </w:r>
          </w:p>
        </w:tc>
        <w:tc>
          <w:tcPr>
            <w:tcW w:type="dxa" w:w="161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23.4%</w:t>
            </w:r>
          </w:p>
        </w:tc>
        <w:tc>
          <w:tcPr>
            <w:tcW w:type="dxa" w:w="264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$7,768 (34.7%)</w:t>
            </w:r>
          </w:p>
        </w:tc>
        <w:tc>
          <w:tcPr>
            <w:tcW w:type="dxa" w:w="161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24.7%</w:t>
            </w:r>
          </w:p>
        </w:tc>
        <w:tc>
          <w:tcPr>
            <w:tcW w:type="dxa" w:w="184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12.4%</w:t>
            </w:r>
          </w:p>
        </w:tc>
        <w:tc>
          <w:tcPr>
            <w:tcW w:type="dxa" w:w="149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$0.98</w:t>
            </w:r>
          </w:p>
        </w:tc>
      </w:tr>
      <w:tr>
        <w:trPr>
          <w:tblHeader w:val="off"/>
        </w:trPr>
        <w:tc>
          <w:tcPr>
            <w:tcW w:type="dxa" w:w="218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Silk / King</w:t>
            </w:r>
          </w:p>
        </w:tc>
        <w:tc>
          <w:tcPr>
            <w:tcW w:type="dxa" w:w="264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$560 (19.3%)</w:t>
            </w:r>
          </w:p>
        </w:tc>
        <w:tc>
          <w:tcPr>
            <w:tcW w:type="dxa" w:w="161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44.5%</w:t>
            </w:r>
          </w:p>
        </w:tc>
        <w:tc>
          <w:tcPr>
            <w:tcW w:type="dxa" w:w="264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$3,535 (15.8%)</w:t>
            </w:r>
          </w:p>
        </w:tc>
        <w:tc>
          <w:tcPr>
            <w:tcW w:type="dxa" w:w="161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44.2%</w:t>
            </w:r>
          </w:p>
        </w:tc>
        <w:tc>
          <w:tcPr>
            <w:tcW w:type="dxa" w:w="184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16.3%</w:t>
            </w:r>
          </w:p>
        </w:tc>
        <w:tc>
          <w:tcPr>
            <w:tcW w:type="dxa" w:w="149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$2.47</w:t>
            </w:r>
          </w:p>
        </w:tc>
      </w:tr>
      <w:tr>
        <w:trPr>
          <w:tblHeader w:val="off"/>
        </w:trPr>
        <w:tc>
          <w:tcPr>
            <w:tcW w:type="dxa" w:w="218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Satin / King</w:t>
            </w:r>
          </w:p>
        </w:tc>
        <w:tc>
          <w:tcPr>
            <w:tcW w:type="dxa" w:w="264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$340 (11.7%)</w:t>
            </w:r>
          </w:p>
        </w:tc>
        <w:tc>
          <w:tcPr>
            <w:tcW w:type="dxa" w:w="161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37.3%</w:t>
            </w:r>
          </w:p>
        </w:tc>
        <w:tc>
          <w:tcPr>
            <w:tcW w:type="dxa" w:w="264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$2,343 (10.5%)</w:t>
            </w:r>
          </w:p>
        </w:tc>
        <w:tc>
          <w:tcPr>
            <w:tcW w:type="dxa" w:w="161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30.9%</w:t>
            </w:r>
          </w:p>
        </w:tc>
        <w:tc>
          <w:tcPr>
            <w:tcW w:type="dxa" w:w="184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18.1%</w:t>
            </w:r>
          </w:p>
        </w:tc>
        <w:tc>
          <w:tcPr>
            <w:tcW w:type="dxa" w:w="149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$1.86</w:t>
            </w:r>
          </w:p>
        </w:tc>
      </w:tr>
      <w:tr>
        <w:trPr>
          <w:tblHeader w:val="off"/>
        </w:trPr>
        <w:tc>
          <w:tcPr>
            <w:tcW w:type="dxa" w:w="218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Silk / Queen</w:t>
            </w:r>
          </w:p>
        </w:tc>
        <w:tc>
          <w:tcPr>
            <w:tcW w:type="dxa" w:w="264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$156 (5.4%)</w:t>
            </w:r>
          </w:p>
        </w:tc>
        <w:tc>
          <w:tcPr>
            <w:tcW w:type="dxa" w:w="161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33.3%</w:t>
            </w:r>
          </w:p>
        </w:tc>
        <w:tc>
          <w:tcPr>
            <w:tcW w:type="dxa" w:w="264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$2,621 (11.7%)</w:t>
            </w:r>
          </w:p>
        </w:tc>
        <w:tc>
          <w:tcPr>
            <w:tcW w:type="dxa" w:w="161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43.6%</w:t>
            </w:r>
          </w:p>
        </w:tc>
        <w:tc>
          <w:tcPr>
            <w:tcW w:type="dxa" w:w="184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13.6%</w:t>
            </w:r>
          </w:p>
        </w:tc>
        <w:tc>
          <w:tcPr>
            <w:tcW w:type="dxa" w:w="149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$1.85</w:t>
            </w:r>
          </w:p>
        </w:tc>
      </w:tr>
      <w:tr>
        <w:trPr>
          <w:tblHeader w:val="off"/>
        </w:trPr>
        <w:tc>
          <w:tcPr>
            <w:tcW w:type="dxa" w:w="218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Satin / Queen</w:t>
            </w:r>
          </w:p>
        </w:tc>
        <w:tc>
          <w:tcPr>
            <w:tcW w:type="dxa" w:w="264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$101 (3.5%)</w:t>
            </w:r>
          </w:p>
        </w:tc>
        <w:tc>
          <w:tcPr>
            <w:tcW w:type="dxa" w:w="161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28.7%</w:t>
            </w:r>
          </w:p>
        </w:tc>
        <w:tc>
          <w:tcPr>
            <w:tcW w:type="dxa" w:w="264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$1,637 (7.3%)</w:t>
            </w:r>
          </w:p>
        </w:tc>
        <w:tc>
          <w:tcPr>
            <w:tcW w:type="dxa" w:w="161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32.6%</w:t>
            </w:r>
          </w:p>
        </w:tc>
        <w:tc>
          <w:tcPr>
            <w:tcW w:type="dxa" w:w="184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14.4%</w:t>
            </w:r>
          </w:p>
        </w:tc>
        <w:tc>
          <w:tcPr>
            <w:tcW w:type="dxa" w:w="149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$1.44</w:t>
            </w:r>
          </w:p>
        </w:tc>
      </w:tr>
      <w:tr>
        <w:trPr>
          <w:tblHeader w:val="off"/>
        </w:trPr>
        <w:tc>
          <w:tcPr>
            <w:tcW w:type="dxa" w:w="218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Size: Queen</w:t>
            </w:r>
          </w:p>
        </w:tc>
        <w:tc>
          <w:tcPr>
            <w:tcW w:type="dxa" w:w="264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$269 (9.3%)</w:t>
            </w:r>
          </w:p>
        </w:tc>
        <w:tc>
          <w:tcPr>
            <w:tcW w:type="dxa" w:w="161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22.0%</w:t>
            </w:r>
          </w:p>
        </w:tc>
        <w:tc>
          <w:tcPr>
            <w:tcW w:type="dxa" w:w="264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$1,343 (6.0%)</w:t>
            </w:r>
          </w:p>
        </w:tc>
        <w:tc>
          <w:tcPr>
            <w:tcW w:type="dxa" w:w="161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18.1%</w:t>
            </w:r>
          </w:p>
        </w:tc>
        <w:tc>
          <w:tcPr>
            <w:tcW w:type="dxa" w:w="184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10.9%</w:t>
            </w:r>
          </w:p>
        </w:tc>
        <w:tc>
          <w:tcPr>
            <w:tcW w:type="dxa" w:w="149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$0.66</w:t>
            </w:r>
          </w:p>
        </w:tc>
      </w:tr>
      <w:tr>
        <w:trPr>
          <w:tblHeader w:val="off"/>
        </w:trPr>
        <w:tc>
          <w:tcPr>
            <w:tcW w:type="dxa" w:w="218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Size: King</w:t>
            </w:r>
          </w:p>
        </w:tc>
        <w:tc>
          <w:tcPr>
            <w:tcW w:type="dxa" w:w="264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$236 (8.1%)</w:t>
            </w:r>
          </w:p>
        </w:tc>
        <w:tc>
          <w:tcPr>
            <w:tcW w:type="dxa" w:w="161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20.1%</w:t>
            </w:r>
          </w:p>
        </w:tc>
        <w:tc>
          <w:tcPr>
            <w:tcW w:type="dxa" w:w="264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$1,918 (8.6%)</w:t>
            </w:r>
          </w:p>
        </w:tc>
        <w:tc>
          <w:tcPr>
            <w:tcW w:type="dxa" w:w="161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23.1%</w:t>
            </w:r>
          </w:p>
        </w:tc>
        <w:tc>
          <w:tcPr>
            <w:tcW w:type="dxa" w:w="184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9.8%</w:t>
            </w:r>
          </w:p>
        </w:tc>
        <w:tc>
          <w:tcPr>
            <w:tcW w:type="dxa" w:w="149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$0.74</w:t>
            </w:r>
          </w:p>
        </w:tc>
      </w:tr>
      <w:tr>
        <w:trPr>
          <w:tblHeader w:val="off"/>
        </w:trPr>
        <w:tc>
          <w:tcPr>
            <w:tcW w:type="dxa" w:w="218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Size: Full</w:t>
            </w:r>
          </w:p>
        </w:tc>
        <w:tc>
          <w:tcPr>
            <w:tcW w:type="dxa" w:w="264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$137 (4.7%)</w:t>
            </w:r>
          </w:p>
        </w:tc>
        <w:tc>
          <w:tcPr>
            <w:tcW w:type="dxa" w:w="161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41.8%</w:t>
            </w:r>
          </w:p>
        </w:tc>
        <w:tc>
          <w:tcPr>
            <w:tcW w:type="dxa" w:w="264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$744 (3.3%)</w:t>
            </w:r>
          </w:p>
        </w:tc>
        <w:tc>
          <w:tcPr>
            <w:tcW w:type="dxa" w:w="161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26.1%</w:t>
            </w:r>
          </w:p>
        </w:tc>
        <w:tc>
          <w:tcPr>
            <w:tcW w:type="dxa" w:w="184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7.6%</w:t>
            </w:r>
          </w:p>
        </w:tc>
        <w:tc>
          <w:tcPr>
            <w:tcW w:type="dxa" w:w="149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$0.59</w:t>
            </w:r>
          </w:p>
        </w:tc>
      </w:tr>
      <w:tr>
        <w:trPr>
          <w:tblHeader w:val="off"/>
        </w:trPr>
        <w:tc>
          <w:tcPr>
            <w:tcW w:type="dxa" w:w="218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Size: Twin</w:t>
            </w:r>
          </w:p>
        </w:tc>
        <w:tc>
          <w:tcPr>
            <w:tcW w:type="dxa" w:w="264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$72 (2.5%)</w:t>
            </w:r>
          </w:p>
        </w:tc>
        <w:tc>
          <w:tcPr>
            <w:tcW w:type="dxa" w:w="161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13.6%</w:t>
            </w:r>
          </w:p>
        </w:tc>
        <w:tc>
          <w:tcPr>
            <w:tcW w:type="dxa" w:w="264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$498 (2.2%)</w:t>
            </w:r>
          </w:p>
        </w:tc>
        <w:tc>
          <w:tcPr>
            <w:tcW w:type="dxa" w:w="161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25.2%</w:t>
            </w:r>
          </w:p>
        </w:tc>
        <w:tc>
          <w:tcPr>
            <w:tcW w:type="dxa" w:w="184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7.7%</w:t>
            </w:r>
          </w:p>
        </w:tc>
        <w:tc>
          <w:tcPr>
            <w:tcW w:type="dxa" w:w="149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$0.57</w:t>
            </w:r>
          </w:p>
        </w:tc>
      </w:tr>
    </w:tbl>
    <w:p/>
    <w:p>
      <w:pPr>
        <w:spacing w:after="120"/>
      </w:pPr>
      <w:r>
        <w:rPr>
          <w:i/>
          <w:iCs/>
        </w:rPr>
        <w:t xml:space="preserve">Groups overlap: the size-only groups sit inside Silk and Satin. The 7d, 14d and 60d tables are in the source file.</w:t>
      </w:r>
    </w:p>
    <w:p>
      <w:pPr>
        <w:pStyle w:val="ListParagraph"/>
        <w:numPr>
          <w:ilvl w:val="0"/>
          <w:numId w:val="3"/>
        </w:numPr>
      </w:pPr>
      <w:r>
        <w:rPr>
          <w:b/>
          <w:bCs/>
        </w:rPr>
        <w:t xml:space="preserve">Silk costs more per sale than Satin.</w:t>
      </w:r>
      <w:r>
        <w:t xml:space="preserve"> Silk runs 34.0% ACoS at $1.33 a click over 90 days; Satin 24.7% at $0.98.</w:t>
      </w:r>
    </w:p>
    <w:p>
      <w:pPr>
        <w:pStyle w:val="ListParagraph"/>
        <w:numPr>
          <w:ilvl w:val="0"/>
          <w:numId w:val="3"/>
        </w:numPr>
      </w:pPr>
      <w:r>
        <w:rPr>
          <w:b/>
          <w:bCs/>
        </w:rPr>
        <w:t xml:space="preserve">Silk|King is above break-even in every settled window, and took 19% of September's spend.</w:t>
      </w:r>
      <w:r>
        <w:t xml:space="preserve"> "king size silk sheets set" alone took $268 at 71.6% ACoS over 30 days.</w:t>
      </w:r>
    </w:p>
    <w:p>
      <w:pPr>
        <w:spacing w:after="120"/>
      </w:pPr>
      <w:r>
        <w:rPr>
          <w:b/>
          <w:bCs/>
        </w:rPr>
        <w:t xml:space="preserve">Like-for-like conversion</w:t>
      </w:r>
      <w:r>
        <w:t xml:space="preserve"> (search-query data, 90 days, us against the market):</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2470"/>
        <w:gridCol w:w="4160"/>
        <w:gridCol w:w="3770"/>
        <w:gridCol w:w="3640"/>
      </w:tblGrid>
      <w:tr>
        <w:trPr>
          <w:tblHeader/>
        </w:trPr>
        <w:tc>
          <w:tcPr>
            <w:tcW w:type="dxa" w:w="247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Group</w:t>
            </w:r>
          </w:p>
        </w:tc>
        <w:tc>
          <w:tcPr>
            <w:tcW w:type="dxa" w:w="416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Our click-through / market</w:t>
            </w:r>
          </w:p>
        </w:tc>
        <w:tc>
          <w:tcPr>
            <w:tcW w:type="dxa" w:w="377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Our conversion / market</w:t>
            </w:r>
          </w:p>
        </w:tc>
        <w:tc>
          <w:tcPr>
            <w:tcW w:type="dxa" w:w="364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Our purchase share</w:t>
            </w:r>
          </w:p>
        </w:tc>
      </w:tr>
      <w:tr>
        <w:trPr>
          <w:tblHeader w:val="off"/>
        </w:trPr>
        <w:tc>
          <w:tcPr>
            <w:tcW w:type="dxa" w:w="247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All terms</w:t>
            </w:r>
          </w:p>
        </w:tc>
        <w:tc>
          <w:tcPr>
            <w:tcW w:type="dxa" w:w="41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1.85% / 1.82%</w:t>
            </w:r>
          </w:p>
        </w:tc>
        <w:tc>
          <w:tcPr>
            <w:tcW w:type="dxa" w:w="377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4.14% / 4.73%</w:t>
            </w:r>
          </w:p>
        </w:tc>
        <w:tc>
          <w:tcPr>
            <w:tcW w:type="dxa" w:w="36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0.76% (0.47% over 30d)</w:t>
            </w:r>
          </w:p>
        </w:tc>
      </w:tr>
      <w:tr>
        <w:trPr>
          <w:tblHeader w:val="off"/>
        </w:trPr>
        <w:tc>
          <w:tcPr>
            <w:tcW w:type="dxa" w:w="247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Silk / King</w:t>
            </w:r>
          </w:p>
        </w:tc>
        <w:tc>
          <w:tcPr>
            <w:tcW w:type="dxa" w:w="41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2.59% / 1.85%</w:t>
            </w:r>
          </w:p>
        </w:tc>
        <w:tc>
          <w:tcPr>
            <w:tcW w:type="dxa" w:w="377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6.43% / 5.04%</w:t>
            </w:r>
          </w:p>
        </w:tc>
        <w:tc>
          <w:tcPr>
            <w:tcW w:type="dxa" w:w="36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3.10%</w:t>
            </w:r>
          </w:p>
        </w:tc>
      </w:tr>
      <w:tr>
        <w:trPr>
          <w:tblHeader w:val="off"/>
        </w:trPr>
        <w:tc>
          <w:tcPr>
            <w:tcW w:type="dxa" w:w="247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Satin / King</w:t>
            </w:r>
          </w:p>
        </w:tc>
        <w:tc>
          <w:tcPr>
            <w:tcW w:type="dxa" w:w="41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2.41% / 1.92%</w:t>
            </w:r>
          </w:p>
        </w:tc>
        <w:tc>
          <w:tcPr>
            <w:tcW w:type="dxa" w:w="377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4.44% / 5.56%</w:t>
            </w:r>
          </w:p>
        </w:tc>
        <w:tc>
          <w:tcPr>
            <w:tcW w:type="dxa" w:w="36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2.21%</w:t>
            </w:r>
          </w:p>
        </w:tc>
      </w:tr>
      <w:tr>
        <w:trPr>
          <w:tblHeader w:val="off"/>
        </w:trPr>
        <w:tc>
          <w:tcPr>
            <w:tcW w:type="dxa" w:w="247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Silk / Queen</w:t>
            </w:r>
          </w:p>
        </w:tc>
        <w:tc>
          <w:tcPr>
            <w:tcW w:type="dxa" w:w="41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1.99% / 1.87%</w:t>
            </w:r>
          </w:p>
        </w:tc>
        <w:tc>
          <w:tcPr>
            <w:tcW w:type="dxa" w:w="377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5.12% / 6.79%</w:t>
            </w:r>
          </w:p>
        </w:tc>
        <w:tc>
          <w:tcPr>
            <w:tcW w:type="dxa" w:w="36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0.76%</w:t>
            </w:r>
          </w:p>
        </w:tc>
      </w:tr>
      <w:tr>
        <w:trPr>
          <w:tblHeader w:val="off"/>
        </w:trPr>
        <w:tc>
          <w:tcPr>
            <w:tcW w:type="dxa" w:w="247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Satin / Queen</w:t>
            </w:r>
          </w:p>
        </w:tc>
        <w:tc>
          <w:tcPr>
            <w:tcW w:type="dxa" w:w="41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1.88% / 1.95%</w:t>
            </w:r>
          </w:p>
        </w:tc>
        <w:tc>
          <w:tcPr>
            <w:tcW w:type="dxa" w:w="377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4.03% / 8.06%</w:t>
            </w:r>
          </w:p>
        </w:tc>
        <w:tc>
          <w:tcPr>
            <w:tcW w:type="dxa" w:w="36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0.57%</w:t>
            </w:r>
          </w:p>
        </w:tc>
      </w:tr>
      <w:tr>
        <w:trPr>
          <w:tblHeader w:val="off"/>
        </w:trPr>
        <w:tc>
          <w:tcPr>
            <w:tcW w:type="dxa" w:w="247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Size: Full</w:t>
            </w:r>
          </w:p>
        </w:tc>
        <w:tc>
          <w:tcPr>
            <w:tcW w:type="dxa" w:w="41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2.09% / 1.92%</w:t>
            </w:r>
          </w:p>
        </w:tc>
        <w:tc>
          <w:tcPr>
            <w:tcW w:type="dxa" w:w="377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2.12% / 6.83%</w:t>
            </w:r>
          </w:p>
        </w:tc>
        <w:tc>
          <w:tcPr>
            <w:tcW w:type="dxa" w:w="36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0.20%</w:t>
            </w:r>
          </w:p>
        </w:tc>
      </w:tr>
    </w:tbl>
    <w:p/>
    <w:p>
      <w:pPr>
        <w:pStyle w:val="ListParagraph"/>
        <w:numPr>
          <w:ilvl w:val="0"/>
          <w:numId w:val="3"/>
        </w:numPr>
      </w:pPr>
      <w:r>
        <w:rPr>
          <w:b/>
          <w:bCs/>
        </w:rPr>
        <w:t xml:space="preserve">Click-through is at or above the market</w:t>
      </w:r>
      <w:r>
        <w:t xml:space="preserve"> almost everywhere.</w:t>
      </w:r>
    </w:p>
    <w:p>
      <w:pPr>
        <w:pStyle w:val="ListParagraph"/>
        <w:numPr>
          <w:ilvl w:val="0"/>
          <w:numId w:val="3"/>
        </w:numPr>
      </w:pPr>
      <w:r>
        <w:rPr>
          <w:b/>
          <w:bCs/>
        </w:rPr>
        <w:t xml:space="preserve">Conversion is where S6 loses</w:t>
      </w:r>
      <w:r>
        <w:t xml:space="preserve">, except on King.</w:t>
      </w:r>
    </w:p>
    <w:p>
      <w:pPr>
        <w:pStyle w:val="ListParagraph"/>
        <w:numPr>
          <w:ilvl w:val="0"/>
          <w:numId w:val="3"/>
        </w:numPr>
      </w:pPr>
      <w:r>
        <w:rPr>
          <w:b/>
          <w:bCs/>
        </w:rPr>
        <w:t xml:space="preserve">The decline is recent.</w:t>
      </w:r>
      <w:r>
        <w:t xml:space="preserve"> On 25 head terms, Q2 against the last 90 days, our conversion went from 5.82% (above the market's 4.60%) to 3.91% (below its 4.30%), while the market held flat.</w:t>
      </w:r>
    </w:p>
    <w:p>
      <w:pPr>
        <w:pStyle w:val="ListParagraph"/>
        <w:numPr>
          <w:ilvl w:val="0"/>
          <w:numId w:val="3"/>
        </w:numPr>
      </w:pPr>
      <w:r>
        <w:rPr>
          <w:b/>
          <w:bCs/>
        </w:rPr>
        <w:t xml:space="preserve">Caveat:</w:t>
      </w:r>
      <w:r>
        <w:t xml:space="preserve"> these search-query figures come from a Data Dive rank radar on ASIN B0CRF7S2TH, which is not an S6 SKU, although its ranks track S6 closely. Read them as a trend, not an exact level, and confirm the radar before the audit leans on them.</w:t>
      </w:r>
    </w:p>
    <w:p>
      <w:pPr>
        <w:pStyle w:val="Heading1"/>
      </w:pPr>
      <w:r>
        <w:t xml:space="preserve">7. Ranking</w:t>
      </w:r>
    </w:p>
    <w:p>
      <w:pPr>
        <w:spacing w:after="120"/>
      </w:pPr>
      <w:r>
        <w:t xml:space="preserve">Head terms, organic rank (Command Center crawl; 7-day medians; every target is 5):</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3597"/>
        <w:gridCol w:w="2552"/>
        <w:gridCol w:w="1740"/>
        <w:gridCol w:w="1624"/>
        <w:gridCol w:w="1740"/>
        <w:gridCol w:w="2787"/>
      </w:tblGrid>
      <w:tr>
        <w:trPr>
          <w:tblHeader/>
        </w:trPr>
        <w:tc>
          <w:tcPr>
            <w:tcW w:type="dxa" w:w="3597"/>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Term</w:t>
            </w:r>
          </w:p>
        </w:tc>
        <w:tc>
          <w:tcPr>
            <w:tcW w:type="dxa" w:w="2552"/>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Monthly searches</w:t>
            </w:r>
          </w:p>
        </w:tc>
        <w:tc>
          <w:tcPr>
            <w:tcW w:type="dxa" w:w="174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Early Jul</w:t>
            </w:r>
          </w:p>
        </w:tc>
        <w:tc>
          <w:tcPr>
            <w:tcW w:type="dxa" w:w="1624"/>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Late Aug</w:t>
            </w:r>
          </w:p>
        </w:tc>
        <w:tc>
          <w:tcPr>
            <w:tcW w:type="dxa" w:w="174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Last week</w:t>
            </w:r>
          </w:p>
        </w:tc>
        <w:tc>
          <w:tcPr>
            <w:tcW w:type="dxa" w:w="2787"/>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90-day best (date)</w:t>
            </w:r>
          </w:p>
        </w:tc>
      </w:tr>
      <w:tr>
        <w:trPr>
          <w:tblHeader w:val="off"/>
        </w:trPr>
        <w:tc>
          <w:tcPr>
            <w:tcW w:type="dxa" w:w="359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silk sheets</w:t>
            </w:r>
          </w:p>
        </w:tc>
        <w:tc>
          <w:tcPr>
            <w:tcW w:type="dxa" w:w="255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44,372</w:t>
            </w:r>
          </w:p>
        </w:tc>
        <w:tc>
          <w:tcPr>
            <w:tcW w:type="dxa" w:w="17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43</w:t>
            </w:r>
          </w:p>
        </w:tc>
        <w:tc>
          <w:tcPr>
            <w:tcW w:type="dxa" w:w="162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44</w:t>
            </w:r>
          </w:p>
        </w:tc>
        <w:tc>
          <w:tcPr>
            <w:tcW w:type="dxa" w:w="17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59</w:t>
            </w:r>
          </w:p>
        </w:tc>
        <w:tc>
          <w:tcPr>
            <w:tcW w:type="dxa" w:w="278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17 (7 Aug)</w:t>
            </w:r>
          </w:p>
        </w:tc>
      </w:tr>
      <w:tr>
        <w:trPr>
          <w:tblHeader w:val="off"/>
        </w:trPr>
        <w:tc>
          <w:tcPr>
            <w:tcW w:type="dxa" w:w="359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satin sheets</w:t>
            </w:r>
          </w:p>
        </w:tc>
        <w:tc>
          <w:tcPr>
            <w:tcW w:type="dxa" w:w="255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27,015</w:t>
            </w:r>
          </w:p>
        </w:tc>
        <w:tc>
          <w:tcPr>
            <w:tcW w:type="dxa" w:w="17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18</w:t>
            </w:r>
          </w:p>
        </w:tc>
        <w:tc>
          <w:tcPr>
            <w:tcW w:type="dxa" w:w="162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59</w:t>
            </w:r>
          </w:p>
        </w:tc>
        <w:tc>
          <w:tcPr>
            <w:tcW w:type="dxa" w:w="17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60</w:t>
            </w:r>
          </w:p>
        </w:tc>
        <w:tc>
          <w:tcPr>
            <w:tcW w:type="dxa" w:w="278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14 (3 Jul)</w:t>
            </w:r>
          </w:p>
        </w:tc>
      </w:tr>
      <w:tr>
        <w:trPr>
          <w:tblHeader w:val="off"/>
        </w:trPr>
        <w:tc>
          <w:tcPr>
            <w:tcW w:type="dxa" w:w="359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silk sheets queen</w:t>
            </w:r>
          </w:p>
        </w:tc>
        <w:tc>
          <w:tcPr>
            <w:tcW w:type="dxa" w:w="255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14,055</w:t>
            </w:r>
          </w:p>
        </w:tc>
        <w:tc>
          <w:tcPr>
            <w:tcW w:type="dxa" w:w="17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16</w:t>
            </w:r>
          </w:p>
        </w:tc>
        <w:tc>
          <w:tcPr>
            <w:tcW w:type="dxa" w:w="162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93</w:t>
            </w:r>
          </w:p>
        </w:tc>
        <w:tc>
          <w:tcPr>
            <w:tcW w:type="dxa" w:w="17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89</w:t>
            </w:r>
          </w:p>
        </w:tc>
        <w:tc>
          <w:tcPr>
            <w:tcW w:type="dxa" w:w="278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14 (4 Jul)</w:t>
            </w:r>
          </w:p>
        </w:tc>
      </w:tr>
      <w:tr>
        <w:trPr>
          <w:tblHeader w:val="off"/>
        </w:trPr>
        <w:tc>
          <w:tcPr>
            <w:tcW w:type="dxa" w:w="359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silk bed sheets</w:t>
            </w:r>
          </w:p>
        </w:tc>
        <w:tc>
          <w:tcPr>
            <w:tcW w:type="dxa" w:w="255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13,860</w:t>
            </w:r>
          </w:p>
        </w:tc>
        <w:tc>
          <w:tcPr>
            <w:tcW w:type="dxa" w:w="17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34</w:t>
            </w:r>
          </w:p>
        </w:tc>
        <w:tc>
          <w:tcPr>
            <w:tcW w:type="dxa" w:w="162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35</w:t>
            </w:r>
          </w:p>
        </w:tc>
        <w:tc>
          <w:tcPr>
            <w:tcW w:type="dxa" w:w="17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37</w:t>
            </w:r>
          </w:p>
        </w:tc>
        <w:tc>
          <w:tcPr>
            <w:tcW w:type="dxa" w:w="278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17 (4 Aug)</w:t>
            </w:r>
          </w:p>
        </w:tc>
      </w:tr>
      <w:tr>
        <w:trPr>
          <w:tblHeader w:val="off"/>
        </w:trPr>
        <w:tc>
          <w:tcPr>
            <w:tcW w:type="dxa" w:w="359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satin sheets queen size</w:t>
            </w:r>
          </w:p>
        </w:tc>
        <w:tc>
          <w:tcPr>
            <w:tcW w:type="dxa" w:w="255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6,656</w:t>
            </w:r>
          </w:p>
        </w:tc>
        <w:tc>
          <w:tcPr>
            <w:tcW w:type="dxa" w:w="17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19</w:t>
            </w:r>
          </w:p>
        </w:tc>
        <w:tc>
          <w:tcPr>
            <w:tcW w:type="dxa" w:w="162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37</w:t>
            </w:r>
          </w:p>
        </w:tc>
        <w:tc>
          <w:tcPr>
            <w:tcW w:type="dxa" w:w="17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45</w:t>
            </w:r>
          </w:p>
        </w:tc>
        <w:tc>
          <w:tcPr>
            <w:tcW w:type="dxa" w:w="278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14 (9 Aug)</w:t>
            </w:r>
          </w:p>
        </w:tc>
      </w:tr>
      <w:tr>
        <w:trPr>
          <w:tblHeader w:val="off"/>
        </w:trPr>
        <w:tc>
          <w:tcPr>
            <w:tcW w:type="dxa" w:w="359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black silk sheets</w:t>
            </w:r>
          </w:p>
        </w:tc>
        <w:tc>
          <w:tcPr>
            <w:tcW w:type="dxa" w:w="255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6,651</w:t>
            </w:r>
          </w:p>
        </w:tc>
        <w:tc>
          <w:tcPr>
            <w:tcW w:type="dxa" w:w="17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51</w:t>
            </w:r>
          </w:p>
        </w:tc>
        <w:tc>
          <w:tcPr>
            <w:tcW w:type="dxa" w:w="162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46</w:t>
            </w:r>
          </w:p>
        </w:tc>
        <w:tc>
          <w:tcPr>
            <w:tcW w:type="dxa" w:w="17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56</w:t>
            </w:r>
          </w:p>
        </w:tc>
        <w:tc>
          <w:tcPr>
            <w:tcW w:type="dxa" w:w="278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37 (9 Aug)</w:t>
            </w:r>
          </w:p>
        </w:tc>
      </w:tr>
      <w:tr>
        <w:trPr>
          <w:tblHeader w:val="off"/>
        </w:trPr>
        <w:tc>
          <w:tcPr>
            <w:tcW w:type="dxa" w:w="359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silk sheets king</w:t>
            </w:r>
          </w:p>
        </w:tc>
        <w:tc>
          <w:tcPr>
            <w:tcW w:type="dxa" w:w="255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6,358</w:t>
            </w:r>
          </w:p>
        </w:tc>
        <w:tc>
          <w:tcPr>
            <w:tcW w:type="dxa" w:w="17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46</w:t>
            </w:r>
          </w:p>
        </w:tc>
        <w:tc>
          <w:tcPr>
            <w:tcW w:type="dxa" w:w="162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79</w:t>
            </w:r>
          </w:p>
        </w:tc>
        <w:tc>
          <w:tcPr>
            <w:tcW w:type="dxa" w:w="17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37</w:t>
            </w:r>
          </w:p>
        </w:tc>
        <w:tc>
          <w:tcPr>
            <w:tcW w:type="dxa" w:w="278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18 (4 Aug)</w:t>
            </w:r>
          </w:p>
        </w:tc>
      </w:tr>
      <w:tr>
        <w:trPr>
          <w:tblHeader w:val="off"/>
        </w:trPr>
        <w:tc>
          <w:tcPr>
            <w:tcW w:type="dxa" w:w="359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satin sheets king</w:t>
            </w:r>
          </w:p>
        </w:tc>
        <w:tc>
          <w:tcPr>
            <w:tcW w:type="dxa" w:w="255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3,639</w:t>
            </w:r>
          </w:p>
        </w:tc>
        <w:tc>
          <w:tcPr>
            <w:tcW w:type="dxa" w:w="17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17</w:t>
            </w:r>
          </w:p>
        </w:tc>
        <w:tc>
          <w:tcPr>
            <w:tcW w:type="dxa" w:w="162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34</w:t>
            </w:r>
          </w:p>
        </w:tc>
        <w:tc>
          <w:tcPr>
            <w:tcW w:type="dxa" w:w="17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41</w:t>
            </w:r>
          </w:p>
        </w:tc>
        <w:tc>
          <w:tcPr>
            <w:tcW w:type="dxa" w:w="278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12 (10 Jul)</w:t>
            </w:r>
          </w:p>
        </w:tc>
      </w:tr>
      <w:tr>
        <w:trPr>
          <w:tblHeader w:val="off"/>
        </w:trPr>
        <w:tc>
          <w:tcPr>
            <w:tcW w:type="dxa" w:w="359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queen silk sheets set</w:t>
            </w:r>
          </w:p>
        </w:tc>
        <w:tc>
          <w:tcPr>
            <w:tcW w:type="dxa" w:w="255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3,099</w:t>
            </w:r>
          </w:p>
        </w:tc>
        <w:tc>
          <w:tcPr>
            <w:tcW w:type="dxa" w:w="17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20</w:t>
            </w:r>
          </w:p>
        </w:tc>
        <w:tc>
          <w:tcPr>
            <w:tcW w:type="dxa" w:w="162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33</w:t>
            </w:r>
          </w:p>
        </w:tc>
        <w:tc>
          <w:tcPr>
            <w:tcW w:type="dxa" w:w="17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13</w:t>
            </w:r>
          </w:p>
        </w:tc>
        <w:tc>
          <w:tcPr>
            <w:tcW w:type="dxa" w:w="278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5 (21 Jul)</w:t>
            </w:r>
          </w:p>
        </w:tc>
      </w:tr>
      <w:tr>
        <w:trPr>
          <w:tblHeader w:val="off"/>
        </w:trPr>
        <w:tc>
          <w:tcPr>
            <w:tcW w:type="dxa" w:w="359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king size silk sheets set</w:t>
            </w:r>
          </w:p>
        </w:tc>
        <w:tc>
          <w:tcPr>
            <w:tcW w:type="dxa" w:w="255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1,820</w:t>
            </w:r>
          </w:p>
        </w:tc>
        <w:tc>
          <w:tcPr>
            <w:tcW w:type="dxa" w:w="17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4</w:t>
            </w:r>
          </w:p>
        </w:tc>
        <w:tc>
          <w:tcPr>
            <w:tcW w:type="dxa" w:w="162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41</w:t>
            </w:r>
          </w:p>
        </w:tc>
        <w:tc>
          <w:tcPr>
            <w:tcW w:type="dxa" w:w="17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5</w:t>
            </w:r>
          </w:p>
        </w:tc>
        <w:tc>
          <w:tcPr>
            <w:tcW w:type="dxa" w:w="278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3 (4 Jul)</w:t>
            </w:r>
          </w:p>
        </w:tc>
      </w:tr>
      <w:tr>
        <w:trPr>
          <w:tblHeader w:val="off"/>
        </w:trPr>
        <w:tc>
          <w:tcPr>
            <w:tcW w:type="dxa" w:w="359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king silk sheets</w:t>
            </w:r>
          </w:p>
        </w:tc>
        <w:tc>
          <w:tcPr>
            <w:tcW w:type="dxa" w:w="255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1,851</w:t>
            </w:r>
          </w:p>
        </w:tc>
        <w:tc>
          <w:tcPr>
            <w:tcW w:type="dxa" w:w="17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18</w:t>
            </w:r>
          </w:p>
        </w:tc>
        <w:tc>
          <w:tcPr>
            <w:tcW w:type="dxa" w:w="162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60</w:t>
            </w:r>
          </w:p>
        </w:tc>
        <w:tc>
          <w:tcPr>
            <w:tcW w:type="dxa" w:w="17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25</w:t>
            </w:r>
          </w:p>
        </w:tc>
        <w:tc>
          <w:tcPr>
            <w:tcW w:type="dxa" w:w="278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10 (10 Jul)</w:t>
            </w:r>
          </w:p>
        </w:tc>
      </w:tr>
    </w:tbl>
    <w:p/>
    <w:p>
      <w:pPr>
        <w:pStyle w:val="ListParagraph"/>
        <w:numPr>
          <w:ilvl w:val="0"/>
          <w:numId w:val="3"/>
        </w:numPr>
      </w:pPr>
      <w:r>
        <w:rPr>
          <w:b/>
          <w:bCs/>
        </w:rPr>
        <w:t xml:space="preserve">The King terms crashed on 26 Aug–5 Sep and have recovered.</w:t>
      </w:r>
      <w:r>
        <w:t xml:space="preserve"> "king size silk sheets set" went 4 → 82 → 5.</w:t>
      </w:r>
    </w:p>
    <w:p>
      <w:pPr>
        <w:pStyle w:val="ListParagraph"/>
        <w:numPr>
          <w:ilvl w:val="0"/>
          <w:numId w:val="3"/>
        </w:numPr>
      </w:pPr>
      <w:r>
        <w:rPr>
          <w:b/>
          <w:bCs/>
        </w:rPr>
        <w:t xml:space="preserve">Down more than 10 places in 30 days:</w:t>
      </w:r>
      <w:r>
        <w:t xml:space="preserve"> "silk sheets", "silk sheets full", "satin bed sheets", "silk queen bed sheets set", "pink silk sheets", "silk bedsheets".</w:t>
      </w:r>
    </w:p>
    <w:p>
      <w:pPr>
        <w:pStyle w:val="ListParagraph"/>
        <w:numPr>
          <w:ilvl w:val="0"/>
          <w:numId w:val="3"/>
        </w:numPr>
      </w:pPr>
      <w:r>
        <w:rPr>
          <w:b/>
          <w:bCs/>
        </w:rPr>
        <w:t xml:space="preserve">The deal lift didn't last.</w:t>
      </w:r>
      <w:r>
        <w:t xml:space="preserve"> Many head terms hit their 90-day best during the July Best Deal and were back at or below their pre-deal level by late August. The organic placement score of the lead child (B0C7FX1GFS) went 48.5 → 87.3 (the deal) → 48.1.</w:t>
      </w:r>
    </w:p>
    <w:p>
      <w:pPr>
        <w:pStyle w:val="Heading1"/>
      </w:pPr>
      <w:r>
        <w:t xml:space="preserve">8. Placements, top of search, bids and budgets</w:t>
      </w:r>
    </w:p>
    <w:p>
      <w:pPr>
        <w:pStyle w:val="ListParagraph"/>
        <w:numPr>
          <w:ilvl w:val="0"/>
          <w:numId w:val="3"/>
        </w:numPr>
      </w:pPr>
      <w:r>
        <w:rPr>
          <w:b/>
          <w:bCs/>
        </w:rPr>
        <w:t xml:space="preserve">At the top of search S6 pays the most per order.</w:t>
      </w:r>
      <w:r>
        <w:t xml:space="preserve"> On S6-only campaigns, top of search takes 23–26% of clicks but about 40% of spend, at 35–43% ACoS, against about 22% for rest of search (settled windows). This is the reverse of S4, where top of search converts best.</w:t>
      </w:r>
    </w:p>
    <w:p>
      <w:pPr>
        <w:pStyle w:val="ListParagraph"/>
        <w:numPr>
          <w:ilvl w:val="0"/>
          <w:numId w:val="3"/>
        </w:numPr>
      </w:pPr>
      <w:r>
        <w:rPr>
          <w:b/>
          <w:bCs/>
        </w:rPr>
        <w:t xml:space="preserve">Exact and ranking campaigns leak to product pages:</w:t>
      </w:r>
    </w:p>
    <w:p>
      <w:pPr>
        <w:pStyle w:val="ListParagraph"/>
        <w:numPr>
          <w:ilvl w:val="1"/>
          <w:numId w:val="3"/>
        </w:numPr>
      </w:pPr>
      <w:r>
        <w:t xml:space="preserve">37–42% of their clicks land on other listings, at $1.58–1.73 a click.</w:t>
      </w:r>
    </w:p>
    <w:p>
      <w:pPr>
        <w:pStyle w:val="ListParagraph"/>
        <w:numPr>
          <w:ilvl w:val="1"/>
          <w:numId w:val="3"/>
        </w:numPr>
      </w:pPr>
      <w:r>
        <w:t xml:space="preserve">Two-thirds of 90-day ranking spend sat in campaigns with more than 20% of clicks on product pages.</w:t>
      </w:r>
    </w:p>
    <w:p>
      <w:pPr>
        <w:pStyle w:val="ListParagraph"/>
        <w:numPr>
          <w:ilvl w:val="1"/>
          <w:numId w:val="3"/>
        </w:numPr>
      </w:pPr>
      <w:r>
        <w:t xml:space="preserve">Worst cases: "red satin sheets king" 85%, "satin sheets queen size" 75–94%, "silk sheets queen" 76%.</w:t>
      </w:r>
    </w:p>
    <w:p>
      <w:pPr>
        <w:pStyle w:val="ListParagraph"/>
        <w:numPr>
          <w:ilvl w:val="1"/>
          <w:numId w:val="3"/>
        </w:numPr>
      </w:pPr>
      <w:r>
        <w:t xml:space="preserve">No product-page modifier is in use.</w:t>
      </w:r>
    </w:p>
    <w:p>
      <w:pPr>
        <w:pStyle w:val="ListParagraph"/>
        <w:numPr>
          <w:ilvl w:val="0"/>
          <w:numId w:val="3"/>
        </w:numPr>
      </w:pPr>
      <w:r>
        <w:rPr>
          <w:b/>
          <w:bCs/>
        </w:rPr>
        <w:t xml:space="preserve">Top-of-search presence has gone.</w:t>
      </w:r>
      <w:r>
        <w:t xml:space="preserve"> Head-term top-of-search clicks fell from about 1–3 a day to under 1. "satin sheets king" has a 0.98% top-of-search impression share (30d).</w:t>
      </w:r>
    </w:p>
    <w:p>
      <w:pPr>
        <w:pStyle w:val="ListParagraph"/>
        <w:numPr>
          <w:ilvl w:val="0"/>
          <w:numId w:val="3"/>
        </w:numPr>
      </w:pPr>
      <w:r>
        <w:rPr>
          <w:b/>
          <w:bCs/>
        </w:rPr>
        <w:t xml:space="preserve">Bids are off in both directions</w:t>
      </w:r>
      <w:r>
        <w:t xml:space="preserve"> (against Command Center's list-price break-even; Sellerboard's is lower still):</w:t>
      </w:r>
    </w:p>
    <w:p>
      <w:pPr>
        <w:pStyle w:val="ListParagraph"/>
        <w:numPr>
          <w:ilvl w:val="1"/>
          <w:numId w:val="3"/>
        </w:numPr>
      </w:pPr>
      <w:r>
        <w:t xml:space="preserve">The best-converting head terms are now bid below break-even and below their July–August price. "satin sheets king": $1.93 bid against a $2.23 break-even; it paid $2.69 a click over 90 days.</w:t>
      </w:r>
    </w:p>
    <w:p>
      <w:pPr>
        <w:pStyle w:val="ListParagraph"/>
        <w:numPr>
          <w:ilvl w:val="1"/>
          <w:numId w:val="3"/>
        </w:numPr>
      </w:pPr>
      <w:r>
        <w:t xml:space="preserve">Several silk terms bid at 2–3 times break-even: "king silk sheets" $4.95 against $1.51; "king size silk sheet set" $2.56 against $1.00.</w:t>
      </w:r>
    </w:p>
    <w:p>
      <w:pPr>
        <w:pStyle w:val="ListParagraph"/>
        <w:numPr>
          <w:ilvl w:val="0"/>
          <w:numId w:val="3"/>
        </w:numPr>
      </w:pPr>
      <w:r>
        <w:rPr>
          <w:b/>
          <w:bCs/>
        </w:rPr>
        <w:t xml:space="preserve">Budgets aren't the limit.</w:t>
      </w:r>
      <w:r>
        <w:t xml:space="preserve"> Ranking campaigns use 2–16% of their budgets, so the bids limit them.</w:t>
      </w:r>
    </w:p>
    <w:p>
      <w:pPr>
        <w:pStyle w:val="ListParagraph"/>
        <w:numPr>
          <w:ilvl w:val="1"/>
          <w:numId w:val="3"/>
        </w:numPr>
      </w:pPr>
      <w:r>
        <w:t xml:space="preserve">The Prime auto campaign hits its $10 cap every day.</w:t>
      </w:r>
    </w:p>
    <w:p>
      <w:pPr>
        <w:pStyle w:val="ListParagraph"/>
        <w:numPr>
          <w:ilvl w:val="1"/>
          <w:numId w:val="3"/>
        </w:numPr>
      </w:pPr>
      <w:r>
        <w:t xml:space="preserve">458385222692340 and the conquest product-target campaign run at 83–84%.</w:t>
      </w:r>
    </w:p>
    <w:p>
      <w:pPr>
        <w:pStyle w:val="ListParagraph"/>
        <w:numPr>
          <w:ilvl w:val="1"/>
          <w:numId w:val="3"/>
        </w:numPr>
      </w:pPr>
      <w:r>
        <w:t xml:space="preserve">Every campaign bids Dynamic down-only; Sellerboard automation is off.</w:t>
      </w:r>
    </w:p>
    <w:p>
      <w:pPr>
        <w:pStyle w:val="Heading1"/>
      </w:pPr>
      <w:r>
        <w:t xml:space="preserve">9. Campaign structure</w:t>
      </w:r>
    </w:p>
    <w:p>
      <w:pPr>
        <w:pStyle w:val="ListParagraph"/>
        <w:numPr>
          <w:ilvl w:val="0"/>
          <w:numId w:val="3"/>
        </w:numPr>
      </w:pPr>
      <w:r>
        <w:rPr>
          <w:b/>
          <w:bCs/>
        </w:rPr>
        <w:t xml:space="preserve">Shared campaigns inflate S6's campaign view.</w:t>
      </w:r>
      <w:r>
        <w:t xml:space="preserve"> Six campaigns that also advertise other products carry 39% of the September campaign-view spend ($1,754 of $4,504). The largest is the S4-named "DECOLURE – SATIN 4 – LTSF Campaign", S6's #1 spender at $763 in September (+45% on August). The others are two multi-SKU accounts and three Bamboo-named product-target campaigns. That is why the campaign view totals 155% of S6's own spend.</w:t>
      </w:r>
    </w:p>
    <w:p>
      <w:pPr>
        <w:pStyle w:val="ListParagraph"/>
        <w:numPr>
          <w:ilvl w:val="0"/>
          <w:numId w:val="3"/>
        </w:numPr>
      </w:pPr>
      <w:r>
        <w:rPr>
          <w:b/>
          <w:bCs/>
        </w:rPr>
        <w:t xml:space="preserve">Names don't match what campaigns advertise:</w:t>
      </w:r>
    </w:p>
    <w:p>
      <w:pPr>
        <w:pStyle w:val="ListParagraph"/>
        <w:numPr>
          <w:ilvl w:val="1"/>
          <w:numId w:val="3"/>
        </w:numPr>
      </w:pPr>
      <w:r>
        <w:t xml:space="preserve">The "king silk sheets … KING-BLACK" ranking campaign (446556169592872) advertises only Striped King Blue, which has 0 stock, per Data Dive's ad listing. That fits its spend falling from $824 to $35.</w:t>
      </w:r>
    </w:p>
    <w:p>
      <w:pPr>
        <w:pStyle w:val="ListParagraph"/>
        <w:numPr>
          <w:ilvl w:val="1"/>
          <w:numId w:val="3"/>
        </w:numPr>
      </w:pPr>
      <w:r>
        <w:t xml:space="preserve">At least 16 campaigns named for other colours advertise King Red.</w:t>
      </w:r>
    </w:p>
    <w:p>
      <w:pPr>
        <w:pStyle w:val="ListParagraph"/>
        <w:numPr>
          <w:ilvl w:val="1"/>
          <w:numId w:val="3"/>
        </w:numPr>
      </w:pPr>
      <w:r>
        <w:t xml:space="preserve">Command Center's placement check found 80 of 233 ranking campaigns (53% of 90-day ranking spend) advertising King Black, whatever size or colour the keyword names.</w:t>
      </w:r>
    </w:p>
    <w:p>
      <w:pPr>
        <w:pStyle w:val="ListParagraph"/>
        <w:numPr>
          <w:ilvl w:val="1"/>
          <w:numId w:val="3"/>
        </w:numPr>
      </w:pPr>
      <w:r>
        <w:t xml:space="preserve">The two sources differ on some campaigns; confirm the advertised ASIN in the console before any change.</w:t>
      </w:r>
    </w:p>
    <w:p>
      <w:pPr>
        <w:pStyle w:val="ListParagraph"/>
        <w:numPr>
          <w:ilvl w:val="0"/>
          <w:numId w:val="3"/>
        </w:numPr>
      </w:pPr>
      <w:r>
        <w:rPr>
          <w:b/>
          <w:bCs/>
        </w:rPr>
        <w:t xml:space="preserve">Spend sits on three colours</w:t>
      </w:r>
      <w:r>
        <w:t xml:space="preserve"> (Sellerboard, 30d): Queen Black 16.9% of spend for 9.4% of sales; King Red 16.0% for 5.3% (13 units left); King Black 15.2% for 5.4%. Together that is 48% of spend. 27 children got no spend; they are 8.9% of sales.</w:t>
      </w:r>
    </w:p>
    <w:p>
      <w:pPr>
        <w:pStyle w:val="ListParagraph"/>
        <w:numPr>
          <w:ilvl w:val="0"/>
          <w:numId w:val="3"/>
        </w:numPr>
      </w:pPr>
      <w:r>
        <w:rPr>
          <w:b/>
          <w:bCs/>
        </w:rPr>
        <w:t xml:space="preserve">Terms without a live owner:</w:t>
      </w:r>
      <w:r>
        <w:t xml:space="preserve"> "satin sheets" has one exact campaign, which is paused. "white silk sheets" was paused in September ($45 spent), with no other owner.</w:t>
      </w:r>
    </w:p>
    <w:p>
      <w:pPr>
        <w:pStyle w:val="ListParagraph"/>
        <w:numPr>
          <w:ilvl w:val="0"/>
          <w:numId w:val="3"/>
        </w:numPr>
      </w:pPr>
      <w:r>
        <w:rPr>
          <w:b/>
          <w:bCs/>
        </w:rPr>
        <w:t xml:space="preserve">Owners and duplicates:</w:t>
      </w:r>
    </w:p>
    <w:p>
      <w:pPr>
        <w:pStyle w:val="ListParagraph"/>
        <w:numPr>
          <w:ilvl w:val="1"/>
          <w:numId w:val="3"/>
        </w:numPr>
      </w:pPr>
      <w:r>
        <w:t xml:space="preserve">Close-variant campaigns, not the named owners, buy several head terms. 85% of "king size silk sheets set" spend is in the "sheet set" campaign; 92% of "queen silk sheets set" is in "queen silk sheet set".</w:t>
      </w:r>
    </w:p>
    <w:p>
      <w:pPr>
        <w:pStyle w:val="ListParagraph"/>
        <w:numPr>
          <w:ilvl w:val="1"/>
          <w:numId w:val="3"/>
        </w:numPr>
      </w:pPr>
      <w:r>
        <w:t xml:space="preserve">"king silk sheets" has two exact owners.</w:t>
      </w:r>
    </w:p>
    <w:p>
      <w:pPr>
        <w:pStyle w:val="ListParagraph"/>
        <w:numPr>
          <w:ilvl w:val="0"/>
          <w:numId w:val="3"/>
        </w:numPr>
      </w:pPr>
      <w:r>
        <w:rPr>
          <w:b/>
          <w:bCs/>
        </w:rPr>
        <w:t xml:space="preserve">Registry gaps:</w:t>
      </w:r>
    </w:p>
    <w:p>
      <w:pPr>
        <w:pStyle w:val="ListParagraph"/>
        <w:numPr>
          <w:ilvl w:val="1"/>
          <w:numId w:val="3"/>
        </w:numPr>
      </w:pPr>
      <w:r>
        <w:t xml:space="preserve">Six campaigns have no objective ($197 in 30d), including the Prime auto ($193).</w:t>
      </w:r>
    </w:p>
    <w:p>
      <w:pPr>
        <w:pStyle w:val="ListParagraph"/>
        <w:numPr>
          <w:ilvl w:val="1"/>
          <w:numId w:val="3"/>
        </w:numPr>
      </w:pPr>
      <w:r>
        <w:t xml:space="preserve">Four ranking keyword campaigns fall outside the syntax library, including "king size silk sheet set" ($273 in 30d, 62% ACoS).</w:t>
      </w:r>
    </w:p>
    <w:p>
      <w:pPr>
        <w:pStyle w:val="ListParagraph"/>
        <w:numPr>
          <w:ilvl w:val="0"/>
          <w:numId w:val="3"/>
        </w:numPr>
      </w:pPr>
      <w:r>
        <w:rPr>
          <w:b/>
          <w:bCs/>
        </w:rPr>
        <w:t xml:space="preserve">Clean on two checks:</w:t>
      </w:r>
      <w:r>
        <w:t xml:space="preserve"> no campaign spent without impressions, and no S6 keyword targets a 4-piece term.</w:t>
      </w:r>
    </w:p>
    <w:p>
      <w:pPr>
        <w:pStyle w:val="Heading1"/>
      </w:pPr>
      <w:r>
        <w:t xml:space="preserve">10. Market and competitors</w:t>
      </w:r>
    </w:p>
    <w:p>
      <w:pPr>
        <w:pStyle w:val="ListParagraph"/>
        <w:numPr>
          <w:ilvl w:val="0"/>
          <w:numId w:val="3"/>
        </w:numPr>
      </w:pPr>
      <w:r>
        <w:rPr>
          <w:b/>
          <w:bCs/>
        </w:rPr>
        <w:t xml:space="preserve">Share of traffic:</w:t>
      </w:r>
      <w:r>
        <w:t xml:space="preserve"> S6 has 0.90% of tracked niche traffic (ASINsight, 28 Sep), against S4's 3.85%. It fell 67% from 13 Aug, and our ranked keywords fell from 809 to 508. We win 5 of 492 contested keywords.</w:t>
      </w:r>
    </w:p>
    <w:p>
      <w:pPr>
        <w:pStyle w:val="ListParagraph"/>
        <w:numPr>
          <w:ilvl w:val="0"/>
          <w:numId w:val="3"/>
        </w:numPr>
      </w:pPr>
      <w:r>
        <w:rPr>
          <w:b/>
          <w:bCs/>
        </w:rPr>
        <w:t xml:space="preserve">Who leads:</w:t>
      </w:r>
      <w:r>
        <w:t xml:space="preserve"> BEDELITE leads almost every head term. It cut its price from $23.99 to $17.99, and MR&amp;HM from $27.99 to $19.99.</w:t>
      </w:r>
    </w:p>
    <w:p>
      <w:pPr>
        <w:pStyle w:val="ListParagraph"/>
        <w:numPr>
          <w:ilvl w:val="0"/>
          <w:numId w:val="3"/>
        </w:numPr>
      </w:pPr>
      <w:r>
        <w:rPr>
          <w:b/>
          <w:bCs/>
        </w:rPr>
        <w:t xml:space="preserve">The 6-piece rivals are cheaper:</w:t>
      </w:r>
      <w:r>
        <w:t xml:space="preserve"> P Pothuiny $26.99 (3,969 reviews), TREELY $26.99, Horbaunal $28.99, Madison Park $29.49. S6 sells at $31.95 (Queen), about $33 blended.</w:t>
      </w:r>
    </w:p>
    <w:p>
      <w:pPr>
        <w:pStyle w:val="ListParagraph"/>
        <w:numPr>
          <w:ilvl w:val="0"/>
          <w:numId w:val="3"/>
        </w:numPr>
      </w:pPr>
      <w:r>
        <w:rPr>
          <w:b/>
          <w:bCs/>
        </w:rPr>
        <w:t xml:space="preserve">Command Center's competitor list for S6 is all 4-piece satin</w:t>
      </w:r>
      <w:r>
        <w:t xml:space="preserve">, so it doesn't reflect the 6-piece set.</w:t>
      </w:r>
    </w:p>
    <w:p>
      <w:pPr>
        <w:pStyle w:val="ListParagraph"/>
        <w:numPr>
          <w:ilvl w:val="0"/>
          <w:numId w:val="3"/>
        </w:numPr>
      </w:pPr>
      <w:r>
        <w:rPr>
          <w:b/>
          <w:bCs/>
        </w:rPr>
        <w:t xml:space="preserve">S6 against S4:</w:t>
      </w:r>
    </w:p>
    <w:p>
      <w:pPr>
        <w:pStyle w:val="ListParagraph"/>
        <w:numPr>
          <w:ilvl w:val="1"/>
          <w:numId w:val="3"/>
        </w:numPr>
      </w:pPr>
      <w:r>
        <w:t xml:space="preserve">87% of S6's search terms are also S4's, and 98.6% of S6's traffic sits on those shared terms. S4 ranks better on 323 of the 415 terms both rank for.</w:t>
      </w:r>
    </w:p>
    <w:p>
      <w:pPr>
        <w:pStyle w:val="ListParagraph"/>
        <w:numPr>
          <w:ilvl w:val="1"/>
          <w:numId w:val="3"/>
        </w:numPr>
      </w:pPr>
      <w:r>
        <w:t xml:space="preserve">79% of S6's top search-term spend is on terms S4 also buys, usually at a lower price than S4 pays ("satin sheets" $0.65 against $1.93).</w:t>
      </w:r>
    </w:p>
    <w:p>
      <w:pPr>
        <w:pStyle w:val="ListParagraph"/>
        <w:numPr>
          <w:ilvl w:val="1"/>
          <w:numId w:val="3"/>
        </w:numPr>
      </w:pPr>
      <w:r>
        <w:t xml:space="preserve">Each product's ads also target the other's detail pages ($424 and $162 over 90 days).</w:t>
      </w:r>
    </w:p>
    <w:p>
      <w:pPr>
        <w:pStyle w:val="ListParagraph"/>
        <w:numPr>
          <w:ilvl w:val="1"/>
          <w:numId w:val="3"/>
        </w:numPr>
      </w:pPr>
      <w:r>
        <w:t xml:space="preserve">Any S6 ranking plan has to decide which product owns which terms.</w:t>
      </w:r>
    </w:p>
    <w:p>
      <w:pPr>
        <w:pStyle w:val="ListParagraph"/>
        <w:numPr>
          <w:ilvl w:val="0"/>
          <w:numId w:val="3"/>
        </w:numPr>
      </w:pPr>
      <w:r>
        <w:rPr>
          <w:b/>
          <w:bCs/>
        </w:rPr>
        <w:t xml:space="preserve">Market size:</w:t>
      </w:r>
      <w:r>
        <w:t xml:space="preserve"> flat from Q2 to Q3 (search-query data).</w:t>
      </w:r>
    </w:p>
    <w:p>
      <w:pPr>
        <w:pStyle w:val="Heading1"/>
      </w:pPr>
      <w:r>
        <w:t xml:space="preserve">11. Questions to take into the audit</w:t>
      </w:r>
    </w:p>
    <w:p>
      <w:pPr>
        <w:spacing w:after="120"/>
      </w:pPr>
      <w:r>
        <w:t xml:space="preserve">The data sets no goal on its own; these are the questions any plan for S6 has to answer:</w:t>
      </w:r>
    </w:p>
    <w:p>
      <w:pPr>
        <w:pStyle w:val="ListParagraph"/>
        <w:numPr>
          <w:ilvl w:val="0"/>
          <w:numId w:val="4"/>
        </w:numPr>
      </w:pPr>
      <w:r>
        <w:rPr>
          <w:b/>
          <w:bCs/>
        </w:rPr>
        <w:t xml:space="preserve">Who cut spend at the end of August, and why?</w:t>
      </w:r>
      <w:r>
        <w:t xml:space="preserve"> Was it a deliberate profitability call? With 12 of 13 months at a loss, a Sellerboard break-even of 9–20% and ACoS at 30%, cutting may be right. But organic sales fell with the ads.</w:t>
      </w:r>
    </w:p>
    <w:p>
      <w:pPr>
        <w:pStyle w:val="ListParagraph"/>
        <w:numPr>
          <w:ilvl w:val="0"/>
          <w:numId w:val="4"/>
        </w:numPr>
      </w:pPr>
      <w:r>
        <w:rPr>
          <w:b/>
          <w:bCs/>
        </w:rPr>
        <w:t xml:space="preserve">Which margin governs?</w:t>
      </w:r>
      <w:r>
        <w:t xml:space="preserve"> Sellerboard's is 9.0% all-in or 19.7% ex one-offs (September); Command Center's list-price figure is 28.9%. Any bid ceiling the audit sets on Command Center's figure will be too high.</w:t>
      </w:r>
    </w:p>
    <w:p>
      <w:pPr>
        <w:pStyle w:val="ListParagraph"/>
        <w:numPr>
          <w:ilvl w:val="0"/>
          <w:numId w:val="4"/>
        </w:numPr>
      </w:pPr>
      <w:r>
        <w:rPr>
          <w:b/>
          <w:bCs/>
        </w:rPr>
        <w:t xml:space="preserve">What does S6 own that S4 doesn't?</w:t>
      </w:r>
      <w:r>
        <w:t xml:space="preserve"> They share 87% of their terms, and S4 ranks better on most. King (the only size converting above the market) and the 6-piece angle are the obvious candidates.</w:t>
      </w:r>
    </w:p>
    <w:p>
      <w:pPr>
        <w:pStyle w:val="ListParagraph"/>
        <w:numPr>
          <w:ilvl w:val="0"/>
          <w:numId w:val="4"/>
        </w:numPr>
      </w:pPr>
      <w:r>
        <w:rPr>
          <w:b/>
          <w:bCs/>
        </w:rPr>
        <w:t xml:space="preserve">Can the listing convert on Queen and Full?</w:t>
      </w:r>
      <w:r>
        <w:t xml:space="preserve"> It converts at about half the market's rate there, against 6-piece rivals $5 cheaper and 4-piece leaders at $18–20.</w:t>
      </w:r>
    </w:p>
    <w:p>
      <w:pPr>
        <w:pStyle w:val="ListParagraph"/>
        <w:numPr>
          <w:ilvl w:val="0"/>
          <w:numId w:val="4"/>
        </w:numPr>
      </w:pPr>
      <w:r>
        <w:rPr>
          <w:b/>
          <w:bCs/>
        </w:rPr>
        <w:t xml:space="preserve">Which colours carry each size?</w:t>
      </w:r>
      <w:r>
        <w:t xml:space="preserve"> King Black has about 500 days of stock; King Red is about to run out; Queen Black earns $1.61 a unit all-in. And what happens to the 16 SKUs at 0?</w:t>
      </w:r>
    </w:p>
    <w:p>
      <w:pPr>
        <w:pStyle w:val="ListParagraph"/>
        <w:numPr>
          <w:ilvl w:val="0"/>
          <w:numId w:val="4"/>
        </w:numPr>
      </w:pPr>
      <w:r>
        <w:rPr>
          <w:b/>
          <w:bCs/>
        </w:rPr>
        <w:t xml:space="preserve">LTSF</w:t>
      </w:r>
      <w:r>
        <w:t xml:space="preserve">: the 15 Oct charge (about $854) and the aged units. How much of the Liquidation spend is clearing them?</w:t>
      </w:r>
    </w:p>
    <w:p>
      <w:pPr>
        <w:pStyle w:val="ListParagraph"/>
        <w:numPr>
          <w:ilvl w:val="0"/>
          <w:numId w:val="4"/>
        </w:numPr>
      </w:pPr>
      <w:r>
        <w:rPr>
          <w:b/>
          <w:bCs/>
        </w:rPr>
        <w:t xml:space="preserve">Deals:</w:t>
      </w:r>
      <w:r>
        <w:t xml:space="preserve"> confirm whether the 30 Sep Lightning Deal ran, and set the Prime deal against the deal-price margins above.</w:t>
      </w:r>
    </w:p>
    <w:p>
      <w:pPr>
        <w:pStyle w:val="ListParagraph"/>
        <w:numPr>
          <w:ilvl w:val="0"/>
          <w:numId w:val="4"/>
        </w:numPr>
      </w:pPr>
      <w:r>
        <w:rPr>
          <w:b/>
          <w:bCs/>
        </w:rPr>
        <w:t xml:space="preserve">Structure to clear before any push:</w:t>
      </w:r>
    </w:p>
    <w:p>
      <w:pPr>
        <w:pStyle w:val="ListParagraph"/>
        <w:numPr>
          <w:ilvl w:val="1"/>
          <w:numId w:val="3"/>
        </w:numPr>
      </w:pPr>
      <w:r>
        <w:t xml:space="preserve">campaign names that don't match what they advertise;</w:t>
      </w:r>
    </w:p>
    <w:p>
      <w:pPr>
        <w:pStyle w:val="ListParagraph"/>
        <w:numPr>
          <w:ilvl w:val="1"/>
          <w:numId w:val="3"/>
        </w:numPr>
      </w:pPr>
      <w:r>
        <w:t xml:space="preserve">the S4 LTSF campaign advertising S6;</w:t>
      </w:r>
    </w:p>
    <w:p>
      <w:pPr>
        <w:pStyle w:val="ListParagraph"/>
        <w:numPr>
          <w:ilvl w:val="1"/>
          <w:numId w:val="3"/>
        </w:numPr>
      </w:pPr>
      <w:r>
        <w:t xml:space="preserve">"satin sheets" with no live owner;</w:t>
      </w:r>
    </w:p>
    <w:p>
      <w:pPr>
        <w:pStyle w:val="ListParagraph"/>
        <w:numPr>
          <w:ilvl w:val="1"/>
          <w:numId w:val="3"/>
        </w:numPr>
      </w:pPr>
      <w:r>
        <w:t xml:space="preserve">product-page leakage on exact campaigns;</w:t>
      </w:r>
    </w:p>
    <w:p>
      <w:pPr>
        <w:pStyle w:val="ListParagraph"/>
        <w:numPr>
          <w:ilvl w:val="1"/>
          <w:numId w:val="3"/>
        </w:numPr>
      </w:pPr>
      <w:r>
        <w:t xml:space="preserve">the Sellerboard/Command Center parent mismatch.</w:t>
      </w:r>
    </w:p>
    <w:p>
      <w:pPr>
        <w:pStyle w:val="Heading1"/>
      </w:pPr>
      <w:r>
        <w:t xml:space="preserve">12. Data gaps and conflicts</w:t>
      </w:r>
    </w:p>
    <w:p>
      <w:pPr>
        <w:pStyle w:val="ListParagraph"/>
        <w:numPr>
          <w:ilvl w:val="0"/>
          <w:numId w:val="3"/>
        </w:numPr>
      </w:pPr>
      <w:r>
        <w:rPr>
          <w:b/>
          <w:bCs/>
        </w:rPr>
        <w:t xml:space="preserve">Deal calendar:</w:t>
      </w:r>
      <w:r>
        <w:t xml:space="preserve"> Command Center, Slack and the Drive tracker disagree (July Best Deal dates; the August Lightning Deals). The 30 Sep deal's final status is unconfirmed, and so is D109's end date.</w:t>
      </w:r>
    </w:p>
    <w:p>
      <w:pPr>
        <w:pStyle w:val="ListParagraph"/>
        <w:numPr>
          <w:ilvl w:val="0"/>
          <w:numId w:val="3"/>
        </w:numPr>
      </w:pPr>
      <w:r>
        <w:rPr>
          <w:b/>
          <w:bCs/>
        </w:rPr>
        <w:t xml:space="preserve">Parent ASIN:</w:t>
      </w:r>
      <w:r>
        <w:t xml:space="preserve"> Command Center B0D9QQWYP4 against Sellerboard B0HDTF4MN2 (with 7 four-piece Twin SKUs mixed in); three new duplicate ASINs have no cost data.</w:t>
      </w:r>
    </w:p>
    <w:p>
      <w:pPr>
        <w:pStyle w:val="ListParagraph"/>
        <w:numPr>
          <w:ilvl w:val="0"/>
          <w:numId w:val="3"/>
        </w:numPr>
      </w:pPr>
      <w:r>
        <w:rPr>
          <w:b/>
          <w:bCs/>
        </w:rPr>
        <w:t xml:space="preserve">Search-query radar:</w:t>
      </w:r>
      <w:r>
        <w:t xml:space="preserve"> built on B0CRF7S2TH, not an S6 SKU.</w:t>
      </w:r>
    </w:p>
    <w:p>
      <w:pPr>
        <w:pStyle w:val="ListParagraph"/>
        <w:numPr>
          <w:ilvl w:val="0"/>
          <w:numId w:val="3"/>
        </w:numPr>
      </w:pPr>
      <w:r>
        <w:rPr>
          <w:b/>
          <w:bCs/>
        </w:rPr>
        <w:t xml:space="preserve">Advertised children:</w:t>
      </w:r>
      <w:r>
        <w:t xml:space="preserve"> Data Dive and Command Center disagree on some campaigns; confirm in the console.</w:t>
      </w:r>
    </w:p>
    <w:p>
      <w:pPr>
        <w:pStyle w:val="ListParagraph"/>
        <w:numPr>
          <w:ilvl w:val="0"/>
          <w:numId w:val="3"/>
        </w:numPr>
      </w:pPr>
      <w:r>
        <w:rPr>
          <w:b/>
          <w:bCs/>
        </w:rPr>
        <w:t xml:space="preserve">Missing inputs:</w:t>
      </w:r>
      <w:r>
        <w:t xml:space="preserve"> no purchase orders or inbound arrival dates in Sellerboard; no budget cap-out hours or bid history from before the August cut; top-of-search impression share pulled for only 2 campaigns.</w:t>
      </w:r>
    </w:p>
    <w:p>
      <w:pPr>
        <w:pStyle w:val="ListParagraph"/>
        <w:numPr>
          <w:ilvl w:val="0"/>
          <w:numId w:val="3"/>
        </w:numPr>
      </w:pPr>
      <w:r>
        <w:rPr>
          <w:b/>
          <w:bCs/>
        </w:rPr>
        <w:t xml:space="preserve">Rank sources differ by a few places</w:t>
      </w:r>
      <w:r>
        <w:t xml:space="preserve"> (Command Center crawl, Data Dive radar, ASINsight); medians from the Command Center crawl are used.</w:t>
      </w:r>
    </w:p>
    <w:p>
      <w:pPr>
        <w:spacing w:after="120"/>
      </w:pPr>
      <w:r>
        <w:rPr>
          <w:i/>
          <w:iCs/>
        </w:rPr>
        <w:t xml:space="preserve">Source files (scratchpad s6/): inventory_margins.md, campaigns_decisions.md, placements_tos.md, syntax_ranks_market.md, with raw pulls in s6/raw/.</w:t>
      </w:r>
    </w:p>
    <w:sectPr>
      <w:pgSz w:w="15840" w:h="12240" w:orient="landscape"/>
      <w:pgMar w:top="900" w:right="900" w:bottom="900" w:left="9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lvl>
    <w:lvl w:ilvl="1" w:tentative="1">
      <w:start w:val="1"/>
      <w:numFmt w:val="bullet"/>
      <w:lvlText w:val="◦"/>
      <w:lvlJc w:val="left"/>
      <w:pPr>
        <w:ind w:left="720" w:hanging="260"/>
      </w:pPr>
    </w:lvl>
  </w:abstractNum>
  <w:abstractNum w:abstractNumId="3" w15:restartNumberingAfterBreak="0">
    <w:multiLevelType w:val="hybridMultilevel"/>
    <w:lvl w:ilvl="0" w:tentative="1">
      <w:start w:val="1"/>
      <w:numFmt w:val="decimal"/>
      <w:lvlText w:val="%1."/>
      <w:lvlJc w:val="left"/>
      <w:pPr>
        <w:ind w:left="36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b/>
      <w:bCs/>
      <w:color w:val="1F3864"/>
      <w:sz w:val="28"/>
      <w:szCs w:val="28"/>
    </w:rPr>
  </w:style>
  <w:style w:type="paragraph" w:styleId="Heading2">
    <w:name w:val="Heading 2"/>
    <w:basedOn w:val="Normal"/>
    <w:next w:val="Normal"/>
    <w:qFormat/>
    <w:pPr>
      <w:spacing w:after="100" w:before="220"/>
      <w:outlineLvl w:val="1"/>
    </w:pPr>
    <w:rPr>
      <w:b/>
      <w:bCs/>
      <w:color w:val="2F5496"/>
      <w:sz w:val="24"/>
      <w:szCs w:val="24"/>
    </w:rPr>
  </w:style>
  <w:style w:type="paragraph" w:styleId="Title">
    <w:name w:val="Title"/>
    <w:basedOn w:val="Normal"/>
    <w:next w:val="Normal"/>
    <w:pPr>
      <w:spacing w:after="160"/>
    </w:pPr>
    <w:rPr>
      <w:b/>
      <w:bCs/>
      <w:color w:val="1F3864"/>
      <w:sz w:val="36"/>
      <w:szCs w:val="3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2026-09-30T14:15:18.912Z</dcterms:created>
  <dcterms:modified xsi:type="dcterms:W3CDTF">2026-09-30T14:15:18.922Z</dcterms:modified>
</cp:coreProperties>
</file>

<file path=docProps/custom.xml><?xml version="1.0" encoding="utf-8"?>
<Properties xmlns="http://schemas.openxmlformats.org/officeDocument/2006/custom-properties" xmlns:vt="http://schemas.openxmlformats.org/officeDocument/2006/docPropsVTypes"/>
</file>