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F3A5F"/>
          <w:sz w:val="36"/>
          <w:szCs w:val="36"/>
        </w:rPr>
        <w:t xml:space="preserve">Corrections to the 28 September run — Decolure Bamboo Sheets 4-Piece</w:t>
      </w:r>
    </w:p>
    <w:p>
      <w:pPr>
        <w:spacing w:after="100"/>
      </w:pPr>
      <w:r>
        <w:t xml:space="preserve">The Best Deal ends today. This run (20260928-9e6e6bb5) moves the focus to Bamboo|California King and Bamboo|Cooling, pushes those two groups on top of search — three terms with a +75% “dose” step — and tapers everything else one −10% rung per run, modifiers first. Out-of-focus campaigns take no new money; what the taper releases is meant to fund the focus. The agent review endorsed the direction and passed 324 of the 343 rows (17 held, 2 corrected).</w:t>
      </w:r>
    </w:p>
    <w:p>
      <w:pPr>
        <w:spacing w:after="100"/>
      </w:pPr>
      <w:r>
        <w:t xml:space="preserve">This document goes over the run the way the 21 September corrections did: each section gives the rule, what the run did, two or three campaigns where the run’s action is the problem, and the correction. Group ranks are Command Center’s 7-day medians; keyword ranks are the tracker readings the engine used (09-28 against 08-29) and are marked as such. Part C checks what the deal and the last corrections actually did. Part D answers the question the run leaves open: after the deal, is this the right focus, and what happens to the head term the run takes out of it?</w:t>
      </w:r>
    </w:p>
    <w:p>
      <w:pPr>
        <w:spacing w:after="100"/>
      </w:pPr>
      <w:r>
        <w:rPr>
          <w:b/>
          <w:bCs/>
          <w:color w:val="1F3A5F"/>
        </w:rPr>
        <w:t xml:space="preserve">In short. </w:t>
      </w:r>
      <w:r>
        <w:t xml:space="preserve">The direction holds for Bamboo|Cooling and is weak for California King. About 110 rows should not load as written (103 to pull, 9 to correct), most of them the same engine faults the 21 September document named: rows the engine itself marks HOLD, no-op and duplicate rows, and predictions no budget can buy. Two decisions need the owner before anything loads: the flagship “Bamboo Sheets” campaign, left at deal spend with its decision parked in a hold row, and the California King push on a hero with 44 units.</w:t>
      </w:r>
    </w:p>
    <w:p>
      <w:pPr>
        <w:pStyle w:val="Heading2"/>
      </w:pPr>
      <w:r>
        <w:t xml:space="preserve">Where the product stands at the end of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Window</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CVR</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TOS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PP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TOS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Eff. TOS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(09-02 → 09-14)</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first week (09-15 → 09-21)</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second week (09-22 → 09-27)</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product 59, all campaigns. TOS / PP = top of search / product pages, estimated by Command Center from the campaign placement report. TOS share is of all clicks, off-Amazon included. * Still settling: 7-day attribution fills in until 10-04.</w:t>
      </w:r>
    </w:p>
    <w:p>
      <w:pPr>
        <w:spacing w:after="100"/>
      </w:pPr>
      <w:r>
        <w:t xml:space="preserve">The deal raised spend 76% and ad sales 26% (13 days against the 13 before): orders went up a third, ACoS went from 31.5% to 44.1% against a 33.3% break-even, and CVR fell from 12.5% to 10.2%. Top of search went from 94 to about 150 clicks a day, but product pages grew almost as much, so top of search stayed near 40% of clicks. The only price move that shows is the 15/16 September round. In the second week the bid did not move, which means the daily push the 21 September corrections called for from 09-24 was never loaded (Part C1).</w:t>
      </w:r>
    </w:p>
    <w:p>
      <w:pPr>
        <w:pStyle w:val="Heading2"/>
      </w:pPr>
      <w:r>
        <w:t xml:space="preserve">What the run plans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872"/>
      </w:tblGrid>
      <w:tr>
        <w:trPr>
          <w:tblHeader/>
        </w:trPr>
        <w:tc>
          <w:tcPr>
            <w:tcW w:type="dxa" w:w="3000"/>
            <w:shd w:fill="1F3A5F" w:color="auto" w:val="clear"/>
            <w:tcMar>
              <w:top w:type="dxa" w:w="40"/>
              <w:left w:type="dxa" w:w="70"/>
              <w:bottom w:type="dxa" w:w="40"/>
              <w:right w:type="dxa" w:w="70"/>
            </w:tcMar>
          </w:tcPr>
          <w:p>
            <w:pPr>
              <w:spacing w:after="0"/>
            </w:pPr>
            <w:r>
              <w:rPr>
                <w:b/>
                <w:bCs/>
                <w:color w:val="FFFFFF"/>
                <w:sz w:val="17"/>
                <w:szCs w:val="17"/>
              </w:rPr>
              <w:t xml:space="preserve">Per day unless stated</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Before (engine baseline)</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Engine plan</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After the review</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Read with</w:t>
            </w:r>
          </w:p>
        </w:tc>
      </w:tr>
      <w:tr>
        <w:tc>
          <w:tcPr>
            <w:tcW w:type="dxa" w:w="3000"/>
            <w:shd w:fill="FFFFFF" w:color="auto" w:val="clear"/>
            <w:tcMar>
              <w:top w:type="dxa" w:w="40"/>
              <w:left w:type="dxa" w:w="70"/>
              <w:bottom w:type="dxa" w:w="40"/>
              <w:right w:type="dxa" w:w="70"/>
            </w:tcMar>
          </w:tcPr>
          <w:p>
            <w:pPr>
              <w:spacing w:after="0"/>
            </w:pPr>
            <w:r>
              <w:rPr>
                <w:sz w:val="17"/>
                <w:szCs w:val="17"/>
              </w:rPr>
              <w:t xml:space="preserve">Ad spend</w:t>
            </w:r>
          </w:p>
        </w:tc>
        <w:tc>
          <w:tcPr>
            <w:tcW w:type="dxa" w:w="1700"/>
            <w:shd w:fill="FFFFFF" w:color="auto" w:val="clear"/>
            <w:tcMar>
              <w:top w:type="dxa" w:w="40"/>
              <w:left w:type="dxa" w:w="70"/>
              <w:bottom w:type="dxa" w:w="40"/>
              <w:right w:type="dxa" w:w="70"/>
            </w:tcMar>
          </w:tcPr>
          <w:p>
            <w:pPr>
              <w:spacing w:after="0"/>
            </w:pPr>
            <w:r>
              <w:rPr>
                <w:sz w:val="17"/>
                <w:szCs w:val="17"/>
              </w:rPr>
              <w:t xml:space="preserve">$1,107</w:t>
            </w:r>
          </w:p>
        </w:tc>
        <w:tc>
          <w:tcPr>
            <w:tcW w:type="dxa" w:w="1700"/>
            <w:shd w:fill="FFFFFF" w:color="auto" w:val="clear"/>
            <w:tcMar>
              <w:top w:type="dxa" w:w="40"/>
              <w:left w:type="dxa" w:w="70"/>
              <w:bottom w:type="dxa" w:w="40"/>
              <w:right w:type="dxa" w:w="70"/>
            </w:tcMar>
          </w:tcPr>
          <w:p>
            <w:pPr>
              <w:spacing w:after="0"/>
            </w:pPr>
            <w:r>
              <w:rPr>
                <w:sz w:val="17"/>
                <w:szCs w:val="17"/>
              </w:rPr>
              <w:t xml:space="preserve">$1,384</w:t>
            </w:r>
          </w:p>
        </w:tc>
        <w:tc>
          <w:tcPr>
            <w:tcW w:type="dxa" w:w="1700"/>
            <w:shd w:fill="FFFFFF" w:color="auto" w:val="clear"/>
            <w:tcMar>
              <w:top w:type="dxa" w:w="40"/>
              <w:left w:type="dxa" w:w="70"/>
              <w:bottom w:type="dxa" w:w="40"/>
              <w:right w:type="dxa" w:w="70"/>
            </w:tcMar>
          </w:tcPr>
          <w:p>
            <w:pPr>
              <w:spacing w:after="0"/>
            </w:pPr>
            <w:r>
              <w:rPr>
                <w:sz w:val="17"/>
                <w:szCs w:val="17"/>
              </w:rPr>
              <w:t xml:space="preserve">$1,293</w:t>
            </w:r>
          </w:p>
        </w:tc>
        <w:tc>
          <w:tcPr>
            <w:tcW w:type="dxa" w:w="1872"/>
            <w:shd w:fill="FFFFFF" w:color="auto" w:val="clear"/>
            <w:tcMar>
              <w:top w:type="dxa" w:w="40"/>
              <w:left w:type="dxa" w:w="70"/>
              <w:bottom w:type="dxa" w:w="40"/>
              <w:right w:type="dxa" w:w="70"/>
            </w:tcMar>
          </w:tcPr>
          <w:p>
            <w:pPr>
              <w:spacing w:after="0"/>
            </w:pPr>
            <w:r>
              <w:rPr>
                <w:sz w:val="17"/>
                <w:szCs w:val="17"/>
              </w:rPr>
              <w:t xml:space="preserve">Baseline is 14 deal days</w:t>
            </w:r>
          </w:p>
        </w:tc>
      </w:tr>
      <w:tr>
        <w:tc>
          <w:tcPr>
            <w:tcW w:type="dxa" w:w="3000"/>
            <w:shd w:fill="F2F5F9" w:color="auto" w:val="clear"/>
            <w:tcMar>
              <w:top w:type="dxa" w:w="40"/>
              <w:left w:type="dxa" w:w="70"/>
              <w:bottom w:type="dxa" w:w="40"/>
              <w:right w:type="dxa" w:w="70"/>
            </w:tcMar>
          </w:tcPr>
          <w:p>
            <w:pPr>
              <w:spacing w:after="0"/>
            </w:pPr>
            <w:r>
              <w:rPr>
                <w:sz w:val="17"/>
                <w:szCs w:val="17"/>
              </w:rPr>
              <w:t xml:space="preserve">Ad sales</w:t>
            </w:r>
          </w:p>
        </w:tc>
        <w:tc>
          <w:tcPr>
            <w:tcW w:type="dxa" w:w="1700"/>
            <w:shd w:fill="F2F5F9" w:color="auto" w:val="clear"/>
            <w:tcMar>
              <w:top w:type="dxa" w:w="40"/>
              <w:left w:type="dxa" w:w="70"/>
              <w:bottom w:type="dxa" w:w="40"/>
              <w:right w:type="dxa" w:w="70"/>
            </w:tcMar>
          </w:tcPr>
          <w:p>
            <w:pPr>
              <w:spacing w:after="0"/>
            </w:pPr>
            <w:r>
              <w:rPr>
                <w:sz w:val="17"/>
                <w:szCs w:val="17"/>
              </w:rPr>
              <w:t xml:space="preserve">$2,722</w:t>
            </w:r>
          </w:p>
        </w:tc>
        <w:tc>
          <w:tcPr>
            <w:tcW w:type="dxa" w:w="1700"/>
            <w:shd w:fill="F2F5F9" w:color="auto" w:val="clear"/>
            <w:tcMar>
              <w:top w:type="dxa" w:w="40"/>
              <w:left w:type="dxa" w:w="70"/>
              <w:bottom w:type="dxa" w:w="40"/>
              <w:right w:type="dxa" w:w="70"/>
            </w:tcMar>
          </w:tcPr>
          <w:p>
            <w:pPr>
              <w:spacing w:after="0"/>
            </w:pPr>
            <w:r>
              <w:rPr>
                <w:sz w:val="17"/>
                <w:szCs w:val="17"/>
              </w:rPr>
              <w:t xml:space="preserve">$3,096</w:t>
            </w:r>
          </w:p>
        </w:tc>
        <w:tc>
          <w:tcPr>
            <w:tcW w:type="dxa" w:w="1700"/>
            <w:shd w:fill="F2F5F9" w:color="auto" w:val="clear"/>
            <w:tcMar>
              <w:top w:type="dxa" w:w="40"/>
              <w:left w:type="dxa" w:w="70"/>
              <w:bottom w:type="dxa" w:w="40"/>
              <w:right w:type="dxa" w:w="70"/>
            </w:tcMar>
          </w:tcPr>
          <w:p>
            <w:pPr>
              <w:spacing w:after="0"/>
            </w:pPr>
            <w:r>
              <w:rPr>
                <w:sz w:val="17"/>
                <w:szCs w:val="17"/>
              </w:rPr>
              <w:t xml:space="preserve">$3,055</w:t>
            </w:r>
          </w:p>
        </w:tc>
        <w:tc>
          <w:tcPr>
            <w:tcW w:type="dxa" w:w="1872"/>
            <w:shd w:fill="F2F5F9" w:color="auto" w:val="clear"/>
            <w:tcMar>
              <w:top w:type="dxa" w:w="40"/>
              <w:left w:type="dxa" w:w="70"/>
              <w:bottom w:type="dxa" w:w="40"/>
              <w:right w:type="dxa" w:w="70"/>
            </w:tcMar>
          </w:tcPr>
          <w:p>
            <w:pPr>
              <w:spacing w:after="0"/>
            </w:pPr>
            <w:r>
              <w:rPr>
                <w:sz w:val="17"/>
                <w:szCs w:val="17"/>
              </w:rPr>
              <w:t xml:space="preserve">Deal price in the baseline</w:t>
            </w:r>
          </w:p>
        </w:tc>
      </w:tr>
      <w:tr>
        <w:tc>
          <w:tcPr>
            <w:tcW w:type="dxa" w:w="3000"/>
            <w:shd w:fill="FFFFFF" w:color="auto" w:val="clear"/>
            <w:tcMar>
              <w:top w:type="dxa" w:w="40"/>
              <w:left w:type="dxa" w:w="70"/>
              <w:bottom w:type="dxa" w:w="40"/>
              <w:right w:type="dxa" w:w="70"/>
            </w:tcMar>
          </w:tcPr>
          <w:p>
            <w:pPr>
              <w:spacing w:after="0"/>
            </w:pPr>
            <w:r>
              <w:rPr>
                <w:sz w:val="17"/>
                <w:szCs w:val="17"/>
              </w:rPr>
              <w:t xml:space="preserve">ACoS</w:t>
            </w:r>
          </w:p>
        </w:tc>
        <w:tc>
          <w:tcPr>
            <w:tcW w:type="dxa" w:w="1700"/>
            <w:shd w:fill="FFFFFF" w:color="auto" w:val="clear"/>
            <w:tcMar>
              <w:top w:type="dxa" w:w="40"/>
              <w:left w:type="dxa" w:w="70"/>
              <w:bottom w:type="dxa" w:w="40"/>
              <w:right w:type="dxa" w:w="70"/>
            </w:tcMar>
          </w:tcPr>
          <w:p>
            <w:pPr>
              <w:spacing w:after="0"/>
            </w:pPr>
            <w:r>
              <w:rPr>
                <w:sz w:val="17"/>
                <w:szCs w:val="17"/>
              </w:rPr>
              <w:t xml:space="preserve">40.7%</w:t>
            </w:r>
          </w:p>
        </w:tc>
        <w:tc>
          <w:tcPr>
            <w:tcW w:type="dxa" w:w="1700"/>
            <w:shd w:fill="FFFFFF" w:color="auto" w:val="clear"/>
            <w:tcMar>
              <w:top w:type="dxa" w:w="40"/>
              <w:left w:type="dxa" w:w="70"/>
              <w:bottom w:type="dxa" w:w="40"/>
              <w:right w:type="dxa" w:w="70"/>
            </w:tcMar>
          </w:tcPr>
          <w:p>
            <w:pPr>
              <w:spacing w:after="0"/>
            </w:pPr>
            <w:r>
              <w:rPr>
                <w:sz w:val="17"/>
                <w:szCs w:val="17"/>
              </w:rPr>
              <w:t xml:space="preserve">44.7%</w:t>
            </w:r>
          </w:p>
        </w:tc>
        <w:tc>
          <w:tcPr>
            <w:tcW w:type="dxa" w:w="1700"/>
            <w:shd w:fill="FFFFFF" w:color="auto" w:val="clear"/>
            <w:tcMar>
              <w:top w:type="dxa" w:w="40"/>
              <w:left w:type="dxa" w:w="70"/>
              <w:bottom w:type="dxa" w:w="40"/>
              <w:right w:type="dxa" w:w="70"/>
            </w:tcMar>
          </w:tcPr>
          <w:p>
            <w:pPr>
              <w:spacing w:after="0"/>
            </w:pPr>
            <w:r>
              <w:rPr>
                <w:sz w:val="17"/>
                <w:szCs w:val="17"/>
              </w:rPr>
              <w:t xml:space="preserve">42.3%</w:t>
            </w:r>
          </w:p>
        </w:tc>
        <w:tc>
          <w:tcPr>
            <w:tcW w:type="dxa" w:w="1872"/>
            <w:shd w:fill="FFFFFF" w:color="auto" w:val="clear"/>
            <w:tcMar>
              <w:top w:type="dxa" w:w="40"/>
              <w:left w:type="dxa" w:w="70"/>
              <w:bottom w:type="dxa" w:w="40"/>
              <w:right w:type="dxa" w:w="70"/>
            </w:tcMar>
          </w:tcPr>
          <w:p>
            <w:pPr>
              <w:spacing w:after="0"/>
            </w:pPr>
            <w:r>
              <w:rPr>
                <w:sz w:val="17"/>
                <w:szCs w:val="17"/>
              </w:rPr>
              <w:t xml:space="preserve">Break-even 33.3% (brief)</w:t>
            </w:r>
          </w:p>
        </w:tc>
      </w:tr>
      <w:tr>
        <w:tc>
          <w:tcPr>
            <w:tcW w:type="dxa" w:w="3000"/>
            <w:shd w:fill="F2F5F9" w:color="auto" w:val="clear"/>
            <w:tcMar>
              <w:top w:type="dxa" w:w="40"/>
              <w:left w:type="dxa" w:w="70"/>
              <w:bottom w:type="dxa" w:w="40"/>
              <w:right w:type="dxa" w:w="70"/>
            </w:tcMar>
          </w:tcPr>
          <w:p>
            <w:pPr>
              <w:spacing w:after="0"/>
            </w:pPr>
            <w:r>
              <w:rPr>
                <w:sz w:val="17"/>
                <w:szCs w:val="17"/>
              </w:rPr>
              <w:t xml:space="preserve">TACoS</w:t>
            </w:r>
          </w:p>
        </w:tc>
        <w:tc>
          <w:tcPr>
            <w:tcW w:type="dxa" w:w="1700"/>
            <w:shd w:fill="F2F5F9" w:color="auto" w:val="clear"/>
            <w:tcMar>
              <w:top w:type="dxa" w:w="40"/>
              <w:left w:type="dxa" w:w="70"/>
              <w:bottom w:type="dxa" w:w="40"/>
              <w:right w:type="dxa" w:w="70"/>
            </w:tcMar>
          </w:tcPr>
          <w:p>
            <w:pPr>
              <w:spacing w:after="0"/>
            </w:pPr>
            <w:r>
              <w:rPr>
                <w:sz w:val="17"/>
                <w:szCs w:val="17"/>
              </w:rPr>
              <w:t xml:space="preserve">21.3%</w:t>
            </w:r>
          </w:p>
        </w:tc>
        <w:tc>
          <w:tcPr>
            <w:tcW w:type="dxa" w:w="1700"/>
            <w:shd w:fill="F2F5F9" w:color="auto" w:val="clear"/>
            <w:tcMar>
              <w:top w:type="dxa" w:w="40"/>
              <w:left w:type="dxa" w:w="70"/>
              <w:bottom w:type="dxa" w:w="40"/>
              <w:right w:type="dxa" w:w="70"/>
            </w:tcMar>
          </w:tcPr>
          <w:p>
            <w:pPr>
              <w:spacing w:after="0"/>
            </w:pPr>
            <w:r>
              <w:rPr>
                <w:sz w:val="17"/>
                <w:szCs w:val="17"/>
              </w:rPr>
              <w:t xml:space="preserve">24.8%</w:t>
            </w:r>
          </w:p>
        </w:tc>
        <w:tc>
          <w:tcPr>
            <w:tcW w:type="dxa" w:w="1700"/>
            <w:shd w:fill="F2F5F9" w:color="auto" w:val="clear"/>
            <w:tcMar>
              <w:top w:type="dxa" w:w="40"/>
              <w:left w:type="dxa" w:w="70"/>
              <w:bottom w:type="dxa" w:w="40"/>
              <w:right w:type="dxa" w:w="70"/>
            </w:tcMar>
          </w:tcPr>
          <w:p>
            <w:pPr>
              <w:spacing w:after="0"/>
            </w:pPr>
            <w:r>
              <w:rPr>
                <w:sz w:val="17"/>
                <w:szCs w:val="17"/>
              </w:rPr>
              <w:t xml:space="preserve">23.4%</w:t>
            </w:r>
          </w:p>
        </w:tc>
        <w:tc>
          <w:tcPr>
            <w:tcW w:type="dxa" w:w="1872"/>
            <w:shd w:fill="F2F5F9" w:color="auto" w:val="clear"/>
            <w:tcMar>
              <w:top w:type="dxa" w:w="40"/>
              <w:left w:type="dxa" w:w="70"/>
              <w:bottom w:type="dxa" w:w="40"/>
              <w:right w:type="dxa" w:w="70"/>
            </w:tcMar>
          </w:tcPr>
          <w:p>
            <w:pPr>
              <w:spacing w:after="0"/>
            </w:pPr>
            <w:r>
              <w:rPr>
                <w:sz w:val="17"/>
                <w:szCs w:val="17"/>
              </w:rPr>
              <w:t xml:space="preserve">Inside the 25% ranking rung</w:t>
            </w:r>
          </w:p>
        </w:tc>
      </w:tr>
      <w:tr>
        <w:tc>
          <w:tcPr>
            <w:tcW w:type="dxa" w:w="3000"/>
            <w:shd w:fill="FFFFFF" w:color="auto" w:val="clear"/>
            <w:tcMar>
              <w:top w:type="dxa" w:w="40"/>
              <w:left w:type="dxa" w:w="70"/>
              <w:bottom w:type="dxa" w:w="40"/>
              <w:right w:type="dxa" w:w="70"/>
            </w:tcMar>
          </w:tcPr>
          <w:p>
            <w:pPr>
              <w:spacing w:after="0"/>
            </w:pPr>
            <w:r>
              <w:rPr>
                <w:sz w:val="17"/>
                <w:szCs w:val="17"/>
              </w:rPr>
              <w:t xml:space="preserve">Top-of-search clicks / week (changed campaigns)</w:t>
            </w:r>
          </w:p>
        </w:tc>
        <w:tc>
          <w:tcPr>
            <w:tcW w:type="dxa" w:w="1700"/>
            <w:shd w:fill="FFFFFF" w:color="auto" w:val="clear"/>
            <w:tcMar>
              <w:top w:type="dxa" w:w="40"/>
              <w:left w:type="dxa" w:w="70"/>
              <w:bottom w:type="dxa" w:w="40"/>
              <w:right w:type="dxa" w:w="70"/>
            </w:tcMar>
          </w:tcPr>
          <w:p>
            <w:pPr>
              <w:spacing w:after="0"/>
            </w:pPr>
            <w:r>
              <w:rPr>
                <w:sz w:val="17"/>
                <w:szCs w:val="17"/>
              </w:rPr>
              <w:t xml:space="preserve">19.8</w:t>
            </w:r>
          </w:p>
        </w:tc>
        <w:tc>
          <w:tcPr>
            <w:tcW w:type="dxa" w:w="1700"/>
            <w:shd w:fill="FFFFFF" w:color="auto" w:val="clear"/>
            <w:tcMar>
              <w:top w:type="dxa" w:w="40"/>
              <w:left w:type="dxa" w:w="70"/>
              <w:bottom w:type="dxa" w:w="40"/>
              <w:right w:type="dxa" w:w="70"/>
            </w:tcMar>
          </w:tcPr>
          <w:p>
            <w:pPr>
              <w:spacing w:after="0"/>
            </w:pPr>
            <w:r>
              <w:rPr>
                <w:sz w:val="17"/>
                <w:szCs w:val="17"/>
              </w:rPr>
              <w:t xml:space="preserve">221.9</w:t>
            </w:r>
          </w:p>
        </w:tc>
        <w:tc>
          <w:tcPr>
            <w:tcW w:type="dxa" w:w="1700"/>
            <w:shd w:fill="FFFFFF" w:color="auto" w:val="clear"/>
            <w:tcMar>
              <w:top w:type="dxa" w:w="40"/>
              <w:left w:type="dxa" w:w="70"/>
              <w:bottom w:type="dxa" w:w="40"/>
              <w:right w:type="dxa" w:w="70"/>
            </w:tcMar>
          </w:tcPr>
          <w:p>
            <w:pPr>
              <w:spacing w:after="0"/>
            </w:pPr>
            <w:r>
              <w:rPr>
                <w:sz w:val="17"/>
                <w:szCs w:val="17"/>
              </w:rPr>
              <w:t xml:space="preserve">192.1</w:t>
            </w:r>
          </w:p>
        </w:tc>
        <w:tc>
          <w:tcPr>
            <w:tcW w:type="dxa" w:w="1872"/>
            <w:shd w:fill="FFFFFF" w:color="auto" w:val="clear"/>
            <w:tcMar>
              <w:top w:type="dxa" w:w="40"/>
              <w:left w:type="dxa" w:w="70"/>
              <w:bottom w:type="dxa" w:w="40"/>
              <w:right w:type="dxa" w:w="70"/>
            </w:tcMar>
          </w:tcPr>
          <w:p>
            <w:pPr>
              <w:spacing w:after="0"/>
            </w:pPr>
            <w:r>
              <w:rPr>
                <w:sz w:val="17"/>
                <w:szCs w:val="17"/>
              </w:rPr>
              <w:t xml:space="preserve">See C6: about 20–30 is buyable</w:t>
            </w:r>
          </w:p>
        </w:tc>
      </w:tr>
    </w:tbl>
    <w:p>
      <w:pPr>
        <w:spacing w:after="40"/>
      </w:pPr>
    </w:p>
    <w:p>
      <w:pPr>
        <w:pStyle w:val="Heading2"/>
      </w:pPr>
      <w:r>
        <w:t xml:space="preserve">Windows and sources</w:t>
      </w:r>
    </w:p>
    <w:p>
      <w:pPr>
        <w:spacing w:after="100"/>
      </w:pPr>
      <w:r>
        <w:t xml:space="preserve">The audit export (JSON and workbook) for run 20260928-9e6e6bb5: 343 decisions, 2,106 considered rows, the brief and review 22. Engine figures are as of the audit. Campaign 14-day spend covers 09-14 → 09-27, all of them deal days; clicks and orders are 90 days; keyword ranks are single tracker readings. From Command Center: product and syntax-group summaries for 09-15 → 09-27 against 09-02 → 09-14, the daily placement split for all keywords, and group ranks as 7-day medians of the daily crawl. Orders in the last seven days are still filling in (7-day attribution).</w:t>
      </w:r>
    </w:p>
    <w:p>
      <w:pPr>
        <w:pStyle w:val="Heading1"/>
      </w:pPr>
      <w:r>
        <w:t xml:space="preserve">Part A — In focus: Bamboo|California King and Bamboo|Cooling</w:t>
      </w:r>
    </w:p>
    <w:p>
      <w:pPr>
        <w:spacing w:after="100"/>
      </w:pPr>
      <w:r>
        <w:rPr>
          <w:b/>
          <w:bCs/>
          <w:color w:val="1F3A5F"/>
        </w:rPr>
        <w:t xml:space="preserve">The rule. </w:t>
      </w:r>
      <w:r>
        <w:t xml:space="preserve">In focus, every ranking campaign short of its clicks is pushed on the top-of-search modifier. The step follows the delivery gap: +30% under 30% of required clicks delivered, +20% at 30–70%, +10% over 70%. It stays inside the loss stop: a top-of-search order may cost at most 3× contribution, 3 × $24.49 = $73.47, which is a $10.07 top-of-search price at the engine’s 13.7% lane conversion. The budget goes up in the same write wherever the push would out-spend it. A campaign with a record that stopped serving is restored before it is pushed. A term that lost more than 10 positions is pushed and its cause named the same day. The deal is over, so the push now sells at list price.</w:t>
      </w:r>
    </w:p>
    <w:p>
      <w:pPr>
        <w:spacing w:after="100"/>
      </w:pPr>
      <w:r>
        <w:rPr>
          <w:b/>
          <w:bCs/>
          <w:color w:val="1F3A5F"/>
        </w:rPr>
        <w:t xml:space="preserve">What the run did. </w:t>
      </w:r>
      <w:r>
        <w:t xml:space="preserve">It wrote 11 top-of-search rows in focus: three dose pushes at +75%, seven pushes of +11% to +30%, and one +9% (row 31, held by the review). It also wrote four budget raises, which a failed code check held automatically, and six bid cuts. The review held 31 and its base (34), corrected 293 and passed the rest.</w:t>
      </w:r>
    </w:p>
    <w:p>
      <w:pPr>
        <w:pStyle w:val="Heading1"/>
      </w:pPr>
      <w:r>
        <w:t xml:space="preserve">A1. The push in numbers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53"/>
        <w:gridCol w:w="2367"/>
        <w:gridCol w:w="907"/>
        <w:gridCol w:w="806"/>
        <w:gridCol w:w="705"/>
        <w:gridCol w:w="1511"/>
        <w:gridCol w:w="806"/>
        <w:gridCol w:w="1511"/>
        <w:gridCol w:w="906"/>
      </w:tblGrid>
      <w:tr>
        <w:trPr>
          <w:tblHeader/>
        </w:trPr>
        <w:tc>
          <w:tcPr>
            <w:tcW w:type="dxa" w:w="453"/>
            <w:shd w:fill="1F3A5F" w:color="auto" w:val="clear"/>
            <w:tcMar>
              <w:top w:type="dxa" w:w="40"/>
              <w:left w:type="dxa" w:w="70"/>
              <w:bottom w:type="dxa" w:w="40"/>
              <w:right w:type="dxa" w:w="70"/>
            </w:tcMar>
          </w:tcPr>
          <w:p>
            <w:pPr>
              <w:spacing w:after="0"/>
            </w:pPr>
            <w:r>
              <w:rPr>
                <w:b/>
                <w:bCs/>
                <w:color w:val="FFFFFF"/>
                <w:sz w:val="17"/>
                <w:szCs w:val="17"/>
              </w:rPr>
              <w:t xml:space="preserve">Seq</w:t>
            </w:r>
          </w:p>
        </w:tc>
        <w:tc>
          <w:tcPr>
            <w:tcW w:type="dxa" w:w="2367"/>
            <w:shd w:fill="1F3A5F" w:color="auto" w:val="clear"/>
            <w:tcMar>
              <w:top w:type="dxa" w:w="40"/>
              <w:left w:type="dxa" w:w="70"/>
              <w:bottom w:type="dxa" w:w="40"/>
              <w:right w:type="dxa" w:w="70"/>
            </w:tcMar>
          </w:tcPr>
          <w:p>
            <w:pPr>
              <w:spacing w:after="0"/>
            </w:pPr>
            <w:r>
              <w:rPr>
                <w:b/>
                <w:bCs/>
                <w:color w:val="FFFFFF"/>
                <w:sz w:val="17"/>
                <w:szCs w:val="17"/>
              </w:rPr>
              <w:t xml:space="preserve">Campaign · term</w:t>
            </w:r>
          </w:p>
        </w:tc>
        <w:tc>
          <w:tcPr>
            <w:tcW w:type="dxa" w:w="907"/>
            <w:shd w:fill="1F3A5F" w:color="auto" w:val="clear"/>
            <w:tcMar>
              <w:top w:type="dxa" w:w="40"/>
              <w:left w:type="dxa" w:w="70"/>
              <w:bottom w:type="dxa" w:w="40"/>
              <w:right w:type="dxa" w:w="70"/>
            </w:tcMar>
          </w:tcPr>
          <w:p>
            <w:pPr>
              <w:spacing w:after="0"/>
            </w:pPr>
            <w:r>
              <w:rPr>
                <w:b/>
                <w:bCs/>
                <w:color w:val="FFFFFF"/>
                <w:sz w:val="17"/>
                <w:szCs w:val="17"/>
              </w:rPr>
              <w:t xml:space="preserve">Rank now (30 d ago)</w:t>
            </w:r>
          </w:p>
        </w:tc>
        <w:tc>
          <w:tcPr>
            <w:tcW w:type="dxa" w:w="806"/>
            <w:shd w:fill="1F3A5F" w:color="auto" w:val="clear"/>
            <w:tcMar>
              <w:top w:type="dxa" w:w="40"/>
              <w:left w:type="dxa" w:w="70"/>
              <w:bottom w:type="dxa" w:w="40"/>
              <w:right w:type="dxa" w:w="70"/>
            </w:tcMar>
          </w:tcPr>
          <w:p>
            <w:pPr>
              <w:spacing w:after="0"/>
            </w:pPr>
            <w:r>
              <w:rPr>
                <w:b/>
                <w:bCs/>
                <w:color w:val="FFFFFF"/>
                <w:sz w:val="17"/>
                <w:szCs w:val="17"/>
              </w:rPr>
              <w:t xml:space="preserve">90 d clicks / orders</w:t>
            </w:r>
          </w:p>
        </w:tc>
        <w:tc>
          <w:tcPr>
            <w:tcW w:type="dxa" w:w="705"/>
            <w:shd w:fill="1F3A5F" w:color="auto" w:val="clear"/>
            <w:tcMar>
              <w:top w:type="dxa" w:w="40"/>
              <w:left w:type="dxa" w:w="70"/>
              <w:bottom w:type="dxa" w:w="40"/>
              <w:right w:type="dxa" w:w="70"/>
            </w:tcMar>
          </w:tcPr>
          <w:p>
            <w:pPr>
              <w:spacing w:after="0"/>
            </w:pPr>
            <w:r>
              <w:rPr>
                <w:b/>
                <w:bCs/>
                <w:color w:val="FFFFFF"/>
                <w:sz w:val="17"/>
                <w:szCs w:val="17"/>
              </w:rPr>
              <w:t xml:space="preserve">14 d spend</w:t>
            </w:r>
          </w:p>
        </w:tc>
        <w:tc>
          <w:tcPr>
            <w:tcW w:type="dxa" w:w="1511"/>
            <w:shd w:fill="1F3A5F" w:color="auto" w:val="clear"/>
            <w:tcMar>
              <w:top w:type="dxa" w:w="40"/>
              <w:left w:type="dxa" w:w="70"/>
              <w:bottom w:type="dxa" w:w="40"/>
              <w:right w:type="dxa" w:w="70"/>
            </w:tcMar>
          </w:tcPr>
          <w:p>
            <w:pPr>
              <w:spacing w:after="0"/>
            </w:pPr>
            <w:r>
              <w:rPr>
                <w:b/>
                <w:bCs/>
                <w:color w:val="FFFFFF"/>
                <w:sz w:val="17"/>
                <w:szCs w:val="17"/>
              </w:rPr>
              <w:t xml:space="preserve">TOS price now → written</w:t>
            </w:r>
          </w:p>
        </w:tc>
        <w:tc>
          <w:tcPr>
            <w:tcW w:type="dxa" w:w="806"/>
            <w:shd w:fill="1F3A5F" w:color="auto" w:val="clear"/>
            <w:tcMar>
              <w:top w:type="dxa" w:w="40"/>
              <w:left w:type="dxa" w:w="70"/>
              <w:bottom w:type="dxa" w:w="40"/>
              <w:right w:type="dxa" w:w="70"/>
            </w:tcMar>
          </w:tcPr>
          <w:p>
            <w:pPr>
              <w:spacing w:after="0"/>
            </w:pPr>
            <w:r>
              <w:rPr>
                <w:b/>
                <w:bCs/>
                <w:color w:val="FFFFFF"/>
                <w:sz w:val="17"/>
                <w:szCs w:val="17"/>
              </w:rPr>
              <w:t xml:space="preserve">Cost / TOS order</w:t>
            </w:r>
          </w:p>
        </w:tc>
        <w:tc>
          <w:tcPr>
            <w:tcW w:type="dxa" w:w="1511"/>
            <w:shd w:fill="1F3A5F" w:color="auto" w:val="clear"/>
            <w:tcMar>
              <w:top w:type="dxa" w:w="40"/>
              <w:left w:type="dxa" w:w="70"/>
              <w:bottom w:type="dxa" w:w="40"/>
              <w:right w:type="dxa" w:w="70"/>
            </w:tcMar>
          </w:tcPr>
          <w:p>
            <w:pPr>
              <w:spacing w:after="0"/>
            </w:pPr>
            <w:r>
              <w:rPr>
                <w:b/>
                <w:bCs/>
                <w:color w:val="FFFFFF"/>
                <w:sz w:val="17"/>
                <w:szCs w:val="17"/>
              </w:rPr>
              <w:t xml:space="preserve">Budget → written</w:t>
            </w:r>
          </w:p>
        </w:tc>
        <w:tc>
          <w:tcPr>
            <w:tcW w:type="dxa" w:w="906"/>
            <w:shd w:fill="1F3A5F" w:color="auto" w:val="clear"/>
            <w:tcMar>
              <w:top w:type="dxa" w:w="40"/>
              <w:left w:type="dxa" w:w="70"/>
              <w:bottom w:type="dxa" w:w="40"/>
              <w:right w:type="dxa" w:w="70"/>
            </w:tcMar>
          </w:tcPr>
          <w:p>
            <w:pPr>
              <w:spacing w:after="0"/>
            </w:pPr>
            <w:r>
              <w:rPr>
                <w:b/>
                <w:bCs/>
                <w:color w:val="FFFFFF"/>
                <w:sz w:val="17"/>
                <w:szCs w:val="17"/>
              </w:rPr>
              <w:t xml:space="preserve">Review</w:t>
            </w:r>
          </w:p>
        </w:tc>
      </w:tr>
      <w:tr>
        <w:tc>
          <w:tcPr>
            <w:tcW w:type="dxa" w:w="453"/>
            <w:shd w:fill="FFFFFF" w:color="auto" w:val="clear"/>
            <w:tcMar>
              <w:top w:type="dxa" w:w="40"/>
              <w:left w:type="dxa" w:w="70"/>
              <w:bottom w:type="dxa" w:w="40"/>
              <w:right w:type="dxa" w:w="70"/>
            </w:tcMar>
          </w:tcPr>
          <w:p>
            <w:pPr>
              <w:spacing w:after="0"/>
            </w:pPr>
            <w:r>
              <w:rPr>
                <w:sz w:val="17"/>
                <w:szCs w:val="17"/>
              </w:rPr>
              <w:t xml:space="preserve">31</w:t>
            </w:r>
          </w:p>
        </w:tc>
        <w:tc>
          <w:tcPr>
            <w:tcW w:type="dxa" w:w="2367"/>
            <w:shd w:fill="FFFFFF" w:color="auto" w:val="clear"/>
            <w:tcMar>
              <w:top w:type="dxa" w:w="40"/>
              <w:left w:type="dxa" w:w="70"/>
              <w:bottom w:type="dxa" w:w="40"/>
              <w:right w:type="dxa" w:w="70"/>
            </w:tcMar>
          </w:tcPr>
          <w:p>
            <w:pPr>
              <w:spacing w:after="0"/>
            </w:pPr>
            <w:r>
              <w:rPr>
                <w:sz w:val="17"/>
                <w:szCs w:val="17"/>
              </w:rPr>
              <w:t xml:space="preserve">Bamboo Cooling Sheets (MSV) · bamboo cooling sheets</w:t>
            </w:r>
          </w:p>
        </w:tc>
        <w:tc>
          <w:tcPr>
            <w:tcW w:type="dxa" w:w="907"/>
            <w:shd w:fill="FFFFFF" w:color="auto" w:val="clear"/>
            <w:tcMar>
              <w:top w:type="dxa" w:w="40"/>
              <w:left w:type="dxa" w:w="70"/>
              <w:bottom w:type="dxa" w:w="40"/>
              <w:right w:type="dxa" w:w="70"/>
            </w:tcMar>
          </w:tcPr>
          <w:p>
            <w:pPr>
              <w:spacing w:after="0"/>
            </w:pPr>
            <w:r>
              <w:rPr>
                <w:sz w:val="17"/>
                <w:szCs w:val="17"/>
              </w:rPr>
              <w:t xml:space="preserve">30 (36)</w:t>
            </w:r>
          </w:p>
        </w:tc>
        <w:tc>
          <w:tcPr>
            <w:tcW w:type="dxa" w:w="806"/>
            <w:shd w:fill="FFFFFF" w:color="auto" w:val="clear"/>
            <w:tcMar>
              <w:top w:type="dxa" w:w="40"/>
              <w:left w:type="dxa" w:w="70"/>
              <w:bottom w:type="dxa" w:w="40"/>
              <w:right w:type="dxa" w:w="70"/>
            </w:tcMar>
          </w:tcPr>
          <w:p>
            <w:pPr>
              <w:spacing w:after="0"/>
            </w:pPr>
            <w:r>
              <w:rPr>
                <w:sz w:val="17"/>
                <w:szCs w:val="17"/>
              </w:rPr>
              <w:t xml:space="preserve">418 / 42</w:t>
            </w:r>
          </w:p>
        </w:tc>
        <w:tc>
          <w:tcPr>
            <w:tcW w:type="dxa" w:w="705"/>
            <w:shd w:fill="FFFFFF" w:color="auto" w:val="clear"/>
            <w:tcMar>
              <w:top w:type="dxa" w:w="40"/>
              <w:left w:type="dxa" w:w="70"/>
              <w:bottom w:type="dxa" w:w="40"/>
              <w:right w:type="dxa" w:w="70"/>
            </w:tcMar>
          </w:tcPr>
          <w:p>
            <w:pPr>
              <w:spacing w:after="0"/>
            </w:pPr>
            <w:r>
              <w:rPr>
                <w:sz w:val="17"/>
                <w:szCs w:val="17"/>
              </w:rPr>
              <w:t xml:space="preserve">$415</w:t>
            </w:r>
          </w:p>
        </w:tc>
        <w:tc>
          <w:tcPr>
            <w:tcW w:type="dxa" w:w="1511"/>
            <w:shd w:fill="FFFFFF" w:color="auto" w:val="clear"/>
            <w:tcMar>
              <w:top w:type="dxa" w:w="40"/>
              <w:left w:type="dxa" w:w="70"/>
              <w:bottom w:type="dxa" w:w="40"/>
              <w:right w:type="dxa" w:w="70"/>
            </w:tcMar>
          </w:tcPr>
          <w:p>
            <w:pPr>
              <w:spacing w:after="0"/>
            </w:pPr>
            <w:r>
              <w:rPr>
                <w:sz w:val="17"/>
                <w:szCs w:val="17"/>
              </w:rPr>
              <w:t xml:space="preserve">$7.61 → $8.26 (+9%)</w:t>
            </w:r>
          </w:p>
        </w:tc>
        <w:tc>
          <w:tcPr>
            <w:tcW w:type="dxa" w:w="806"/>
            <w:shd w:fill="FFFFFF" w:color="auto" w:val="clear"/>
            <w:tcMar>
              <w:top w:type="dxa" w:w="40"/>
              <w:left w:type="dxa" w:w="70"/>
              <w:bottom w:type="dxa" w:w="40"/>
              <w:right w:type="dxa" w:w="70"/>
            </w:tcMar>
          </w:tcPr>
          <w:p>
            <w:pPr>
              <w:spacing w:after="0"/>
            </w:pPr>
            <w:r>
              <w:rPr>
                <w:sz w:val="17"/>
                <w:szCs w:val="17"/>
              </w:rPr>
              <w:t xml:space="preserve">$60</w:t>
            </w:r>
          </w:p>
        </w:tc>
        <w:tc>
          <w:tcPr>
            <w:tcW w:type="dxa" w:w="1511"/>
            <w:shd w:fill="FFFFFF" w:color="auto" w:val="clear"/>
            <w:tcMar>
              <w:top w:type="dxa" w:w="40"/>
              <w:left w:type="dxa" w:w="70"/>
              <w:bottom w:type="dxa" w:w="40"/>
              <w:right w:type="dxa" w:w="70"/>
            </w:tcMar>
          </w:tcPr>
          <w:p>
            <w:pPr>
              <w:spacing w:after="0"/>
            </w:pPr>
            <w:r>
              <w:rPr>
                <w:sz w:val="17"/>
                <w:szCs w:val="17"/>
              </w:rPr>
              <w:t xml:space="preserve">$40</w:t>
            </w:r>
          </w:p>
        </w:tc>
        <w:tc>
          <w:tcPr>
            <w:tcW w:type="dxa" w:w="906"/>
            <w:shd w:fill="FFFFFF" w:color="auto" w:val="clear"/>
            <w:tcMar>
              <w:top w:type="dxa" w:w="40"/>
              <w:left w:type="dxa" w:w="70"/>
              <w:bottom w:type="dxa" w:w="40"/>
              <w:right w:type="dxa" w:w="70"/>
            </w:tcMar>
          </w:tcPr>
          <w:p>
            <w:pPr>
              <w:spacing w:after="0"/>
            </w:pPr>
            <w:r>
              <w:rPr>
                <w:sz w:val="17"/>
                <w:szCs w:val="17"/>
              </w:rPr>
              <w:t xml:space="preserve">hold</w:t>
            </w:r>
          </w:p>
        </w:tc>
      </w:tr>
      <w:tr>
        <w:tc>
          <w:tcPr>
            <w:tcW w:type="dxa" w:w="453"/>
            <w:shd w:fill="F2F5F9" w:color="auto" w:val="clear"/>
            <w:tcMar>
              <w:top w:type="dxa" w:w="40"/>
              <w:left w:type="dxa" w:w="70"/>
              <w:bottom w:type="dxa" w:w="40"/>
              <w:right w:type="dxa" w:w="70"/>
            </w:tcMar>
          </w:tcPr>
          <w:p>
            <w:pPr>
              <w:spacing w:after="0"/>
            </w:pPr>
            <w:r>
              <w:rPr>
                <w:sz w:val="17"/>
                <w:szCs w:val="17"/>
              </w:rPr>
              <w:t xml:space="preserve">288</w:t>
            </w:r>
          </w:p>
        </w:tc>
        <w:tc>
          <w:tcPr>
            <w:tcW w:type="dxa" w:w="2367"/>
            <w:shd w:fill="F2F5F9" w:color="auto" w:val="clear"/>
            <w:tcMar>
              <w:top w:type="dxa" w:w="40"/>
              <w:left w:type="dxa" w:w="70"/>
              <w:bottom w:type="dxa" w:w="40"/>
              <w:right w:type="dxa" w:w="70"/>
            </w:tcMar>
          </w:tcPr>
          <w:p>
            <w:pPr>
              <w:spacing w:after="0"/>
            </w:pPr>
            <w:r>
              <w:rPr>
                <w:sz w:val="17"/>
                <w:szCs w:val="17"/>
              </w:rPr>
              <w:t xml:space="preserve">Bamboo Sheets California King (LSV) · bamboo sheets california king</w:t>
            </w:r>
          </w:p>
        </w:tc>
        <w:tc>
          <w:tcPr>
            <w:tcW w:type="dxa" w:w="907"/>
            <w:shd w:fill="F2F5F9" w:color="auto" w:val="clear"/>
            <w:tcMar>
              <w:top w:type="dxa" w:w="40"/>
              <w:left w:type="dxa" w:w="70"/>
              <w:bottom w:type="dxa" w:w="40"/>
              <w:right w:type="dxa" w:w="70"/>
            </w:tcMar>
          </w:tcPr>
          <w:p>
            <w:pPr>
              <w:spacing w:after="0"/>
            </w:pPr>
            <w:r>
              <w:rPr>
                <w:sz w:val="17"/>
                <w:szCs w:val="17"/>
              </w:rPr>
              <w:t xml:space="preserve">16 (4)</w:t>
            </w:r>
          </w:p>
        </w:tc>
        <w:tc>
          <w:tcPr>
            <w:tcW w:type="dxa" w:w="806"/>
            <w:shd w:fill="F2F5F9" w:color="auto" w:val="clear"/>
            <w:tcMar>
              <w:top w:type="dxa" w:w="40"/>
              <w:left w:type="dxa" w:w="70"/>
              <w:bottom w:type="dxa" w:w="40"/>
              <w:right w:type="dxa" w:w="70"/>
            </w:tcMar>
          </w:tcPr>
          <w:p>
            <w:pPr>
              <w:spacing w:after="0"/>
            </w:pPr>
            <w:r>
              <w:rPr>
                <w:sz w:val="17"/>
                <w:szCs w:val="17"/>
              </w:rPr>
              <w:t xml:space="preserve">9 / 0</w:t>
            </w:r>
          </w:p>
        </w:tc>
        <w:tc>
          <w:tcPr>
            <w:tcW w:type="dxa" w:w="705"/>
            <w:shd w:fill="F2F5F9" w:color="auto" w:val="clear"/>
            <w:tcMar>
              <w:top w:type="dxa" w:w="40"/>
              <w:left w:type="dxa" w:w="70"/>
              <w:bottom w:type="dxa" w:w="40"/>
              <w:right w:type="dxa" w:w="70"/>
            </w:tcMar>
          </w:tcPr>
          <w:p>
            <w:pPr>
              <w:spacing w:after="0"/>
            </w:pPr>
            <w:r>
              <w:rPr>
                <w:sz w:val="17"/>
                <w:szCs w:val="17"/>
              </w:rPr>
              <w:t xml:space="preserve">$27</w:t>
            </w:r>
          </w:p>
        </w:tc>
        <w:tc>
          <w:tcPr>
            <w:tcW w:type="dxa" w:w="1511"/>
            <w:shd w:fill="F2F5F9" w:color="auto" w:val="clear"/>
            <w:tcMar>
              <w:top w:type="dxa" w:w="40"/>
              <w:left w:type="dxa" w:w="70"/>
              <w:bottom w:type="dxa" w:w="40"/>
              <w:right w:type="dxa" w:w="70"/>
            </w:tcMar>
          </w:tcPr>
          <w:p>
            <w:pPr>
              <w:spacing w:after="0"/>
            </w:pPr>
            <w:r>
              <w:rPr>
                <w:sz w:val="17"/>
                <w:szCs w:val="17"/>
              </w:rPr>
              <w:t xml:space="preserve">$4.60 → $8.04 (+75%, dose)</w:t>
            </w:r>
          </w:p>
        </w:tc>
        <w:tc>
          <w:tcPr>
            <w:tcW w:type="dxa" w:w="806"/>
            <w:shd w:fill="F2F5F9" w:color="auto" w:val="clear"/>
            <w:tcMar>
              <w:top w:type="dxa" w:w="40"/>
              <w:left w:type="dxa" w:w="70"/>
              <w:bottom w:type="dxa" w:w="40"/>
              <w:right w:type="dxa" w:w="70"/>
            </w:tcMar>
          </w:tcPr>
          <w:p>
            <w:pPr>
              <w:spacing w:after="0"/>
            </w:pPr>
            <w:r>
              <w:rPr>
                <w:sz w:val="17"/>
                <w:szCs w:val="17"/>
              </w:rPr>
              <w:t xml:space="preserve">$59</w:t>
            </w:r>
          </w:p>
        </w:tc>
        <w:tc>
          <w:tcPr>
            <w:tcW w:type="dxa" w:w="1511"/>
            <w:shd w:fill="F2F5F9" w:color="auto" w:val="clear"/>
            <w:tcMar>
              <w:top w:type="dxa" w:w="40"/>
              <w:left w:type="dxa" w:w="70"/>
              <w:bottom w:type="dxa" w:w="40"/>
              <w:right w:type="dxa" w:w="70"/>
            </w:tcMar>
          </w:tcPr>
          <w:p>
            <w:pPr>
              <w:spacing w:after="0"/>
            </w:pPr>
            <w:r>
              <w:rPr>
                <w:sz w:val="17"/>
                <w:szCs w:val="17"/>
              </w:rPr>
              <w:t xml:space="preserve">$10 → $13.98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369</w:t>
            </w:r>
          </w:p>
        </w:tc>
        <w:tc>
          <w:tcPr>
            <w:tcW w:type="dxa" w:w="2367"/>
            <w:shd w:fill="FFFFFF" w:color="auto" w:val="clear"/>
            <w:tcMar>
              <w:top w:type="dxa" w:w="40"/>
              <w:left w:type="dxa" w:w="70"/>
              <w:bottom w:type="dxa" w:w="40"/>
              <w:right w:type="dxa" w:w="70"/>
            </w:tcMar>
          </w:tcPr>
          <w:p>
            <w:pPr>
              <w:spacing w:after="0"/>
            </w:pPr>
            <w:r>
              <w:rPr>
                <w:sz w:val="17"/>
                <w:szCs w:val="17"/>
              </w:rPr>
              <w:t xml:space="preserve">Bamboo Cooling Sheets King Size [Bamboo|Cooling] · bamboo cooling sheets king size</w:t>
            </w:r>
          </w:p>
        </w:tc>
        <w:tc>
          <w:tcPr>
            <w:tcW w:type="dxa" w:w="907"/>
            <w:shd w:fill="FFFFFF" w:color="auto" w:val="clear"/>
            <w:tcMar>
              <w:top w:type="dxa" w:w="40"/>
              <w:left w:type="dxa" w:w="70"/>
              <w:bottom w:type="dxa" w:w="40"/>
              <w:right w:type="dxa" w:w="70"/>
            </w:tcMar>
          </w:tcPr>
          <w:p>
            <w:pPr>
              <w:spacing w:after="0"/>
            </w:pPr>
            <w:r>
              <w:rPr>
                <w:sz w:val="17"/>
                <w:szCs w:val="17"/>
              </w:rPr>
              <w:t xml:space="preserve">31 (35; 7 in window)</w:t>
            </w:r>
          </w:p>
        </w:tc>
        <w:tc>
          <w:tcPr>
            <w:tcW w:type="dxa" w:w="806"/>
            <w:shd w:fill="FFFFFF" w:color="auto" w:val="clear"/>
            <w:tcMar>
              <w:top w:type="dxa" w:w="40"/>
              <w:left w:type="dxa" w:w="70"/>
              <w:bottom w:type="dxa" w:w="40"/>
              <w:right w:type="dxa" w:w="70"/>
            </w:tcMar>
          </w:tcPr>
          <w:p>
            <w:pPr>
              <w:spacing w:after="0"/>
            </w:pPr>
            <w:r>
              <w:rPr>
                <w:sz w:val="17"/>
                <w:szCs w:val="17"/>
              </w:rPr>
              <w:t xml:space="preserve">7 / 0</w:t>
            </w:r>
          </w:p>
        </w:tc>
        <w:tc>
          <w:tcPr>
            <w:tcW w:type="dxa" w:w="705"/>
            <w:shd w:fill="FFFFFF" w:color="auto" w:val="clear"/>
            <w:tcMar>
              <w:top w:type="dxa" w:w="40"/>
              <w:left w:type="dxa" w:w="70"/>
              <w:bottom w:type="dxa" w:w="40"/>
              <w:right w:type="dxa" w:w="70"/>
            </w:tcMar>
          </w:tcPr>
          <w:p>
            <w:pPr>
              <w:spacing w:after="0"/>
            </w:pPr>
            <w:r>
              <w:rPr>
                <w:sz w:val="17"/>
                <w:szCs w:val="17"/>
              </w:rPr>
              <w:t xml:space="preserve">$27</w:t>
            </w:r>
          </w:p>
        </w:tc>
        <w:tc>
          <w:tcPr>
            <w:tcW w:type="dxa" w:w="1511"/>
            <w:shd w:fill="FFFFFF" w:color="auto" w:val="clear"/>
            <w:tcMar>
              <w:top w:type="dxa" w:w="40"/>
              <w:left w:type="dxa" w:w="70"/>
              <w:bottom w:type="dxa" w:w="40"/>
              <w:right w:type="dxa" w:w="70"/>
            </w:tcMar>
          </w:tcPr>
          <w:p>
            <w:pPr>
              <w:spacing w:after="0"/>
            </w:pPr>
            <w:r>
              <w:rPr>
                <w:sz w:val="17"/>
                <w:szCs w:val="17"/>
              </w:rPr>
              <w:t xml:space="preserve">$6.90 → $12.07 (+75%, dose)</w:t>
            </w:r>
          </w:p>
        </w:tc>
        <w:tc>
          <w:tcPr>
            <w:tcW w:type="dxa" w:w="806"/>
            <w:shd w:fill="FFFFFF" w:color="auto" w:val="clear"/>
            <w:tcMar>
              <w:top w:type="dxa" w:w="40"/>
              <w:left w:type="dxa" w:w="70"/>
              <w:bottom w:type="dxa" w:w="40"/>
              <w:right w:type="dxa" w:w="70"/>
            </w:tcMar>
          </w:tcPr>
          <w:p>
            <w:pPr>
              <w:spacing w:after="0"/>
            </w:pPr>
            <w:r>
              <w:rPr>
                <w:sz w:val="17"/>
                <w:szCs w:val="17"/>
              </w:rPr>
              <w:t xml:space="preserve">$88</w:t>
            </w:r>
          </w:p>
        </w:tc>
        <w:tc>
          <w:tcPr>
            <w:tcW w:type="dxa" w:w="1511"/>
            <w:shd w:fill="FFFFFF" w:color="auto" w:val="clear"/>
            <w:tcMar>
              <w:top w:type="dxa" w:w="40"/>
              <w:left w:type="dxa" w:w="70"/>
              <w:bottom w:type="dxa" w:w="40"/>
              <w:right w:type="dxa" w:w="70"/>
            </w:tcMar>
          </w:tcPr>
          <w:p>
            <w:pPr>
              <w:spacing w:after="0"/>
            </w:pPr>
            <w:r>
              <w:rPr>
                <w:sz w:val="17"/>
                <w:szCs w:val="17"/>
              </w:rPr>
              <w:t xml:space="preserve">$11.42 → $22.91 (code-held)</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398</w:t>
            </w:r>
          </w:p>
        </w:tc>
        <w:tc>
          <w:tcPr>
            <w:tcW w:type="dxa" w:w="2367"/>
            <w:shd w:fill="F2F5F9" w:color="auto" w:val="clear"/>
            <w:tcMar>
              <w:top w:type="dxa" w:w="40"/>
              <w:left w:type="dxa" w:w="70"/>
              <w:bottom w:type="dxa" w:w="40"/>
              <w:right w:type="dxa" w:w="70"/>
            </w:tcMar>
          </w:tcPr>
          <w:p>
            <w:pPr>
              <w:spacing w:after="0"/>
            </w:pPr>
            <w:r>
              <w:rPr>
                <w:sz w:val="17"/>
                <w:szCs w:val="17"/>
              </w:rPr>
              <w:t xml:space="preserve">Cooling Bamboo Sheets (MSV) · cooling bamboo sheets</w:t>
            </w:r>
          </w:p>
        </w:tc>
        <w:tc>
          <w:tcPr>
            <w:tcW w:type="dxa" w:w="907"/>
            <w:shd w:fill="F2F5F9" w:color="auto" w:val="clear"/>
            <w:tcMar>
              <w:top w:type="dxa" w:w="40"/>
              <w:left w:type="dxa" w:w="70"/>
              <w:bottom w:type="dxa" w:w="40"/>
              <w:right w:type="dxa" w:w="70"/>
            </w:tcMar>
          </w:tcPr>
          <w:p>
            <w:pPr>
              <w:spacing w:after="0"/>
            </w:pPr>
            <w:r>
              <w:rPr>
                <w:sz w:val="17"/>
                <w:szCs w:val="17"/>
              </w:rPr>
              <w:t xml:space="preserve">12 (30)</w:t>
            </w:r>
          </w:p>
        </w:tc>
        <w:tc>
          <w:tcPr>
            <w:tcW w:type="dxa" w:w="806"/>
            <w:shd w:fill="F2F5F9" w:color="auto" w:val="clear"/>
            <w:tcMar>
              <w:top w:type="dxa" w:w="40"/>
              <w:left w:type="dxa" w:w="70"/>
              <w:bottom w:type="dxa" w:w="40"/>
              <w:right w:type="dxa" w:w="70"/>
            </w:tcMar>
          </w:tcPr>
          <w:p>
            <w:pPr>
              <w:spacing w:after="0"/>
            </w:pPr>
            <w:r>
              <w:rPr>
                <w:sz w:val="17"/>
                <w:szCs w:val="17"/>
              </w:rPr>
              <w:t xml:space="preserve">7 / 0</w:t>
            </w:r>
          </w:p>
        </w:tc>
        <w:tc>
          <w:tcPr>
            <w:tcW w:type="dxa" w:w="705"/>
            <w:shd w:fill="F2F5F9" w:color="auto" w:val="clear"/>
            <w:tcMar>
              <w:top w:type="dxa" w:w="40"/>
              <w:left w:type="dxa" w:w="70"/>
              <w:bottom w:type="dxa" w:w="40"/>
              <w:right w:type="dxa" w:w="70"/>
            </w:tcMar>
          </w:tcPr>
          <w:p>
            <w:pPr>
              <w:spacing w:after="0"/>
            </w:pPr>
            <w:r>
              <w:rPr>
                <w:sz w:val="17"/>
                <w:szCs w:val="17"/>
              </w:rPr>
              <w:t xml:space="preserve">$20</w:t>
            </w:r>
          </w:p>
        </w:tc>
        <w:tc>
          <w:tcPr>
            <w:tcW w:type="dxa" w:w="1511"/>
            <w:shd w:fill="F2F5F9" w:color="auto" w:val="clear"/>
            <w:tcMar>
              <w:top w:type="dxa" w:w="40"/>
              <w:left w:type="dxa" w:w="70"/>
              <w:bottom w:type="dxa" w:w="40"/>
              <w:right w:type="dxa" w:w="70"/>
            </w:tcMar>
          </w:tcPr>
          <w:p>
            <w:pPr>
              <w:spacing w:after="0"/>
            </w:pPr>
            <w:r>
              <w:rPr>
                <w:sz w:val="17"/>
                <w:szCs w:val="17"/>
              </w:rPr>
              <w:t xml:space="preserve">$4.60 → $8.04 (+75%, dose)</w:t>
            </w:r>
          </w:p>
        </w:tc>
        <w:tc>
          <w:tcPr>
            <w:tcW w:type="dxa" w:w="806"/>
            <w:shd w:fill="F2F5F9" w:color="auto" w:val="clear"/>
            <w:tcMar>
              <w:top w:type="dxa" w:w="40"/>
              <w:left w:type="dxa" w:w="70"/>
              <w:bottom w:type="dxa" w:w="40"/>
              <w:right w:type="dxa" w:w="70"/>
            </w:tcMar>
          </w:tcPr>
          <w:p>
            <w:pPr>
              <w:spacing w:after="0"/>
            </w:pPr>
            <w:r>
              <w:rPr>
                <w:sz w:val="17"/>
                <w:szCs w:val="17"/>
              </w:rPr>
              <w:t xml:space="preserve">$59</w:t>
            </w:r>
          </w:p>
        </w:tc>
        <w:tc>
          <w:tcPr>
            <w:tcW w:type="dxa" w:w="1511"/>
            <w:shd w:fill="F2F5F9" w:color="auto" w:val="clear"/>
            <w:tcMar>
              <w:top w:type="dxa" w:w="40"/>
              <w:left w:type="dxa" w:w="70"/>
              <w:bottom w:type="dxa" w:w="40"/>
              <w:right w:type="dxa" w:w="70"/>
            </w:tcMar>
          </w:tcPr>
          <w:p>
            <w:pPr>
              <w:spacing w:after="0"/>
            </w:pPr>
            <w:r>
              <w:rPr>
                <w:sz w:val="17"/>
                <w:szCs w:val="17"/>
              </w:rPr>
              <w:t xml:space="preserve">$10 → $14.21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374</w:t>
            </w:r>
          </w:p>
        </w:tc>
        <w:tc>
          <w:tcPr>
            <w:tcW w:type="dxa" w:w="2367"/>
            <w:shd w:fill="FFFFFF" w:color="auto" w:val="clear"/>
            <w:tcMar>
              <w:top w:type="dxa" w:w="40"/>
              <w:left w:type="dxa" w:w="70"/>
              <w:bottom w:type="dxa" w:w="40"/>
              <w:right w:type="dxa" w:w="70"/>
            </w:tcMar>
          </w:tcPr>
          <w:p>
            <w:pPr>
              <w:spacing w:after="0"/>
            </w:pPr>
            <w:r>
              <w:rPr>
                <w:sz w:val="17"/>
                <w:szCs w:val="17"/>
              </w:rPr>
              <w:t xml:space="preserve">Bamboo Sheets Cal King (VLSV) · bamboo sheets cal king</w:t>
            </w:r>
          </w:p>
        </w:tc>
        <w:tc>
          <w:tcPr>
            <w:tcW w:type="dxa" w:w="907"/>
            <w:shd w:fill="FFFFFF" w:color="auto" w:val="clear"/>
            <w:tcMar>
              <w:top w:type="dxa" w:w="40"/>
              <w:left w:type="dxa" w:w="70"/>
              <w:bottom w:type="dxa" w:w="40"/>
              <w:right w:type="dxa" w:w="70"/>
            </w:tcMar>
          </w:tcPr>
          <w:p>
            <w:pPr>
              <w:spacing w:after="0"/>
            </w:pPr>
            <w:r>
              <w:rPr>
                <w:sz w:val="17"/>
                <w:szCs w:val="17"/>
              </w:rPr>
              <w:t xml:space="preserve">39 (23)</w:t>
            </w:r>
          </w:p>
        </w:tc>
        <w:tc>
          <w:tcPr>
            <w:tcW w:type="dxa" w:w="806"/>
            <w:shd w:fill="FFFFFF" w:color="auto" w:val="clear"/>
            <w:tcMar>
              <w:top w:type="dxa" w:w="40"/>
              <w:left w:type="dxa" w:w="70"/>
              <w:bottom w:type="dxa" w:w="40"/>
              <w:right w:type="dxa" w:w="70"/>
            </w:tcMar>
          </w:tcPr>
          <w:p>
            <w:pPr>
              <w:spacing w:after="0"/>
            </w:pPr>
            <w:r>
              <w:rPr>
                <w:sz w:val="17"/>
                <w:szCs w:val="17"/>
              </w:rPr>
              <w:t xml:space="preserve">5 / 2</w:t>
            </w:r>
          </w:p>
        </w:tc>
        <w:tc>
          <w:tcPr>
            <w:tcW w:type="dxa" w:w="705"/>
            <w:shd w:fill="FFFFFF" w:color="auto" w:val="clear"/>
            <w:tcMar>
              <w:top w:type="dxa" w:w="40"/>
              <w:left w:type="dxa" w:w="70"/>
              <w:bottom w:type="dxa" w:w="40"/>
              <w:right w:type="dxa" w:w="70"/>
            </w:tcMar>
          </w:tcPr>
          <w:p>
            <w:pPr>
              <w:spacing w:after="0"/>
            </w:pPr>
            <w:r>
              <w:rPr>
                <w:sz w:val="17"/>
                <w:szCs w:val="17"/>
              </w:rPr>
              <w:t xml:space="preserve">$28</w:t>
            </w:r>
          </w:p>
        </w:tc>
        <w:tc>
          <w:tcPr>
            <w:tcW w:type="dxa" w:w="1511"/>
            <w:shd w:fill="FFFFFF" w:color="auto" w:val="clear"/>
            <w:tcMar>
              <w:top w:type="dxa" w:w="40"/>
              <w:left w:type="dxa" w:w="70"/>
              <w:bottom w:type="dxa" w:w="40"/>
              <w:right w:type="dxa" w:w="70"/>
            </w:tcMar>
          </w:tcPr>
          <w:p>
            <w:pPr>
              <w:spacing w:after="0"/>
            </w:pPr>
            <w:r>
              <w:rPr>
                <w:sz w:val="17"/>
                <w:szCs w:val="17"/>
              </w:rPr>
              <w:t xml:space="preserve">$5.71 → $6.62 (+16%)</w:t>
            </w:r>
          </w:p>
        </w:tc>
        <w:tc>
          <w:tcPr>
            <w:tcW w:type="dxa" w:w="806"/>
            <w:shd w:fill="FFFFFF" w:color="auto" w:val="clear"/>
            <w:tcMar>
              <w:top w:type="dxa" w:w="40"/>
              <w:left w:type="dxa" w:w="70"/>
              <w:bottom w:type="dxa" w:w="40"/>
              <w:right w:type="dxa" w:w="70"/>
            </w:tcMar>
          </w:tcPr>
          <w:p>
            <w:pPr>
              <w:spacing w:after="0"/>
            </w:pPr>
            <w:r>
              <w:rPr>
                <w:sz w:val="17"/>
                <w:szCs w:val="17"/>
              </w:rPr>
              <w:t xml:space="preserve">$48</w:t>
            </w:r>
          </w:p>
        </w:tc>
        <w:tc>
          <w:tcPr>
            <w:tcW w:type="dxa" w:w="1511"/>
            <w:shd w:fill="FFFFFF" w:color="auto" w:val="clear"/>
            <w:tcMar>
              <w:top w:type="dxa" w:w="40"/>
              <w:left w:type="dxa" w:w="70"/>
              <w:bottom w:type="dxa" w:w="40"/>
              <w:right w:type="dxa" w:w="70"/>
            </w:tcMar>
          </w:tcPr>
          <w:p>
            <w:pPr>
              <w:spacing w:after="0"/>
            </w:pPr>
            <w:r>
              <w:rPr>
                <w:sz w:val="17"/>
                <w:szCs w:val="17"/>
              </w:rPr>
              <w:t xml:space="preserve">$5</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462</w:t>
            </w:r>
          </w:p>
        </w:tc>
        <w:tc>
          <w:tcPr>
            <w:tcW w:type="dxa" w:w="2367"/>
            <w:shd w:fill="F2F5F9" w:color="auto" w:val="clear"/>
            <w:tcMar>
              <w:top w:type="dxa" w:w="40"/>
              <w:left w:type="dxa" w:w="70"/>
              <w:bottom w:type="dxa" w:w="40"/>
              <w:right w:type="dxa" w:w="70"/>
            </w:tcMar>
          </w:tcPr>
          <w:p>
            <w:pPr>
              <w:spacing w:after="0"/>
            </w:pPr>
            <w:r>
              <w:rPr>
                <w:sz w:val="17"/>
                <w:szCs w:val="17"/>
              </w:rPr>
              <w:t xml:space="preserve">Bamboo Cal King Sheets (VLSV) · bamboo cal king sheets</w:t>
            </w:r>
          </w:p>
        </w:tc>
        <w:tc>
          <w:tcPr>
            <w:tcW w:type="dxa" w:w="907"/>
            <w:shd w:fill="F2F5F9" w:color="auto" w:val="clear"/>
            <w:tcMar>
              <w:top w:type="dxa" w:w="40"/>
              <w:left w:type="dxa" w:w="70"/>
              <w:bottom w:type="dxa" w:w="40"/>
              <w:right w:type="dxa" w:w="70"/>
            </w:tcMar>
          </w:tcPr>
          <w:p>
            <w:pPr>
              <w:spacing w:after="0"/>
            </w:pPr>
            <w:r>
              <w:rPr>
                <w:sz w:val="17"/>
                <w:szCs w:val="17"/>
              </w:rPr>
              <w:t xml:space="preserve">unranked</w:t>
            </w:r>
          </w:p>
        </w:tc>
        <w:tc>
          <w:tcPr>
            <w:tcW w:type="dxa" w:w="806"/>
            <w:shd w:fill="F2F5F9" w:color="auto" w:val="clear"/>
            <w:tcMar>
              <w:top w:type="dxa" w:w="40"/>
              <w:left w:type="dxa" w:w="70"/>
              <w:bottom w:type="dxa" w:w="40"/>
              <w:right w:type="dxa" w:w="70"/>
            </w:tcMar>
          </w:tcPr>
          <w:p>
            <w:pPr>
              <w:spacing w:after="0"/>
            </w:pPr>
            <w:r>
              <w:rPr>
                <w:sz w:val="17"/>
                <w:szCs w:val="17"/>
              </w:rPr>
              <w:t xml:space="preserve">4 / 0</w:t>
            </w:r>
          </w:p>
        </w:tc>
        <w:tc>
          <w:tcPr>
            <w:tcW w:type="dxa" w:w="705"/>
            <w:shd w:fill="F2F5F9" w:color="auto" w:val="clear"/>
            <w:tcMar>
              <w:top w:type="dxa" w:w="40"/>
              <w:left w:type="dxa" w:w="70"/>
              <w:bottom w:type="dxa" w:w="40"/>
              <w:right w:type="dxa" w:w="70"/>
            </w:tcMar>
          </w:tcPr>
          <w:p>
            <w:pPr>
              <w:spacing w:after="0"/>
            </w:pPr>
            <w:r>
              <w:rPr>
                <w:sz w:val="17"/>
                <w:szCs w:val="17"/>
              </w:rPr>
              <w:t xml:space="preserve">$14</w:t>
            </w:r>
          </w:p>
        </w:tc>
        <w:tc>
          <w:tcPr>
            <w:tcW w:type="dxa" w:w="1511"/>
            <w:shd w:fill="F2F5F9" w:color="auto" w:val="clear"/>
            <w:tcMar>
              <w:top w:type="dxa" w:w="40"/>
              <w:left w:type="dxa" w:w="70"/>
              <w:bottom w:type="dxa" w:w="40"/>
              <w:right w:type="dxa" w:w="70"/>
            </w:tcMar>
          </w:tcPr>
          <w:p>
            <w:pPr>
              <w:spacing w:after="0"/>
            </w:pPr>
            <w:r>
              <w:rPr>
                <w:sz w:val="17"/>
                <w:szCs w:val="17"/>
              </w:rPr>
              <w:t xml:space="preserve">$4.82 → $6.03 (+25%; 509% modifier)</w:t>
            </w:r>
          </w:p>
        </w:tc>
        <w:tc>
          <w:tcPr>
            <w:tcW w:type="dxa" w:w="806"/>
            <w:shd w:fill="F2F5F9" w:color="auto" w:val="clear"/>
            <w:tcMar>
              <w:top w:type="dxa" w:w="40"/>
              <w:left w:type="dxa" w:w="70"/>
              <w:bottom w:type="dxa" w:w="40"/>
              <w:right w:type="dxa" w:w="70"/>
            </w:tcMar>
          </w:tcPr>
          <w:p>
            <w:pPr>
              <w:spacing w:after="0"/>
            </w:pPr>
            <w:r>
              <w:rPr>
                <w:sz w:val="17"/>
                <w:szCs w:val="17"/>
              </w:rPr>
              <w:t xml:space="preserve">$44</w:t>
            </w:r>
          </w:p>
        </w:tc>
        <w:tc>
          <w:tcPr>
            <w:tcW w:type="dxa" w:w="1511"/>
            <w:shd w:fill="F2F5F9" w:color="auto" w:val="clear"/>
            <w:tcMar>
              <w:top w:type="dxa" w:w="40"/>
              <w:left w:type="dxa" w:w="70"/>
              <w:bottom w:type="dxa" w:w="40"/>
              <w:right w:type="dxa" w:w="70"/>
            </w:tcMar>
          </w:tcPr>
          <w:p>
            <w:pPr>
              <w:spacing w:after="0"/>
            </w:pPr>
            <w:r>
              <w:rPr>
                <w:sz w:val="17"/>
                <w:szCs w:val="17"/>
              </w:rPr>
              <w:t xml:space="preserve">$5</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526</w:t>
            </w:r>
          </w:p>
        </w:tc>
        <w:tc>
          <w:tcPr>
            <w:tcW w:type="dxa" w:w="2367"/>
            <w:shd w:fill="FFFFFF" w:color="auto" w:val="clear"/>
            <w:tcMar>
              <w:top w:type="dxa" w:w="40"/>
              <w:left w:type="dxa" w:w="70"/>
              <w:bottom w:type="dxa" w:w="40"/>
              <w:right w:type="dxa" w:w="70"/>
            </w:tcMar>
          </w:tcPr>
          <w:p>
            <w:pPr>
              <w:spacing w:after="0"/>
            </w:pPr>
            <w:r>
              <w:rPr>
                <w:sz w:val="17"/>
                <w:szCs w:val="17"/>
              </w:rPr>
              <w:t xml:space="preserve">Bamboo California King Sheets (LSV) · bamboo california king sheets</w:t>
            </w:r>
          </w:p>
        </w:tc>
        <w:tc>
          <w:tcPr>
            <w:tcW w:type="dxa" w:w="907"/>
            <w:shd w:fill="FFFFFF" w:color="auto" w:val="clear"/>
            <w:tcMar>
              <w:top w:type="dxa" w:w="40"/>
              <w:left w:type="dxa" w:w="70"/>
              <w:bottom w:type="dxa" w:w="40"/>
              <w:right w:type="dxa" w:w="70"/>
            </w:tcMar>
          </w:tcPr>
          <w:p>
            <w:pPr>
              <w:spacing w:after="0"/>
            </w:pPr>
            <w:r>
              <w:rPr>
                <w:sz w:val="17"/>
                <w:szCs w:val="17"/>
              </w:rPr>
              <w:t xml:space="preserve">14 (12; 5 in window)</w:t>
            </w:r>
          </w:p>
        </w:tc>
        <w:tc>
          <w:tcPr>
            <w:tcW w:type="dxa" w:w="806"/>
            <w:shd w:fill="FFFFFF" w:color="auto" w:val="clear"/>
            <w:tcMar>
              <w:top w:type="dxa" w:w="40"/>
              <w:left w:type="dxa" w:w="70"/>
              <w:bottom w:type="dxa" w:w="40"/>
              <w:right w:type="dxa" w:w="70"/>
            </w:tcMar>
          </w:tcPr>
          <w:p>
            <w:pPr>
              <w:spacing w:after="0"/>
            </w:pPr>
            <w:r>
              <w:rPr>
                <w:sz w:val="17"/>
                <w:szCs w:val="17"/>
              </w:rPr>
              <w:t xml:space="preserve">27 / 1</w:t>
            </w:r>
          </w:p>
        </w:tc>
        <w:tc>
          <w:tcPr>
            <w:tcW w:type="dxa" w:w="705"/>
            <w:shd w:fill="FFFFFF" w:color="auto" w:val="clear"/>
            <w:tcMar>
              <w:top w:type="dxa" w:w="40"/>
              <w:left w:type="dxa" w:w="70"/>
              <w:bottom w:type="dxa" w:w="40"/>
              <w:right w:type="dxa" w:w="70"/>
            </w:tcMar>
          </w:tcPr>
          <w:p>
            <w:pPr>
              <w:spacing w:after="0"/>
            </w:pPr>
            <w:r>
              <w:rPr>
                <w:sz w:val="17"/>
                <w:szCs w:val="17"/>
              </w:rPr>
              <w:t xml:space="preserve">$14</w:t>
            </w:r>
          </w:p>
        </w:tc>
        <w:tc>
          <w:tcPr>
            <w:tcW w:type="dxa" w:w="1511"/>
            <w:shd w:fill="FFFFFF" w:color="auto" w:val="clear"/>
            <w:tcMar>
              <w:top w:type="dxa" w:w="40"/>
              <w:left w:type="dxa" w:w="70"/>
              <w:bottom w:type="dxa" w:w="40"/>
              <w:right w:type="dxa" w:w="70"/>
            </w:tcMar>
          </w:tcPr>
          <w:p>
            <w:pPr>
              <w:spacing w:after="0"/>
            </w:pPr>
            <w:r>
              <w:rPr>
                <w:sz w:val="17"/>
                <w:szCs w:val="17"/>
              </w:rPr>
              <w:t xml:space="preserve">$4.80 → $5.32 (+11%)</w:t>
            </w:r>
          </w:p>
        </w:tc>
        <w:tc>
          <w:tcPr>
            <w:tcW w:type="dxa" w:w="806"/>
            <w:shd w:fill="FFFFFF" w:color="auto" w:val="clear"/>
            <w:tcMar>
              <w:top w:type="dxa" w:w="40"/>
              <w:left w:type="dxa" w:w="70"/>
              <w:bottom w:type="dxa" w:w="40"/>
              <w:right w:type="dxa" w:w="70"/>
            </w:tcMar>
          </w:tcPr>
          <w:p>
            <w:pPr>
              <w:spacing w:after="0"/>
            </w:pPr>
            <w:r>
              <w:rPr>
                <w:sz w:val="17"/>
                <w:szCs w:val="17"/>
              </w:rPr>
              <w:t xml:space="preserve">$39</w:t>
            </w:r>
          </w:p>
        </w:tc>
        <w:tc>
          <w:tcPr>
            <w:tcW w:type="dxa" w:w="1511"/>
            <w:shd w:fill="FFFFFF" w:color="auto" w:val="clear"/>
            <w:tcMar>
              <w:top w:type="dxa" w:w="40"/>
              <w:left w:type="dxa" w:w="70"/>
              <w:bottom w:type="dxa" w:w="40"/>
              <w:right w:type="dxa" w:w="70"/>
            </w:tcMar>
          </w:tcPr>
          <w:p>
            <w:pPr>
              <w:spacing w:after="0"/>
            </w:pPr>
            <w:r>
              <w:rPr>
                <w:sz w:val="17"/>
                <w:szCs w:val="17"/>
              </w:rPr>
              <w:t xml:space="preserve">$10</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r>
        <w:tc>
          <w:tcPr>
            <w:tcW w:type="dxa" w:w="453"/>
            <w:shd w:fill="F2F5F9" w:color="auto" w:val="clear"/>
            <w:tcMar>
              <w:top w:type="dxa" w:w="40"/>
              <w:left w:type="dxa" w:w="70"/>
              <w:bottom w:type="dxa" w:w="40"/>
              <w:right w:type="dxa" w:w="70"/>
            </w:tcMar>
          </w:tcPr>
          <w:p>
            <w:pPr>
              <w:spacing w:after="0"/>
            </w:pPr>
            <w:r>
              <w:rPr>
                <w:sz w:val="17"/>
                <w:szCs w:val="17"/>
              </w:rPr>
              <w:t xml:space="preserve">571</w:t>
            </w:r>
          </w:p>
        </w:tc>
        <w:tc>
          <w:tcPr>
            <w:tcW w:type="dxa" w:w="2367"/>
            <w:shd w:fill="F2F5F9" w:color="auto" w:val="clear"/>
            <w:tcMar>
              <w:top w:type="dxa" w:w="40"/>
              <w:left w:type="dxa" w:w="70"/>
              <w:bottom w:type="dxa" w:w="40"/>
              <w:right w:type="dxa" w:w="70"/>
            </w:tcMar>
          </w:tcPr>
          <w:p>
            <w:pPr>
              <w:spacing w:after="0"/>
            </w:pPr>
            <w:r>
              <w:rPr>
                <w:sz w:val="17"/>
                <w:szCs w:val="17"/>
              </w:rPr>
              <w:t xml:space="preserve">California King Sheets Bamboo (VLSV) · california king sheets bamboo</w:t>
            </w:r>
          </w:p>
        </w:tc>
        <w:tc>
          <w:tcPr>
            <w:tcW w:type="dxa" w:w="907"/>
            <w:shd w:fill="F2F5F9" w:color="auto" w:val="clear"/>
            <w:tcMar>
              <w:top w:type="dxa" w:w="40"/>
              <w:left w:type="dxa" w:w="70"/>
              <w:bottom w:type="dxa" w:w="40"/>
              <w:right w:type="dxa" w:w="70"/>
            </w:tcMar>
          </w:tcPr>
          <w:p>
            <w:pPr>
              <w:spacing w:after="0"/>
            </w:pPr>
            <w:r>
              <w:rPr>
                <w:sz w:val="17"/>
                <w:szCs w:val="17"/>
              </w:rPr>
              <w:t xml:space="preserve">23 (a 26 June reading)</w:t>
            </w:r>
          </w:p>
        </w:tc>
        <w:tc>
          <w:tcPr>
            <w:tcW w:type="dxa" w:w="806"/>
            <w:shd w:fill="F2F5F9" w:color="auto" w:val="clear"/>
            <w:tcMar>
              <w:top w:type="dxa" w:w="40"/>
              <w:left w:type="dxa" w:w="70"/>
              <w:bottom w:type="dxa" w:w="40"/>
              <w:right w:type="dxa" w:w="70"/>
            </w:tcMar>
          </w:tcPr>
          <w:p>
            <w:pPr>
              <w:spacing w:after="0"/>
            </w:pPr>
            <w:r>
              <w:rPr>
                <w:sz w:val="17"/>
                <w:szCs w:val="17"/>
              </w:rPr>
              <w:t xml:space="preserve">9 / 2</w:t>
            </w:r>
          </w:p>
        </w:tc>
        <w:tc>
          <w:tcPr>
            <w:tcW w:type="dxa" w:w="705"/>
            <w:shd w:fill="F2F5F9" w:color="auto" w:val="clear"/>
            <w:tcMar>
              <w:top w:type="dxa" w:w="40"/>
              <w:left w:type="dxa" w:w="70"/>
              <w:bottom w:type="dxa" w:w="40"/>
              <w:right w:type="dxa" w:w="70"/>
            </w:tcMar>
          </w:tcPr>
          <w:p>
            <w:pPr>
              <w:spacing w:after="0"/>
            </w:pPr>
            <w:r>
              <w:rPr>
                <w:sz w:val="17"/>
                <w:szCs w:val="17"/>
              </w:rPr>
              <w:t xml:space="preserve">$7</w:t>
            </w:r>
          </w:p>
        </w:tc>
        <w:tc>
          <w:tcPr>
            <w:tcW w:type="dxa" w:w="1511"/>
            <w:shd w:fill="F2F5F9" w:color="auto" w:val="clear"/>
            <w:tcMar>
              <w:top w:type="dxa" w:w="40"/>
              <w:left w:type="dxa" w:w="70"/>
              <w:bottom w:type="dxa" w:w="40"/>
              <w:right w:type="dxa" w:w="70"/>
            </w:tcMar>
          </w:tcPr>
          <w:p>
            <w:pPr>
              <w:spacing w:after="0"/>
            </w:pPr>
            <w:r>
              <w:rPr>
                <w:sz w:val="17"/>
                <w:szCs w:val="17"/>
              </w:rPr>
              <w:t xml:space="preserve">$4.75 → $5.95 (+25%)</w:t>
            </w:r>
          </w:p>
        </w:tc>
        <w:tc>
          <w:tcPr>
            <w:tcW w:type="dxa" w:w="806"/>
            <w:shd w:fill="F2F5F9" w:color="auto" w:val="clear"/>
            <w:tcMar>
              <w:top w:type="dxa" w:w="40"/>
              <w:left w:type="dxa" w:w="70"/>
              <w:bottom w:type="dxa" w:w="40"/>
              <w:right w:type="dxa" w:w="70"/>
            </w:tcMar>
          </w:tcPr>
          <w:p>
            <w:pPr>
              <w:spacing w:after="0"/>
            </w:pPr>
            <w:r>
              <w:rPr>
                <w:sz w:val="17"/>
                <w:szCs w:val="17"/>
              </w:rPr>
              <w:t xml:space="preserve">$43</w:t>
            </w:r>
          </w:p>
        </w:tc>
        <w:tc>
          <w:tcPr>
            <w:tcW w:type="dxa" w:w="1511"/>
            <w:shd w:fill="F2F5F9" w:color="auto" w:val="clear"/>
            <w:tcMar>
              <w:top w:type="dxa" w:w="40"/>
              <w:left w:type="dxa" w:w="70"/>
              <w:bottom w:type="dxa" w:w="40"/>
              <w:right w:type="dxa" w:w="70"/>
            </w:tcMar>
          </w:tcPr>
          <w:p>
            <w:pPr>
              <w:spacing w:after="0"/>
            </w:pPr>
            <w:r>
              <w:rPr>
                <w:sz w:val="17"/>
                <w:szCs w:val="17"/>
              </w:rPr>
              <w:t xml:space="preserve">$5</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293</w:t>
            </w:r>
          </w:p>
        </w:tc>
        <w:tc>
          <w:tcPr>
            <w:tcW w:type="dxa" w:w="2367"/>
            <w:shd w:fill="FFFFFF" w:color="auto" w:val="clear"/>
            <w:tcMar>
              <w:top w:type="dxa" w:w="40"/>
              <w:left w:type="dxa" w:w="70"/>
              <w:bottom w:type="dxa" w:w="40"/>
              <w:right w:type="dxa" w:w="70"/>
            </w:tcMar>
          </w:tcPr>
          <w:p>
            <w:pPr>
              <w:spacing w:after="0"/>
            </w:pPr>
            <w:r>
              <w:rPr>
                <w:sz w:val="17"/>
                <w:szCs w:val="17"/>
              </w:rPr>
              <w:t xml:space="preserve">Cal King Bamboo Sheets (VLSV) · california king bamboo sheets</w:t>
            </w:r>
          </w:p>
        </w:tc>
        <w:tc>
          <w:tcPr>
            <w:tcW w:type="dxa" w:w="907"/>
            <w:shd w:fill="FFFFFF" w:color="auto" w:val="clear"/>
            <w:tcMar>
              <w:top w:type="dxa" w:w="40"/>
              <w:left w:type="dxa" w:w="70"/>
              <w:bottom w:type="dxa" w:w="40"/>
              <w:right w:type="dxa" w:w="70"/>
            </w:tcMar>
          </w:tcPr>
          <w:p>
            <w:pPr>
              <w:spacing w:after="0"/>
            </w:pPr>
            <w:r>
              <w:rPr>
                <w:sz w:val="17"/>
                <w:szCs w:val="17"/>
              </w:rPr>
              <w:t xml:space="preserve">10 (7)</w:t>
            </w:r>
          </w:p>
        </w:tc>
        <w:tc>
          <w:tcPr>
            <w:tcW w:type="dxa" w:w="806"/>
            <w:shd w:fill="FFFFFF" w:color="auto" w:val="clear"/>
            <w:tcMar>
              <w:top w:type="dxa" w:w="40"/>
              <w:left w:type="dxa" w:w="70"/>
              <w:bottom w:type="dxa" w:w="40"/>
              <w:right w:type="dxa" w:w="70"/>
            </w:tcMar>
          </w:tcPr>
          <w:p>
            <w:pPr>
              <w:spacing w:after="0"/>
            </w:pPr>
            <w:r>
              <w:rPr>
                <w:sz w:val="17"/>
                <w:szCs w:val="17"/>
              </w:rPr>
              <w:t xml:space="preserve">58 / 7</w:t>
            </w:r>
          </w:p>
        </w:tc>
        <w:tc>
          <w:tcPr>
            <w:tcW w:type="dxa" w:w="705"/>
            <w:shd w:fill="FFFFFF" w:color="auto" w:val="clear"/>
            <w:tcMar>
              <w:top w:type="dxa" w:w="40"/>
              <w:left w:type="dxa" w:w="70"/>
              <w:bottom w:type="dxa" w:w="40"/>
              <w:right w:type="dxa" w:w="70"/>
            </w:tcMar>
          </w:tcPr>
          <w:p>
            <w:pPr>
              <w:spacing w:after="0"/>
            </w:pPr>
            <w:r>
              <w:rPr>
                <w:sz w:val="17"/>
                <w:szCs w:val="17"/>
              </w:rPr>
              <w:t xml:space="preserve">$0</w:t>
            </w:r>
          </w:p>
        </w:tc>
        <w:tc>
          <w:tcPr>
            <w:tcW w:type="dxa" w:w="1511"/>
            <w:shd w:fill="FFFFFF" w:color="auto" w:val="clear"/>
            <w:tcMar>
              <w:top w:type="dxa" w:w="40"/>
              <w:left w:type="dxa" w:w="70"/>
              <w:bottom w:type="dxa" w:w="40"/>
              <w:right w:type="dxa" w:w="70"/>
            </w:tcMar>
          </w:tcPr>
          <w:p>
            <w:pPr>
              <w:spacing w:after="0"/>
            </w:pPr>
            <w:r>
              <w:rPr>
                <w:sz w:val="17"/>
                <w:szCs w:val="17"/>
              </w:rPr>
              <w:t xml:space="preserve">$3.84 → $4.79 (+25%)</w:t>
            </w:r>
          </w:p>
        </w:tc>
        <w:tc>
          <w:tcPr>
            <w:tcW w:type="dxa" w:w="806"/>
            <w:shd w:fill="FFFFFF" w:color="auto" w:val="clear"/>
            <w:tcMar>
              <w:top w:type="dxa" w:w="40"/>
              <w:left w:type="dxa" w:w="70"/>
              <w:bottom w:type="dxa" w:w="40"/>
              <w:right w:type="dxa" w:w="70"/>
            </w:tcMar>
          </w:tcPr>
          <w:p>
            <w:pPr>
              <w:spacing w:after="0"/>
            </w:pPr>
            <w:r>
              <w:rPr>
                <w:sz w:val="17"/>
                <w:szCs w:val="17"/>
              </w:rPr>
              <w:t xml:space="preserve">$35</w:t>
            </w:r>
          </w:p>
        </w:tc>
        <w:tc>
          <w:tcPr>
            <w:tcW w:type="dxa" w:w="1511"/>
            <w:shd w:fill="FFFFFF" w:color="auto" w:val="clear"/>
            <w:tcMar>
              <w:top w:type="dxa" w:w="40"/>
              <w:left w:type="dxa" w:w="70"/>
              <w:bottom w:type="dxa" w:w="40"/>
              <w:right w:type="dxa" w:w="70"/>
            </w:tcMar>
          </w:tcPr>
          <w:p>
            <w:pPr>
              <w:spacing w:after="0"/>
            </w:pPr>
            <w:r>
              <w:rPr>
                <w:sz w:val="17"/>
                <w:szCs w:val="17"/>
              </w:rPr>
              <w:t xml:space="preserve">$8.23</w:t>
            </w:r>
          </w:p>
        </w:tc>
        <w:tc>
          <w:tcPr>
            <w:tcW w:type="dxa" w:w="906"/>
            <w:shd w:fill="FFFFFF" w:color="auto" w:val="clear"/>
            <w:tcMar>
              <w:top w:type="dxa" w:w="40"/>
              <w:left w:type="dxa" w:w="70"/>
              <w:bottom w:type="dxa" w:w="40"/>
              <w:right w:type="dxa" w:w="70"/>
            </w:tcMar>
          </w:tcPr>
          <w:p>
            <w:pPr>
              <w:spacing w:after="0"/>
            </w:pPr>
            <w:r>
              <w:rPr>
                <w:sz w:val="17"/>
                <w:szCs w:val="17"/>
              </w:rPr>
              <w:t xml:space="preserve">corrected: hold $3.84</w:t>
            </w:r>
          </w:p>
        </w:tc>
      </w:tr>
      <w:tr>
        <w:tc>
          <w:tcPr>
            <w:tcW w:type="dxa" w:w="453"/>
            <w:shd w:fill="F2F5F9" w:color="auto" w:val="clear"/>
            <w:tcMar>
              <w:top w:type="dxa" w:w="40"/>
              <w:left w:type="dxa" w:w="70"/>
              <w:bottom w:type="dxa" w:w="40"/>
              <w:right w:type="dxa" w:w="70"/>
            </w:tcMar>
          </w:tcPr>
          <w:p>
            <w:pPr>
              <w:spacing w:after="0"/>
            </w:pPr>
            <w:r>
              <w:rPr>
                <w:sz w:val="17"/>
                <w:szCs w:val="17"/>
              </w:rPr>
              <w:t xml:space="preserve">687</w:t>
            </w:r>
          </w:p>
        </w:tc>
        <w:tc>
          <w:tcPr>
            <w:tcW w:type="dxa" w:w="2367"/>
            <w:shd w:fill="F2F5F9" w:color="auto" w:val="clear"/>
            <w:tcMar>
              <w:top w:type="dxa" w:w="40"/>
              <w:left w:type="dxa" w:w="70"/>
              <w:bottom w:type="dxa" w:w="40"/>
              <w:right w:type="dxa" w:w="70"/>
            </w:tcMar>
          </w:tcPr>
          <w:p>
            <w:pPr>
              <w:spacing w:after="0"/>
            </w:pPr>
            <w:r>
              <w:rPr>
                <w:sz w:val="17"/>
                <w:szCs w:val="17"/>
              </w:rPr>
              <w:t xml:space="preserve">Bamboo Cooling Sheets King Size (LSV) · bamboo cooling sheets king</w:t>
            </w:r>
          </w:p>
        </w:tc>
        <w:tc>
          <w:tcPr>
            <w:tcW w:type="dxa" w:w="907"/>
            <w:shd w:fill="F2F5F9" w:color="auto" w:val="clear"/>
            <w:tcMar>
              <w:top w:type="dxa" w:w="40"/>
              <w:left w:type="dxa" w:w="70"/>
              <w:bottom w:type="dxa" w:w="40"/>
              <w:right w:type="dxa" w:w="70"/>
            </w:tcMar>
          </w:tcPr>
          <w:p>
            <w:pPr>
              <w:spacing w:after="0"/>
            </w:pPr>
            <w:r>
              <w:rPr>
                <w:sz w:val="17"/>
                <w:szCs w:val="17"/>
              </w:rPr>
              <w:t xml:space="preserve">27 (37; 12 in window)</w:t>
            </w:r>
          </w:p>
        </w:tc>
        <w:tc>
          <w:tcPr>
            <w:tcW w:type="dxa" w:w="806"/>
            <w:shd w:fill="F2F5F9" w:color="auto" w:val="clear"/>
            <w:tcMar>
              <w:top w:type="dxa" w:w="40"/>
              <w:left w:type="dxa" w:w="70"/>
              <w:bottom w:type="dxa" w:w="40"/>
              <w:right w:type="dxa" w:w="70"/>
            </w:tcMar>
          </w:tcPr>
          <w:p>
            <w:pPr>
              <w:spacing w:after="0"/>
            </w:pPr>
            <w:r>
              <w:rPr>
                <w:sz w:val="17"/>
                <w:szCs w:val="17"/>
              </w:rPr>
              <w:t xml:space="preserve">238 / 29</w:t>
            </w:r>
          </w:p>
        </w:tc>
        <w:tc>
          <w:tcPr>
            <w:tcW w:type="dxa" w:w="705"/>
            <w:shd w:fill="F2F5F9" w:color="auto" w:val="clear"/>
            <w:tcMar>
              <w:top w:type="dxa" w:w="40"/>
              <w:left w:type="dxa" w:w="70"/>
              <w:bottom w:type="dxa" w:w="40"/>
              <w:right w:type="dxa" w:w="70"/>
            </w:tcMar>
          </w:tcPr>
          <w:p>
            <w:pPr>
              <w:spacing w:after="0"/>
            </w:pPr>
            <w:r>
              <w:rPr>
                <w:sz w:val="17"/>
                <w:szCs w:val="17"/>
              </w:rPr>
              <w:t xml:space="preserve">$0</w:t>
            </w:r>
          </w:p>
        </w:tc>
        <w:tc>
          <w:tcPr>
            <w:tcW w:type="dxa" w:w="1511"/>
            <w:shd w:fill="F2F5F9" w:color="auto" w:val="clear"/>
            <w:tcMar>
              <w:top w:type="dxa" w:w="40"/>
              <w:left w:type="dxa" w:w="70"/>
              <w:bottom w:type="dxa" w:w="40"/>
              <w:right w:type="dxa" w:w="70"/>
            </w:tcMar>
          </w:tcPr>
          <w:p>
            <w:pPr>
              <w:spacing w:after="0"/>
            </w:pPr>
            <w:r>
              <w:rPr>
                <w:sz w:val="17"/>
                <w:szCs w:val="17"/>
              </w:rPr>
              <w:t xml:space="preserve">$2.55 → $3.19 (+25%)</w:t>
            </w:r>
          </w:p>
        </w:tc>
        <w:tc>
          <w:tcPr>
            <w:tcW w:type="dxa" w:w="806"/>
            <w:shd w:fill="F2F5F9" w:color="auto" w:val="clear"/>
            <w:tcMar>
              <w:top w:type="dxa" w:w="40"/>
              <w:left w:type="dxa" w:w="70"/>
              <w:bottom w:type="dxa" w:w="40"/>
              <w:right w:type="dxa" w:w="70"/>
            </w:tcMar>
          </w:tcPr>
          <w:p>
            <w:pPr>
              <w:spacing w:after="0"/>
            </w:pPr>
            <w:r>
              <w:rPr>
                <w:sz w:val="17"/>
                <w:szCs w:val="17"/>
              </w:rPr>
              <w:t xml:space="preserve">$23</w:t>
            </w:r>
          </w:p>
        </w:tc>
        <w:tc>
          <w:tcPr>
            <w:tcW w:type="dxa" w:w="1511"/>
            <w:shd w:fill="F2F5F9" w:color="auto" w:val="clear"/>
            <w:tcMar>
              <w:top w:type="dxa" w:w="40"/>
              <w:left w:type="dxa" w:w="70"/>
              <w:bottom w:type="dxa" w:w="40"/>
              <w:right w:type="dxa" w:w="70"/>
            </w:tcMar>
          </w:tcPr>
          <w:p>
            <w:pPr>
              <w:spacing w:after="0"/>
            </w:pPr>
            <w:r>
              <w:rPr>
                <w:sz w:val="17"/>
                <w:szCs w:val="17"/>
              </w:rPr>
              <w:t xml:space="preserve">$5 → $6.51 (code-held)</w:t>
            </w:r>
          </w:p>
        </w:tc>
        <w:tc>
          <w:tcPr>
            <w:tcW w:type="dxa" w:w="906"/>
            <w:shd w:fill="F2F5F9" w:color="auto" w:val="clear"/>
            <w:tcMar>
              <w:top w:type="dxa" w:w="40"/>
              <w:left w:type="dxa" w:w="70"/>
              <w:bottom w:type="dxa" w:w="40"/>
              <w:right w:type="dxa" w:w="70"/>
            </w:tcMar>
          </w:tcPr>
          <w:p>
            <w:pPr>
              <w:spacing w:after="0"/>
            </w:pPr>
            <w:r>
              <w:rPr>
                <w:sz w:val="17"/>
                <w:szCs w:val="17"/>
              </w:rPr>
              <w:t xml:space="preserve">pass</w:t>
            </w:r>
          </w:p>
        </w:tc>
      </w:tr>
      <w:tr>
        <w:tc>
          <w:tcPr>
            <w:tcW w:type="dxa" w:w="453"/>
            <w:shd w:fill="FFFFFF" w:color="auto" w:val="clear"/>
            <w:tcMar>
              <w:top w:type="dxa" w:w="40"/>
              <w:left w:type="dxa" w:w="70"/>
              <w:bottom w:type="dxa" w:w="40"/>
              <w:right w:type="dxa" w:w="70"/>
            </w:tcMar>
          </w:tcPr>
          <w:p>
            <w:pPr>
              <w:spacing w:after="0"/>
            </w:pPr>
            <w:r>
              <w:rPr>
                <w:sz w:val="17"/>
                <w:szCs w:val="17"/>
              </w:rPr>
              <w:t xml:space="preserve">1002</w:t>
            </w:r>
          </w:p>
        </w:tc>
        <w:tc>
          <w:tcPr>
            <w:tcW w:type="dxa" w:w="2367"/>
            <w:shd w:fill="FFFFFF" w:color="auto" w:val="clear"/>
            <w:tcMar>
              <w:top w:type="dxa" w:w="40"/>
              <w:left w:type="dxa" w:w="70"/>
              <w:bottom w:type="dxa" w:w="40"/>
              <w:right w:type="dxa" w:w="70"/>
            </w:tcMar>
          </w:tcPr>
          <w:p>
            <w:pPr>
              <w:spacing w:after="0"/>
            </w:pPr>
            <w:r>
              <w:rPr>
                <w:sz w:val="17"/>
                <w:szCs w:val="17"/>
              </w:rPr>
              <w:t xml:space="preserve">Cooling Bamboo Sheets Queen Size (LSV) · cooling bamboo sheets queen size</w:t>
            </w:r>
          </w:p>
        </w:tc>
        <w:tc>
          <w:tcPr>
            <w:tcW w:type="dxa" w:w="907"/>
            <w:shd w:fill="FFFFFF" w:color="auto" w:val="clear"/>
            <w:tcMar>
              <w:top w:type="dxa" w:w="40"/>
              <w:left w:type="dxa" w:w="70"/>
              <w:bottom w:type="dxa" w:w="40"/>
              <w:right w:type="dxa" w:w="70"/>
            </w:tcMar>
          </w:tcPr>
          <w:p>
            <w:pPr>
              <w:spacing w:after="0"/>
            </w:pPr>
            <w:r>
              <w:rPr>
                <w:sz w:val="17"/>
                <w:szCs w:val="17"/>
              </w:rPr>
              <w:t xml:space="preserve">55 (43; 11 in window)</w:t>
            </w:r>
          </w:p>
        </w:tc>
        <w:tc>
          <w:tcPr>
            <w:tcW w:type="dxa" w:w="806"/>
            <w:shd w:fill="FFFFFF" w:color="auto" w:val="clear"/>
            <w:tcMar>
              <w:top w:type="dxa" w:w="40"/>
              <w:left w:type="dxa" w:w="70"/>
              <w:bottom w:type="dxa" w:w="40"/>
              <w:right w:type="dxa" w:w="70"/>
            </w:tcMar>
          </w:tcPr>
          <w:p>
            <w:pPr>
              <w:spacing w:after="0"/>
            </w:pPr>
            <w:r>
              <w:rPr>
                <w:sz w:val="17"/>
                <w:szCs w:val="17"/>
              </w:rPr>
              <w:t xml:space="preserve">54 / 7</w:t>
            </w:r>
          </w:p>
        </w:tc>
        <w:tc>
          <w:tcPr>
            <w:tcW w:type="dxa" w:w="705"/>
            <w:shd w:fill="FFFFFF" w:color="auto" w:val="clear"/>
            <w:tcMar>
              <w:top w:type="dxa" w:w="40"/>
              <w:left w:type="dxa" w:w="70"/>
              <w:bottom w:type="dxa" w:w="40"/>
              <w:right w:type="dxa" w:w="70"/>
            </w:tcMar>
          </w:tcPr>
          <w:p>
            <w:pPr>
              <w:spacing w:after="0"/>
            </w:pPr>
            <w:r>
              <w:rPr>
                <w:sz w:val="17"/>
                <w:szCs w:val="17"/>
              </w:rPr>
              <w:t xml:space="preserve">$0</w:t>
            </w:r>
          </w:p>
        </w:tc>
        <w:tc>
          <w:tcPr>
            <w:tcW w:type="dxa" w:w="1511"/>
            <w:shd w:fill="FFFFFF" w:color="auto" w:val="clear"/>
            <w:tcMar>
              <w:top w:type="dxa" w:w="40"/>
              <w:left w:type="dxa" w:w="70"/>
              <w:bottom w:type="dxa" w:w="40"/>
              <w:right w:type="dxa" w:w="70"/>
            </w:tcMar>
          </w:tcPr>
          <w:p>
            <w:pPr>
              <w:spacing w:after="0"/>
            </w:pPr>
            <w:r>
              <w:rPr>
                <w:sz w:val="17"/>
                <w:szCs w:val="17"/>
              </w:rPr>
              <w:t xml:space="preserve">$1.67 → $2.17 (+30%)</w:t>
            </w:r>
          </w:p>
        </w:tc>
        <w:tc>
          <w:tcPr>
            <w:tcW w:type="dxa" w:w="806"/>
            <w:shd w:fill="FFFFFF" w:color="auto" w:val="clear"/>
            <w:tcMar>
              <w:top w:type="dxa" w:w="40"/>
              <w:left w:type="dxa" w:w="70"/>
              <w:bottom w:type="dxa" w:w="40"/>
              <w:right w:type="dxa" w:w="70"/>
            </w:tcMar>
          </w:tcPr>
          <w:p>
            <w:pPr>
              <w:spacing w:after="0"/>
            </w:pPr>
            <w:r>
              <w:rPr>
                <w:sz w:val="17"/>
                <w:szCs w:val="17"/>
              </w:rPr>
              <w:t xml:space="preserve">$16</w:t>
            </w:r>
          </w:p>
        </w:tc>
        <w:tc>
          <w:tcPr>
            <w:tcW w:type="dxa" w:w="1511"/>
            <w:shd w:fill="FFFFFF" w:color="auto" w:val="clear"/>
            <w:tcMar>
              <w:top w:type="dxa" w:w="40"/>
              <w:left w:type="dxa" w:w="70"/>
              <w:bottom w:type="dxa" w:w="40"/>
              <w:right w:type="dxa" w:w="70"/>
            </w:tcMar>
          </w:tcPr>
          <w:p>
            <w:pPr>
              <w:spacing w:after="0"/>
            </w:pPr>
            <w:r>
              <w:rPr>
                <w:sz w:val="17"/>
                <w:szCs w:val="17"/>
              </w:rPr>
              <w:t xml:space="preserve">$9.94</w:t>
            </w:r>
          </w:p>
        </w:tc>
        <w:tc>
          <w:tcPr>
            <w:tcW w:type="dxa" w:w="906"/>
            <w:shd w:fill="FFFFFF" w:color="auto" w:val="clear"/>
            <w:tcMar>
              <w:top w:type="dxa" w:w="40"/>
              <w:left w:type="dxa" w:w="70"/>
              <w:bottom w:type="dxa" w:w="40"/>
              <w:right w:type="dxa" w:w="70"/>
            </w:tcMar>
          </w:tcPr>
          <w:p>
            <w:pPr>
              <w:spacing w:after="0"/>
            </w:pPr>
            <w:r>
              <w:rPr>
                <w:sz w:val="17"/>
                <w:szCs w:val="17"/>
              </w:rPr>
              <w:t xml:space="preserve">pass</w:t>
            </w:r>
          </w:p>
        </w:tc>
      </w:tr>
    </w:tbl>
    <w:p>
      <w:pPr>
        <w:spacing w:after="120"/>
      </w:pPr>
      <w:r>
        <w:rPr>
          <w:i/>
          <w:iCs/>
          <w:color w:val="555555"/>
          <w:sz w:val="17"/>
          <w:szCs w:val="17"/>
        </w:rPr>
        <w:t xml:space="preserve">TOS price = the plan keyword’s bid × (1 + top-of-search modifier), recomputed from the export. Cost per top-of-search order = price ÷ 13.7%, the engine’s lane prior (none of these campaigns has 15 top-of-search clicks of its own). “In window” is the best rank the term held in the last 30 days.</w:t>
      </w:r>
    </w:p>
    <w:p>
      <w:pPr>
        <w:spacing w:after="100"/>
      </w:pPr>
      <w:r>
        <w:t xml:space="preserve">One row is past the loss stop: 369, at $88 an order. Every dose row is written above the row’s own break-even ceiling ($3.51) and its own market bound ($5.74–$6.62); the dose rule sets both aside. The four budget halves were not held on judgement. Their prediction reads “no claim — budget-follows-price”, which the prediction check cannot parse, so the code held them. The export itself calls a failed check an engine bug. The price halves shipped without them.</w:t>
      </w:r>
    </w:p>
    <w:p>
      <w:pPr>
        <w:pStyle w:val="Heading1"/>
      </w:pPr>
      <w:r>
        <w:t xml:space="preserve">A2. Three dose pushes at +75%: past the row’s own limits, on terms with no orders</w:t>
      </w:r>
    </w:p>
    <w:p>
      <w:pPr>
        <w:spacing w:after="100"/>
      </w:pPr>
      <w:r>
        <w:rPr>
          <w:b/>
          <w:bCs/>
          <w:color w:val="1F3A5F"/>
        </w:rPr>
        <w:t xml:space="preserve">The rule. </w:t>
      </w:r>
      <w:r>
        <w:t xml:space="preserve">A dose push buys a term up to the click count at which past pushes moved rank: 15 paid clicks a week for 14 days. Its size is still bounded: one delivery-gap step per write, inside the loss stop, with the budget that lets the step spend. These rows expect to fall short themselves. The book’s largest step bought ×3.76 where these need ×5 to ×10, and the rows put their own odds at “about 20%”. A step like that is a probe, and a probe is sized to earn the read, not taken all the way to the ceiling.</w:t>
      </w:r>
    </w:p>
    <w:p>
      <w:pPr>
        <w:spacing w:after="100"/>
      </w:pPr>
      <w:r>
        <w:rPr>
          <w:b/>
          <w:bCs/>
          <w:color w:val="1F3A5F"/>
        </w:rPr>
        <w:t xml:space="preserve">What the run did. </w:t>
      </w:r>
      <w:r>
        <w:t xml:space="preserve">Raised all three by +75% (288, 369, 398). Their budget halves were held by the code check, and the review passed all three.</w:t>
      </w:r>
    </w:p>
    <w:p>
      <w:pPr>
        <w:spacing w:after="100"/>
      </w:pPr>
      <w:r>
        <w:rPr>
          <w:b/>
          <w:bCs/>
        </w:rPr>
        <w:t xml:space="preserve">Bamboo Cooling Sheets King Size-[Bamboo|Cooling]-(LSV)-Exact-(Ranking)-DO-BAMBOO-KING-WHITE</w:t>
      </w:r>
      <w:r>
        <w:t xml:space="preserve"> — “bamboo cooling sheets king size” rank 31 (35 thirty days ago). It held 7 earlier in the window, so 24 positions have been lost. 90 days: 7 clicks, 0 orders; 3 top-of-search clicks on 141 impressions, top-of-search impression share 0.51%. It takes 1.5 paid clicks a week against a dose of 15. The run writes modifier 200% → 425%: top of search $6.90 → $12.07. At 13.7% a top-of-search order then costs $88, past the $73.47 loss stop. The same row’s BASE WRITE says the modifier “is held to 200%” by the market bound ($5.74), and its TIMELINE says “not pushed this run”, yet the column writes 425%. The budget half ($11.42 → $22.91) is held, so at about $8.89 a click the campaign can buy 1.3 clicks a day against the 2.1 the dose needs. Correction: +30% (10% of the dose delivered): top of search $8.97, modifier 290% on the $2.30 base, about $65 a top-of-search order. Load the budget raise to $22.91 and name the cause of the fall from 7 to 31 the same day.</w:t>
      </w:r>
    </w:p>
    <w:p>
      <w:pPr>
        <w:spacing w:after="100"/>
      </w:pPr>
      <w:r>
        <w:rPr>
          <w:b/>
          <w:bCs/>
        </w:rPr>
        <w:t xml:space="preserve">Bamboo Sheets California King-(LSV)-Exact-(Ranking)-DO-BAMBOO-CALIFKING-WHITE</w:t>
      </w:r>
      <w:r>
        <w:t xml:space="preserve"> — “bamboo sheets california king” rank 16, from 4 thirty days ago (12 positions lost). 90 days: 9 clicks, 0 orders; top-of-search impression share 2.82%. It takes 3 paid clicks a week against 15. The run writes 238% → 491%: $4.60 → $8.04 (+75%), about $59 a top-of-search order, against the row’s own $3.51 ceiling and $6.62 market bound. The same row’s “certain-win press” section holds this term because “the child that serves the term has no stock room”. It prices the prize at about 0.4 orders a week ($4.83 a day in sales), while the dose costs $9.69 a day. Row 2161 moves this campaign’s ad to BAMBOO-CALIFKING-BURGUNDY-NEW while the rank target is read on BAMBOO-CALIFKING-WHITE (A4). Correction: +30%: top of search $5.98, modifier 340% on the $1.36 base, about $44 an order. Load the budget to $13.98 and confirm the tracked child before the re-point.</w:t>
      </w:r>
    </w:p>
    <w:p>
      <w:pPr>
        <w:spacing w:after="100"/>
      </w:pPr>
      <w:r>
        <w:rPr>
          <w:b/>
          <w:bCs/>
        </w:rPr>
        <w:t xml:space="preserve">Cooling Bamboo Sheets-[Bamboo|Cooling]-(MSV)-Exact-(Ranking)-DO-BAMBOO-KING-WHITE</w:t>
      </w:r>
      <w:r>
        <w:t xml:space="preserve"> — “cooling bamboo sheets” rank 12, climbing from 30. The engine reads it as a “cold push” with no loss. 90 days: 7 clicks, 0 orders; top-of-search impression share 1.27%. The run writes 130% → 302%: $4.60 → $8.04. The row’s own prose says “the run had written 187%”, and its PRICES line still quotes $5.32 a click and $38.80 an order. The figures a reviewer reads are not the ones it writes. Correction: +30%: $5.98, modifier 199% on the $2.00 base; load the budget to $14.21. This term climbed 18 places without a dose, and a +30% step keeps it moving at about half the cost.</w:t>
      </w:r>
    </w:p>
    <w:p>
      <w:pPr>
        <w:spacing w:after="100"/>
      </w:pPr>
      <w:r>
        <w:rPr>
          <w:b/>
          <w:bCs/>
          <w:color w:val="1F3A5F"/>
        </w:rPr>
        <w:t xml:space="preserve">Correction. </w:t>
      </w:r>
      <w:r>
        <w:t xml:space="preserve">Write the three dose rows at +30% (288 → 340%, 369 → 290%, 398 → 199%) with their budget raises, and read them at the day-7 checkpoint (10-05). If clicks are still short and impression share rose, step again. The dose arrives in two or three reads, not one jump.</w:t>
      </w:r>
    </w:p>
    <w:p>
      <w:pPr>
        <w:pStyle w:val="Heading1"/>
      </w:pPr>
      <w:r>
        <w:t xml:space="preserve">A3. Three in-focus campaigns with a real record went dark — the run climbs the price instead of restoring them</w:t>
      </w:r>
    </w:p>
    <w:p>
      <w:pPr>
        <w:spacing w:after="100"/>
      </w:pPr>
      <w:r>
        <w:rPr>
          <w:b/>
          <w:bCs/>
          <w:color w:val="1F3A5F"/>
        </w:rPr>
        <w:t xml:space="preserve">The rule. </w:t>
      </w:r>
      <w:r>
        <w:t xml:space="preserve">A campaign with a record that stopped serving usually stopped after a change. Put back the values it last served at, and check the ad, the child it advertises and eligibility the same day. A price climb on a campaign that isn’t in the auction doesn’t show.</w:t>
      </w:r>
    </w:p>
    <w:p>
      <w:pPr>
        <w:spacing w:after="100"/>
      </w:pPr>
      <w:r>
        <w:rPr>
          <w:b/>
          <w:bCs/>
          <w:color w:val="1F3A5F"/>
        </w:rPr>
        <w:t xml:space="preserve">What the run did. </w:t>
      </w:r>
      <w:r>
        <w:t xml:space="preserve">Raised the top-of-search price on all three by +25% to +30%. The review corrected one (293) to hold the price and passed the other two.</w:t>
      </w:r>
    </w:p>
    <w:p>
      <w:pPr>
        <w:spacing w:after="100"/>
      </w:pPr>
      <w:r>
        <w:rPr>
          <w:b/>
          <w:bCs/>
        </w:rPr>
        <w:t xml:space="preserve">Bamboo Cooling Sheets King Size-(LSV)-Exact-(Ranking)-DO-BAMBOO-KING-WHITE</w:t>
      </w:r>
      <w:r>
        <w:t xml:space="preserve"> — “bamboo cooling sheets king” rank 27 (37; it held 12 earlier in the window). 90 days: 238 clicks, 29 orders, the best record in the focus. Last 14 days: $0.00 spent. The row says “BUDGET CAPPED … the budget goes first, the price holds … no climb on this campaign this run” and then writes the opposite. The modifier climbs 101% → 151% ($2.55 → $3.19), while the budget half (686, $5 → $6.51) is held by the code check. A campaign that spent nothing in 14 days is not budget-capped; it is not serving. Correction: no price move. Check the ad, the child (BAMBOO-KING-WHITE) and eligibility today, restore the values it last served at, then take the delivery-gap step.</w:t>
      </w:r>
    </w:p>
    <w:p>
      <w:pPr>
        <w:spacing w:after="100"/>
      </w:pPr>
      <w:r>
        <w:rPr>
          <w:b/>
          <w:bCs/>
        </w:rPr>
        <w:t xml:space="preserve">Cal King Bamboo Sheets-[Bamboo|California King]-(VLSV)-Exact-(Ranking)-DO-BAMBOO-CALIFKING-WHITE</w:t>
      </w:r>
      <w:r>
        <w:t xml:space="preserve"> — “california king bamboo sheets” rank 10 (7). 90 days: 58 clicks, 7 orders; last 14 days $0.00. The run’s thin fix cuts the base $1.02 → $0.92 and writes 421%. The review caught that as a +25% climb and corrected it to 317%, holding top of search at $3.84. The base cut (296, 297) still ships. On a campaign that isn’t serving, a lower base makes it darker; the engine’s own rule (team document §12) is not to cut the base of a row that isn’t delivering. Correction: hold 276% and the $1.02 base, and drop 296 and 297, until it serves again.</w:t>
      </w:r>
    </w:p>
    <w:p>
      <w:pPr>
        <w:spacing w:after="100"/>
      </w:pPr>
      <w:r>
        <w:rPr>
          <w:b/>
          <w:bCs/>
        </w:rPr>
        <w:t xml:space="preserve">Cooling Bamboo Sheets Queen Size-[Bamboo|Cooling]-(LSV)-Exact-(Ranking)-DO-BAMBOO-QUEEN-WHITE</w:t>
      </w:r>
      <w:r>
        <w:t xml:space="preserve"> — “cooling bamboo sheets queen size” rank 55 (43; 11 earlier in the window). 90 days: 54 clicks, 7 orders, but 0 top-of-search impressions, and $0.00 in the last 14 days. The run writes 69% → 119% and predicts 0 → 32 top-of-search clicks a week, with a rank claim of 55 → 11 in two weeks. The outcome prices it at $35.22 a day on a $9.94 budget. The Rank tab lists the same term as “not pushed”. It advertises BAMBOO-QUEEN-WHITE, the Queen hero the run pivots off, and is not among the 33 Queen re-points. Correction: no price move and no claim until it serves. Check the ad and eligibility, and re-point it to BAMBOO-QUEEN-OLIVE with the other Queen campaigns.</w:t>
      </w:r>
    </w:p>
    <w:p>
      <w:pPr>
        <w:spacing w:after="100"/>
      </w:pPr>
      <w:r>
        <w:rPr>
          <w:b/>
          <w:bCs/>
          <w:color w:val="1F3A5F"/>
        </w:rPr>
        <w:t xml:space="preserve">Correction. </w:t>
      </w:r>
      <w:r>
        <w:t xml:space="preserve">All three: find why they went dark before any price moves. 526 (Bamboo California King Sheets) is still serving but has the same forecasting fault: it predicts 0.23 → 32 top-of-search clicks a week from an +11% step and is priced at $21.79 a day on a $10 budget. Keep its step, and cut its claim to what the book buys (about ×2.6, under one click a week).</w:t>
      </w:r>
    </w:p>
    <w:p>
      <w:pPr>
        <w:pStyle w:val="Heading1"/>
      </w:pPr>
      <w:r>
        <w:t xml:space="preserve">A4. California King: the push goes on the size with the least stock, re-pointed to a child the tracker may not read</w:t>
      </w:r>
    </w:p>
    <w:p>
      <w:pPr>
        <w:spacing w:after="100"/>
      </w:pPr>
      <w:r>
        <w:rPr>
          <w:b/>
          <w:bCs/>
          <w:color w:val="1F3A5F"/>
        </w:rPr>
        <w:t xml:space="preserve">The rule. </w:t>
      </w:r>
      <w:r>
        <w:t xml:space="preserve">First check which child the rank tracker reads for each term. If the ad moves to another child, the push buys sales the tracker doesn’t watch, and the read shows a miss that is not one. A push on a child that runs out before the next arrival rents the position instead of buying it.</w:t>
      </w:r>
    </w:p>
    <w:p>
      <w:pPr>
        <w:spacing w:after="100"/>
      </w:pPr>
      <w:r>
        <w:rPr>
          <w:b/>
          <w:bCs/>
          <w:color w:val="1F3A5F"/>
        </w:rPr>
        <w:t xml:space="preserve">What the run did. </w:t>
      </w:r>
      <w:r>
        <w:t xml:space="preserve">Re-pointed 15 California King campaigns from BAMBOO-CALIFKING-WHITE to BAMBOO-CALIFKING-BURGUNDY-NEW (2151, 2154, 2157, 2159, 2160, 2161, 2167, 2169, 2176, 2178, 2191, 2194, 2204, 2208, 2211). Every California King push row still names its rank target “on BAMBOO-CALIFKING-WHITE”.</w:t>
      </w:r>
    </w:p>
    <w:p>
      <w:pPr>
        <w:pStyle w:val="ListParagraph"/>
        <w:numPr>
          <w:ilvl w:val="0"/>
          <w:numId w:val="2"/>
        </w:numPr>
        <w:spacing w:after="60"/>
      </w:pPr>
      <w:r>
        <w:rPr>
          <w:b/>
          <w:bCs/>
        </w:rPr>
        <w:t xml:space="preserve">Stock. </w:t>
      </w:r>
      <w:r>
        <w:t xml:space="preserve">The hero, White, has 44 units: 27 days at 1.63 a day, 18 at the push pace. There is no dated arrival, and the next PO is 11-05 for 36 units. Burgundy-New has 76. The size holds 495 units across 16 colours (54 days).</w:t>
      </w:r>
    </w:p>
    <w:p>
      <w:pPr>
        <w:pStyle w:val="ListParagraph"/>
        <w:numPr>
          <w:ilvl w:val="0"/>
          <w:numId w:val="2"/>
        </w:numPr>
        <w:spacing w:after="60"/>
      </w:pPr>
      <w:r>
        <w:rPr>
          <w:b/>
          <w:bCs/>
        </w:rPr>
        <w:t xml:space="preserve">What the deal did here. </w:t>
      </w:r>
      <w:r>
        <w:t xml:space="preserve">09-15 → 09-27: $16 a day, 50 clicks, 4 orders, ACoS 67.9%, CVR 8.0% (21.4% in the 13 days before). Group rank (7-day median) went from 19 to 17.</w:t>
      </w:r>
    </w:p>
    <w:p>
      <w:pPr>
        <w:pStyle w:val="ListParagraph"/>
        <w:numPr>
          <w:ilvl w:val="0"/>
          <w:numId w:val="2"/>
        </w:numPr>
        <w:spacing w:after="60"/>
      </w:pPr>
      <w:r>
        <w:rPr>
          <w:b/>
          <w:bCs/>
        </w:rPr>
        <w:t xml:space="preserve">Keyword ranks (tracker). </w:t>
      </w:r>
      <w:r>
        <w:t xml:space="preserve">“bamboo sheets california king” 4 → 16, “bamboo sheets cal king” 23 → 39, “bamboo sheets california king size” 19 → 30, “california king bamboo sheets” 7 → 10.</w:t>
      </w:r>
    </w:p>
    <w:p>
      <w:pPr>
        <w:spacing w:after="100"/>
      </w:pPr>
      <w:r>
        <w:rPr>
          <w:b/>
          <w:bCs/>
          <w:color w:val="1F3A5F"/>
        </w:rPr>
        <w:t xml:space="preserve">Correction. </w:t>
      </w:r>
      <w:r>
        <w:t xml:space="preserve">Confirm which child the tracker reads for the California King terms before the 15 re-points load. If it reads White, there are two options. Keep the pushed campaigns (288, 374, 462, 526, 571) on White and accept 44 units as the limit of the read. Or move them, and grade the push on Burgundy-New’s sales rather than on the White rank. Name the cause of the fall from 4 to 16 on the head California King term the same day: the rival now ahead, the child, or the listing. Part D asks whether California King belongs in the focus at all.</w:t>
      </w:r>
    </w:p>
    <w:p>
      <w:pPr>
        <w:pStyle w:val="Heading1"/>
      </w:pPr>
      <w:r>
        <w:t xml:space="preserve">A5. Focus terms the run does not push, including the largest one</w:t>
      </w:r>
    </w:p>
    <w:p>
      <w:pPr>
        <w:spacing w:after="100"/>
      </w:pPr>
      <w:r>
        <w:rPr>
          <w:b/>
          <w:bCs/>
          <w:color w:val="1F3A5F"/>
        </w:rPr>
        <w:t xml:space="preserve">The rule. </w:t>
      </w:r>
      <w:r>
        <w:t xml:space="preserve">The focus is a group. Every term in it with a rank gap gets the step or a written reason. A term that lost more than 10 positions is pushed, and its cause is named the same day.</w:t>
      </w:r>
    </w:p>
    <w:p>
      <w:pPr>
        <w:spacing w:after="100"/>
      </w:pPr>
      <w:r>
        <w:rPr>
          <w:b/>
          <w:bCs/>
          <w:color w:val="1F3A5F"/>
        </w:rPr>
        <w:t xml:space="preserve">What the run did. </w:t>
      </w:r>
      <w:r>
        <w:t xml:space="preserve">The Rank tab marks 16 of the 27 focus terms “not pushed this run (tapering / out of the focus)”, because their campaigns are tagged to another group. Nine focus terms lost more than 10 positions in 30 days. No row names a cause for any of them.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500"/>
        <w:gridCol w:w="4272"/>
      </w:tblGrid>
      <w:tr>
        <w:trPr>
          <w:tblHeader/>
        </w:trPr>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Focus term (group)</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Searches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Rank now (30 d ago)</w:t>
            </w:r>
          </w:p>
        </w:tc>
        <w:tc>
          <w:tcPr>
            <w:tcW w:type="dxa" w:w="4272"/>
            <w:shd w:fill="1F3A5F" w:color="auto" w:val="clear"/>
            <w:tcMar>
              <w:top w:type="dxa" w:w="40"/>
              <w:left w:type="dxa" w:w="70"/>
              <w:bottom w:type="dxa" w:w="40"/>
              <w:right w:type="dxa" w:w="70"/>
            </w:tcMar>
          </w:tcPr>
          <w:p>
            <w:pPr>
              <w:spacing w:after="0"/>
            </w:pPr>
            <w:r>
              <w:rPr>
                <w:b/>
                <w:bCs/>
                <w:color w:val="FFFFFF"/>
                <w:sz w:val="17"/>
                <w:szCs w:val="17"/>
              </w:rPr>
              <w:t xml:space="preserve">What the run does</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 cooling sheets queen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2,271</w:t>
            </w:r>
          </w:p>
        </w:tc>
        <w:tc>
          <w:tcPr>
            <w:tcW w:type="dxa" w:w="1500"/>
            <w:shd w:fill="FFFFFF" w:color="auto" w:val="clear"/>
            <w:tcMar>
              <w:top w:type="dxa" w:w="40"/>
              <w:left w:type="dxa" w:w="70"/>
              <w:bottom w:type="dxa" w:w="40"/>
              <w:right w:type="dxa" w:w="70"/>
            </w:tcMar>
          </w:tcPr>
          <w:p>
            <w:pPr>
              <w:spacing w:after="0"/>
            </w:pPr>
            <w:r>
              <w:rPr>
                <w:sz w:val="17"/>
                <w:szCs w:val="17"/>
              </w:rPr>
              <w:t xml:space="preserve">52 (23)</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queen bed sheets cooling (Bamboo|Cooling)</w:t>
            </w:r>
          </w:p>
        </w:tc>
        <w:tc>
          <w:tcPr>
            <w:tcW w:type="dxa" w:w="1000"/>
            <w:shd w:fill="F2F5F9" w:color="auto" w:val="clear"/>
            <w:tcMar>
              <w:top w:type="dxa" w:w="40"/>
              <w:left w:type="dxa" w:w="70"/>
              <w:bottom w:type="dxa" w:w="40"/>
              <w:right w:type="dxa" w:w="70"/>
            </w:tcMar>
          </w:tcPr>
          <w:p>
            <w:pPr>
              <w:spacing w:after="0"/>
            </w:pPr>
            <w:r>
              <w:rPr>
                <w:sz w:val="17"/>
                <w:szCs w:val="17"/>
              </w:rPr>
              <w:t xml:space="preserve">649</w:t>
            </w:r>
          </w:p>
        </w:tc>
        <w:tc>
          <w:tcPr>
            <w:tcW w:type="dxa" w:w="1500"/>
            <w:shd w:fill="F2F5F9" w:color="auto" w:val="clear"/>
            <w:tcMar>
              <w:top w:type="dxa" w:w="40"/>
              <w:left w:type="dxa" w:w="70"/>
              <w:bottom w:type="dxa" w:w="40"/>
              <w:right w:type="dxa" w:w="70"/>
            </w:tcMar>
          </w:tcPr>
          <w:p>
            <w:pPr>
              <w:spacing w:after="0"/>
            </w:pPr>
            <w:r>
              <w:rPr>
                <w:sz w:val="17"/>
                <w:szCs w:val="17"/>
              </w:rPr>
              <w:t xml:space="preserve">61 (42)</w:t>
            </w:r>
          </w:p>
        </w:tc>
        <w:tc>
          <w:tcPr>
            <w:tcW w:type="dxa" w:w="4272"/>
            <w:shd w:fill="F2F5F9" w:color="auto" w:val="clear"/>
            <w:tcMar>
              <w:top w:type="dxa" w:w="40"/>
              <w:left w:type="dxa" w:w="70"/>
              <w:bottom w:type="dxa" w:w="40"/>
              <w:right w:type="dxa" w:w="70"/>
            </w:tcMar>
          </w:tcPr>
          <w:p>
            <w:pPr>
              <w:spacing w:after="0"/>
            </w:pPr>
            <w:r>
              <w:rPr>
                <w:sz w:val="17"/>
                <w:szCs w:val="17"/>
              </w:rPr>
              <w:t xml:space="preserve">retag sweep 2252: +9% modifier, +25% base</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 sheets bamboo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580</w:t>
            </w:r>
          </w:p>
        </w:tc>
        <w:tc>
          <w:tcPr>
            <w:tcW w:type="dxa" w:w="1500"/>
            <w:shd w:fill="FFFFFF" w:color="auto" w:val="clear"/>
            <w:tcMar>
              <w:top w:type="dxa" w:w="40"/>
              <w:left w:type="dxa" w:w="70"/>
              <w:bottom w:type="dxa" w:w="40"/>
              <w:right w:type="dxa" w:w="70"/>
            </w:tcMar>
          </w:tcPr>
          <w:p>
            <w:pPr>
              <w:spacing w:after="0"/>
            </w:pPr>
            <w:r>
              <w:rPr>
                <w:sz w:val="17"/>
                <w:szCs w:val="17"/>
              </w:rPr>
              <w:t xml:space="preserve">45 (28)</w:t>
            </w:r>
          </w:p>
        </w:tc>
        <w:tc>
          <w:tcPr>
            <w:tcW w:type="dxa" w:w="4272"/>
            <w:shd w:fill="FFFFFF" w:color="auto" w:val="clear"/>
            <w:tcMar>
              <w:top w:type="dxa" w:w="40"/>
              <w:left w:type="dxa" w:w="70"/>
              <w:bottom w:type="dxa" w:w="40"/>
              <w:right w:type="dxa" w:w="70"/>
            </w:tcMar>
          </w:tcPr>
          <w:p>
            <w:pPr>
              <w:spacing w:after="0"/>
            </w:pPr>
            <w:r>
              <w:rPr>
                <w:sz w:val="17"/>
                <w:szCs w:val="17"/>
              </w:rPr>
              <w:t xml:space="preserve">retag sweep 2243: +9% modifier, +25% base</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 king (Cal King)</w:t>
            </w:r>
          </w:p>
        </w:tc>
        <w:tc>
          <w:tcPr>
            <w:tcW w:type="dxa" w:w="1000"/>
            <w:shd w:fill="F2F5F9" w:color="auto" w:val="clear"/>
            <w:tcMar>
              <w:top w:type="dxa" w:w="40"/>
              <w:left w:type="dxa" w:w="70"/>
              <w:bottom w:type="dxa" w:w="40"/>
              <w:right w:type="dxa" w:w="70"/>
            </w:tcMar>
          </w:tcPr>
          <w:p>
            <w:pPr>
              <w:spacing w:after="0"/>
            </w:pPr>
            <w:r>
              <w:rPr>
                <w:sz w:val="17"/>
                <w:szCs w:val="17"/>
              </w:rPr>
              <w:t xml:space="preserve">529</w:t>
            </w:r>
          </w:p>
        </w:tc>
        <w:tc>
          <w:tcPr>
            <w:tcW w:type="dxa" w:w="1500"/>
            <w:shd w:fill="F2F5F9" w:color="auto" w:val="clear"/>
            <w:tcMar>
              <w:top w:type="dxa" w:w="40"/>
              <w:left w:type="dxa" w:w="70"/>
              <w:bottom w:type="dxa" w:w="40"/>
              <w:right w:type="dxa" w:w="70"/>
            </w:tcMar>
          </w:tcPr>
          <w:p>
            <w:pPr>
              <w:spacing w:after="0"/>
            </w:pPr>
            <w:r>
              <w:rPr>
                <w:sz w:val="17"/>
                <w:szCs w:val="17"/>
              </w:rPr>
              <w:t xml:space="preserve">39 (23)</w:t>
            </w:r>
          </w:p>
        </w:tc>
        <w:tc>
          <w:tcPr>
            <w:tcW w:type="dxa" w:w="4272"/>
            <w:shd w:fill="F2F5F9" w:color="auto" w:val="clear"/>
            <w:tcMar>
              <w:top w:type="dxa" w:w="40"/>
              <w:left w:type="dxa" w:w="70"/>
              <w:bottom w:type="dxa" w:w="40"/>
              <w:right w:type="dxa" w:w="70"/>
            </w:tcMar>
          </w:tcPr>
          <w:p>
            <w:pPr>
              <w:spacing w:after="0"/>
            </w:pPr>
            <w:r>
              <w:rPr>
                <w:sz w:val="17"/>
                <w:szCs w:val="17"/>
              </w:rPr>
              <w:t xml:space="preserve">Rank tab: not pushed; row 374 raises it +16%</w:t>
            </w:r>
          </w:p>
        </w:tc>
      </w:tr>
      <w:tr>
        <w:tc>
          <w:tcPr>
            <w:tcW w:type="dxa" w:w="3200"/>
            <w:shd w:fill="FFFFFF" w:color="auto" w:val="clear"/>
            <w:tcMar>
              <w:top w:type="dxa" w:w="40"/>
              <w:left w:type="dxa" w:w="70"/>
              <w:bottom w:type="dxa" w:w="40"/>
              <w:right w:type="dxa" w:w="70"/>
            </w:tcMar>
          </w:tcPr>
          <w:p>
            <w:pPr>
              <w:spacing w:after="0"/>
            </w:pPr>
            <w:r>
              <w:rPr>
                <w:sz w:val="17"/>
                <w:szCs w:val="17"/>
              </w:rPr>
              <w:t xml:space="preserve">king size bamboo sheet sets cooling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311</w:t>
            </w:r>
          </w:p>
        </w:tc>
        <w:tc>
          <w:tcPr>
            <w:tcW w:type="dxa" w:w="1500"/>
            <w:shd w:fill="FFFFFF" w:color="auto" w:val="clear"/>
            <w:tcMar>
              <w:top w:type="dxa" w:w="40"/>
              <w:left w:type="dxa" w:w="70"/>
              <w:bottom w:type="dxa" w:w="40"/>
              <w:right w:type="dxa" w:w="70"/>
            </w:tcMar>
          </w:tcPr>
          <w:p>
            <w:pPr>
              <w:spacing w:after="0"/>
            </w:pPr>
            <w:r>
              <w:rPr>
                <w:sz w:val="17"/>
                <w:szCs w:val="17"/>
              </w:rPr>
              <w:t xml:space="preserve">41 (27)</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california king (Cal King)</w:t>
            </w:r>
          </w:p>
        </w:tc>
        <w:tc>
          <w:tcPr>
            <w:tcW w:type="dxa" w:w="1000"/>
            <w:shd w:fill="F2F5F9" w:color="auto" w:val="clear"/>
            <w:tcMar>
              <w:top w:type="dxa" w:w="40"/>
              <w:left w:type="dxa" w:w="70"/>
              <w:bottom w:type="dxa" w:w="40"/>
              <w:right w:type="dxa" w:w="70"/>
            </w:tcMar>
          </w:tcPr>
          <w:p>
            <w:pPr>
              <w:spacing w:after="0"/>
            </w:pPr>
            <w:r>
              <w:rPr>
                <w:sz w:val="17"/>
                <w:szCs w:val="17"/>
              </w:rPr>
              <w:t xml:space="preserve">1,671</w:t>
            </w:r>
          </w:p>
        </w:tc>
        <w:tc>
          <w:tcPr>
            <w:tcW w:type="dxa" w:w="1500"/>
            <w:shd w:fill="F2F5F9" w:color="auto" w:val="clear"/>
            <w:tcMar>
              <w:top w:type="dxa" w:w="40"/>
              <w:left w:type="dxa" w:w="70"/>
              <w:bottom w:type="dxa" w:w="40"/>
              <w:right w:type="dxa" w:w="70"/>
            </w:tcMar>
          </w:tcPr>
          <w:p>
            <w:pPr>
              <w:spacing w:after="0"/>
            </w:pPr>
            <w:r>
              <w:rPr>
                <w:sz w:val="17"/>
                <w:szCs w:val="17"/>
              </w:rPr>
              <w:t xml:space="preserve">16 (4)</w:t>
            </w:r>
          </w:p>
        </w:tc>
        <w:tc>
          <w:tcPr>
            <w:tcW w:type="dxa" w:w="4272"/>
            <w:shd w:fill="F2F5F9" w:color="auto" w:val="clear"/>
            <w:tcMar>
              <w:top w:type="dxa" w:w="40"/>
              <w:left w:type="dxa" w:w="70"/>
              <w:bottom w:type="dxa" w:w="40"/>
              <w:right w:type="dxa" w:w="70"/>
            </w:tcMar>
          </w:tcPr>
          <w:p>
            <w:pPr>
              <w:spacing w:after="0"/>
            </w:pPr>
            <w:r>
              <w:rPr>
                <w:sz w:val="17"/>
                <w:szCs w:val="17"/>
              </w:rPr>
              <w:t xml:space="preserve">dose 288 (A2)</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 bamboo sheets queen size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1,216</w:t>
            </w:r>
          </w:p>
        </w:tc>
        <w:tc>
          <w:tcPr>
            <w:tcW w:type="dxa" w:w="1500"/>
            <w:shd w:fill="FFFFFF" w:color="auto" w:val="clear"/>
            <w:tcMar>
              <w:top w:type="dxa" w:w="40"/>
              <w:left w:type="dxa" w:w="70"/>
              <w:bottom w:type="dxa" w:w="40"/>
              <w:right w:type="dxa" w:w="70"/>
            </w:tcMar>
          </w:tcPr>
          <w:p>
            <w:pPr>
              <w:spacing w:after="0"/>
            </w:pPr>
            <w:r>
              <w:rPr>
                <w:sz w:val="17"/>
                <w:szCs w:val="17"/>
              </w:rPr>
              <w:t xml:space="preserve">55 (43)</w:t>
            </w:r>
          </w:p>
        </w:tc>
        <w:tc>
          <w:tcPr>
            <w:tcW w:type="dxa" w:w="4272"/>
            <w:shd w:fill="FFFFFF" w:color="auto" w:val="clear"/>
            <w:tcMar>
              <w:top w:type="dxa" w:w="40"/>
              <w:left w:type="dxa" w:w="70"/>
              <w:bottom w:type="dxa" w:w="40"/>
              <w:right w:type="dxa" w:w="70"/>
            </w:tcMar>
          </w:tcPr>
          <w:p>
            <w:pPr>
              <w:spacing w:after="0"/>
            </w:pPr>
            <w:r>
              <w:rPr>
                <w:sz w:val="17"/>
                <w:szCs w:val="17"/>
              </w:rPr>
              <w:t xml:space="preserve">Rank tab: not pushed; row 1002 raises it (A3)</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 sheets california king size (Cal King)</w:t>
            </w:r>
          </w:p>
        </w:tc>
        <w:tc>
          <w:tcPr>
            <w:tcW w:type="dxa" w:w="1000"/>
            <w:shd w:fill="F2F5F9" w:color="auto" w:val="clear"/>
            <w:tcMar>
              <w:top w:type="dxa" w:w="40"/>
              <w:left w:type="dxa" w:w="70"/>
              <w:bottom w:type="dxa" w:w="40"/>
              <w:right w:type="dxa" w:w="70"/>
            </w:tcMar>
          </w:tcPr>
          <w:p>
            <w:pPr>
              <w:spacing w:after="0"/>
            </w:pPr>
            <w:r>
              <w:rPr>
                <w:sz w:val="17"/>
                <w:szCs w:val="17"/>
              </w:rPr>
              <w:t xml:space="preserve">491</w:t>
            </w:r>
          </w:p>
        </w:tc>
        <w:tc>
          <w:tcPr>
            <w:tcW w:type="dxa" w:w="1500"/>
            <w:shd w:fill="F2F5F9" w:color="auto" w:val="clear"/>
            <w:tcMar>
              <w:top w:type="dxa" w:w="40"/>
              <w:left w:type="dxa" w:w="70"/>
              <w:bottom w:type="dxa" w:w="40"/>
              <w:right w:type="dxa" w:w="70"/>
            </w:tcMar>
          </w:tcPr>
          <w:p>
            <w:pPr>
              <w:spacing w:after="0"/>
            </w:pPr>
            <w:r>
              <w:rPr>
                <w:sz w:val="17"/>
                <w:szCs w:val="17"/>
              </w:rPr>
              <w:t xml:space="preserve">30 (19)</w:t>
            </w:r>
          </w:p>
        </w:tc>
        <w:tc>
          <w:tcPr>
            <w:tcW w:type="dxa" w:w="4272"/>
            <w:shd w:fill="F2F5F9" w:color="auto" w:val="clear"/>
            <w:tcMar>
              <w:top w:type="dxa" w:w="40"/>
              <w:left w:type="dxa" w:w="70"/>
              <w:bottom w:type="dxa" w:w="40"/>
              <w:right w:type="dxa" w:w="70"/>
            </w:tcMar>
          </w:tcPr>
          <w:p>
            <w:pPr>
              <w:spacing w:after="0"/>
            </w:pPr>
            <w:r>
              <w:rPr>
                <w:sz w:val="17"/>
                <w:szCs w:val="17"/>
              </w:rPr>
              <w:t xml:space="preserve">nothing: not pushed</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 cooling queen sheets (Bamboo|Cooling)</w:t>
            </w:r>
          </w:p>
        </w:tc>
        <w:tc>
          <w:tcPr>
            <w:tcW w:type="dxa" w:w="1000"/>
            <w:shd w:fill="FFFFFF" w:color="auto" w:val="clear"/>
            <w:tcMar>
              <w:top w:type="dxa" w:w="40"/>
              <w:left w:type="dxa" w:w="70"/>
              <w:bottom w:type="dxa" w:w="40"/>
              <w:right w:type="dxa" w:w="70"/>
            </w:tcMar>
          </w:tcPr>
          <w:p>
            <w:pPr>
              <w:spacing w:after="0"/>
            </w:pPr>
            <w:r>
              <w:rPr>
                <w:sz w:val="17"/>
                <w:szCs w:val="17"/>
              </w:rPr>
              <w:t xml:space="preserve">522</w:t>
            </w:r>
          </w:p>
        </w:tc>
        <w:tc>
          <w:tcPr>
            <w:tcW w:type="dxa" w:w="1500"/>
            <w:shd w:fill="FFFFFF" w:color="auto" w:val="clear"/>
            <w:tcMar>
              <w:top w:type="dxa" w:w="40"/>
              <w:left w:type="dxa" w:w="70"/>
              <w:bottom w:type="dxa" w:w="40"/>
              <w:right w:type="dxa" w:w="70"/>
            </w:tcMar>
          </w:tcPr>
          <w:p>
            <w:pPr>
              <w:spacing w:after="0"/>
            </w:pPr>
            <w:r>
              <w:rPr>
                <w:sz w:val="17"/>
                <w:szCs w:val="17"/>
              </w:rPr>
              <w:t xml:space="preserve">56 (45)</w:t>
            </w:r>
          </w:p>
        </w:tc>
        <w:tc>
          <w:tcPr>
            <w:tcW w:type="dxa" w:w="4272"/>
            <w:shd w:fill="FFFFFF" w:color="auto" w:val="clear"/>
            <w:tcMar>
              <w:top w:type="dxa" w:w="40"/>
              <w:left w:type="dxa" w:w="70"/>
              <w:bottom w:type="dxa" w:w="40"/>
              <w:right w:type="dxa" w:w="70"/>
            </w:tcMar>
          </w:tcPr>
          <w:p>
            <w:pPr>
              <w:spacing w:after="0"/>
            </w:pPr>
            <w:r>
              <w:rPr>
                <w:sz w:val="17"/>
                <w:szCs w:val="17"/>
              </w:rPr>
              <w:t xml:space="preserve">nothing: not pushed</w:t>
            </w:r>
          </w:p>
        </w:tc>
      </w:tr>
    </w:tbl>
    <w:p>
      <w:pPr>
        <w:spacing w:after="40"/>
      </w:pPr>
    </w:p>
    <w:p>
      <w:pPr>
        <w:spacing w:after="100"/>
      </w:pPr>
      <w:r>
        <w:rPr>
          <w:b/>
          <w:bCs/>
        </w:rPr>
        <w:t xml:space="preserve">Bamboo Cooling Sheets-(MSV)-Exact-(Ranking)-DO-BAMBOO-QUEEN-WHITE</w:t>
      </w:r>
      <w:r>
        <w:t xml:space="preserve"> — the only campaign on “bamboo cooling sheets”, the largest focus term (8,166 searches, rank 30 from 36). 90 days: 418 clicks, 42 orders; $415 in the last 14 days on a $40 budget. The run raises the modifier 718% → 818% (31) and trims the base (34). The review held both on open record 2150 (the 09-15 raise, behind on rank with its traffic delivered) and on the previous review’s hold of the same move. We agree with the hold. It leaves the focus’s head term with no move this run, and the campaign keeps advertising BAMBOO-QUEEN-WHITE for a term that names no size. It is not among the Queen re-points.</w:t>
      </w:r>
    </w:p>
    <w:p>
      <w:pPr>
        <w:spacing w:after="100"/>
      </w:pPr>
      <w:r>
        <w:rPr>
          <w:b/>
          <w:bCs/>
          <w:color w:val="1F3A5F"/>
        </w:rPr>
        <w:t xml:space="preserve">Correction. </w:t>
      </w:r>
      <w:r>
        <w:t xml:space="preserve">Write the focus term list with each term’s owning campaign. Step each short term by the delivery gap or write down why not, and name the causes of the nine falls. Re-point 31’s ad to a serving child with room (the review’s choice for this term’s brand ads is BAMBOO-KING-CREME), and read record 2150 at the 10-02 checkpoint before re-proposing its price.</w:t>
      </w:r>
    </w:p>
    <w:p>
      <w:pPr>
        <w:pStyle w:val="Heading1"/>
      </w:pPr>
      <w:r>
        <w:t xml:space="preserve">Part B — Out of focus: the taper</w:t>
      </w:r>
    </w:p>
    <w:p>
      <w:pPr>
        <w:pStyle w:val="Heading1"/>
      </w:pPr>
      <w:r>
        <w:t xml:space="preserve">B1. The flagship “Bamboo Sheets” campaign: held at deal spend, its decision left in a hold row</w:t>
      </w:r>
    </w:p>
    <w:p>
      <w:pPr>
        <w:spacing w:after="100"/>
      </w:pPr>
      <w:r>
        <w:rPr>
          <w:b/>
          <w:bCs/>
          <w:color w:val="1F3A5F"/>
        </w:rPr>
        <w:t xml:space="preserve">The rule. </w:t>
      </w:r>
      <w:r>
        <w:t xml:space="preserve">After the deal (21 September document), a campaign short of its requirement does not keep climbing. It steps down toward break-even over two writes four days apart, unless its 7-day rank has reached the target range. The run’s own taper is one −10% rung per run, starting with the modifier.</w:t>
      </w:r>
    </w:p>
    <w:p>
      <w:pPr>
        <w:spacing w:after="100"/>
      </w:pPr>
      <w:r>
        <w:rPr>
          <w:b/>
          <w:bCs/>
          <w:color w:val="1F3A5F"/>
        </w:rPr>
        <w:t xml:space="preserve">What the run did. </w:t>
      </w:r>
      <w:r>
        <w:t xml:space="preserve">Holds the budget at $340 and the modifier at 299% (considered rows 0 and 1): “the step down is HELD and the money decision is surfaced: release this spend to the focus … or keep the campaign and lift its share. A human decides.” No decision row carries that choice. It is one of 1,988 holds, and the review read none of the engine’s holds (engine_holds_read = 0).</w:t>
      </w:r>
    </w:p>
    <w:p>
      <w:pPr>
        <w:spacing w:after="100"/>
      </w:pPr>
      <w:r>
        <w:rPr>
          <w:b/>
          <w:bCs/>
        </w:rPr>
        <w:t xml:space="preserve">Bamboo Sheets-(VHSV)-Exact-(Ranking)-DO-BAMBOO-KING-WHITE</w:t>
      </w:r>
      <w:r>
        <w:t xml:space="preserve"> — “bamboo sheets”, the product’s largest term (490 plan clicks a week, target 10). $4,463 in the last 14 days, or $319 a day and 29% of the engine’s spend baseline. 90 days on the target: 1,155 clicks, 131 orders. The run reads delivery as 79 top-of-search clicks a week, which is a 90-day average; in the deal it took about 331 a week (21 September document, D5). Top-of-search impression share is 3.3%. The Bamboo group in the deal: $937 a day, ACoS 50.3% (33.8% before), CVR 10.7% (13.1%), orders 25.9 a day (17.6), rank 35 → 33. The brief has no current rank for “bamboo sheets” (null), while the campaign’s claim uses 36.</w:t>
      </w:r>
    </w:p>
    <w:p>
      <w:pPr>
        <w:spacing w:after="100"/>
      </w:pPr>
      <w:r>
        <w:rPr>
          <w:b/>
          <w:bCs/>
        </w:rPr>
        <w:t xml:space="preserve">Bamboo Sheets King Size-(HSV)-Exact-(Ranking)-DO-BAMBOO-KING-WHITE</w:t>
      </w:r>
      <w:r>
        <w:t xml:space="preserve"> — “bamboo sheets king size”, 21,541 searches, rank 35 (24 thirty days ago: 11 positions lost). Top-of-search impression share 0.97%. The 21 September corrections pushed it +30%; that was never loaded (modifier still 210%). This run reshapes it instead: base −16% on four targets, modifier 210% → 268%, price held at $4.96. No row names why it fell.</w:t>
      </w:r>
    </w:p>
    <w:p>
      <w:pPr>
        <w:spacing w:after="100"/>
      </w:pPr>
      <w:r>
        <w:rPr>
          <w:b/>
          <w:bCs/>
          <w:color w:val="1F3A5F"/>
        </w:rPr>
        <w:t xml:space="preserve">Correction. </w:t>
      </w:r>
      <w:r>
        <w:t xml:space="preserve">Put the flagship on the owner’s list today (Part D), with both options priced. If the focus stands, take the first taper rung now: modifier 299% → 259% and top of search $7.42 → $6.68, with the $1.86 base held and the budget following next run. Read share, clicks and the Bamboo 7-day rank at 7 days, and restore one step if the median loses more than 3 positions. Don’t leave $319 a day at deal prices with no one deciding. For “bamboo sheets king size”, name the cause of the 11-position fall before the reshape loads.</w:t>
      </w:r>
    </w:p>
    <w:p>
      <w:pPr>
        <w:pStyle w:val="Heading1"/>
      </w:pPr>
      <w:r>
        <w:t xml:space="preserve">B2. Reshapes that ship the modifier without its base half</w:t>
      </w:r>
    </w:p>
    <w:p>
      <w:pPr>
        <w:spacing w:after="100"/>
      </w:pPr>
      <w:r>
        <w:rPr>
          <w:b/>
          <w:bCs/>
          <w:color w:val="1F3A5F"/>
        </w:rPr>
        <w:t xml:space="preserve">The rule. </w:t>
      </w:r>
      <w:r>
        <w:t xml:space="preserve">A reshape moves the base down and re-solves the modifier so the top-of-search price holds to the cent. Out of focus, the price does not climb.</w:t>
      </w:r>
    </w:p>
    <w:p>
      <w:pPr>
        <w:spacing w:after="100"/>
      </w:pPr>
      <w:r>
        <w:rPr>
          <w:b/>
          <w:bCs/>
          <w:color w:val="1F3A5F"/>
        </w:rPr>
        <w:t xml:space="preserve">What the run did. </w:t>
      </w:r>
      <w:r>
        <w:t xml:space="preserve">Recomputed from the export, 13 out-of-focus reshapes hold the price to the cent and six step it down as the taper intends. Four climb instead: 7 ($6.69 → $8.37, +25%, a modifier that doesn’t match the base the row describes), 257 ($5.87 → $6.51), 413 ($4.99 → $5.54) and 493 ($2.67 → $2.96). Each of the last three ships its modifier while the base half is held. 293, in focus, is the same fault. The review caught all five.</w:t>
      </w:r>
    </w:p>
    <w:p>
      <w:pPr>
        <w:spacing w:after="100"/>
      </w:pPr>
      <w:r>
        <w:rPr>
          <w:b/>
          <w:bCs/>
          <w:color w:val="1F3A5F"/>
        </w:rPr>
        <w:t xml:space="preserve">Correction. </w:t>
      </w:r>
      <w:r>
        <w:t xml:space="preserve">Agree with the review. The fault sits in the loader: the modifier row and its base rows load independently, so any held base row turns a price-neutral reshape into a climb. Bind the pair so it loads together or not at all (C8).</w:t>
      </w:r>
    </w:p>
    <w:p>
      <w:pPr>
        <w:pStyle w:val="Heading1"/>
      </w:pPr>
      <w:r>
        <w:t xml:space="preserve">B3. Taper rows on paused campaigns, duplicate rows, and rows the engine marks HOLD</w:t>
      </w:r>
    </w:p>
    <w:p>
      <w:pPr>
        <w:spacing w:after="100"/>
      </w:pPr>
      <w:r>
        <w:rPr>
          <w:b/>
          <w:bCs/>
          <w:color w:val="1F3A5F"/>
        </w:rPr>
        <w:t xml:space="preserve">The rule. </w:t>
      </w:r>
      <w:r>
        <w:t xml:space="preserve">A row loads only if it changes something live, once, and its own gate lets it through.</w:t>
      </w:r>
    </w:p>
    <w:p>
      <w:pPr>
        <w:spacing w:after="100"/>
      </w:pPr>
      <w:r>
        <w:rPr>
          <w:b/>
          <w:bCs/>
          <w:color w:val="1F3A5F"/>
        </w:rPr>
        <w:t xml:space="preserve">What the run did. </w:t>
      </w:r>
      <w:r>
        <w:t xml:space="preserve">Exports 40 rows whose rank claim reads “change → HOLD” (the engine’s own gate: no gradeable rank claim) as changes, and the review passed 39 of them. It also writes 17 rows on three paused campaigns and 11 duplicate bid rows. The 21 September file had 35 such “change → HOLD” rows.</w:t>
      </w:r>
    </w:p>
    <w:p>
      <w:pPr>
        <w:spacing w:after="100"/>
      </w:pPr>
      <w:r>
        <w:rPr>
          <w:b/>
          <w:bCs/>
        </w:rPr>
        <w:t xml:space="preserve">B0CH885XPG-(PAT)-Targeting-(Ranking)-DO-BAMBOO-KING-WHITE</w:t>
      </w:r>
      <w:r>
        <w:t xml:space="preserve"> — 759 clicks, 76 orders in 90 days. Taper rows 71–77 cut six ASIN bids $1.98 → $1.78 and rest of search 40% → 0%. Every row’s claim reads “UNGRADEABLE — no rank observation … change → HOLD”.</w:t>
      </w:r>
    </w:p>
    <w:p>
      <w:pPr>
        <w:spacing w:after="100"/>
      </w:pPr>
      <w:r>
        <w:rPr>
          <w:b/>
          <w:bCs/>
        </w:rPr>
        <w:t xml:space="preserve">Bamboo King Size Sheet-(VLSV)-Exact-(Conversion)-DO-BAMBOO-KING-WHITE</w:t>
      </w:r>
      <w:r>
        <w:t xml:space="preserve"> — PAUSED. Six bid rows (2127–2132) move three keywords $3.00 → $1.73, each twice, plus a modifier cut (2215). The outcome counts the saving.</w:t>
      </w:r>
    </w:p>
    <w:p>
      <w:pPr>
        <w:spacing w:after="100"/>
      </w:pPr>
      <w:r>
        <w:rPr>
          <w:b/>
          <w:bCs/>
        </w:rPr>
        <w:t xml:space="preserve">Extra Deep 20-24 Inch Pocket King Size Bamboo Sheets-[Bamboo|King]-(LSV)-Exact-(Conversion)</w:t>
      </w:r>
      <w:r>
        <w:t xml:space="preserve"> — 2116 and 2117 move the same keyword $3.17 → $1.59, and the outcome counts −$5.72 a day twice: once by target id, once by keyword.</w:t>
      </w:r>
    </w:p>
    <w:p>
      <w:pPr>
        <w:spacing w:after="100"/>
      </w:pPr>
      <w:r>
        <w:rPr>
          <w:b/>
          <w:bCs/>
          <w:color w:val="1F3A5F"/>
        </w:rPr>
        <w:t xml:space="preserve">Correction. </w:t>
      </w:r>
      <w:r>
        <w:t xml:space="preserve">Pull the 40 “change → HOLD” rows (listed in C7), the 17 paused-campaign rows (Bamboo Sheets King Deep Pocket 86–94, Twin Bamboo Sheets Set 156–160, Bamboo King Size Sheet 2127–2132 and 2215), and the second copy of each duplicate (2112–2115, 2117, 2119, 2130–2132, 2134, 2136).</w:t>
      </w:r>
    </w:p>
    <w:p>
      <w:pPr>
        <w:pStyle w:val="Heading1"/>
      </w:pPr>
      <w:r>
        <w:t xml:space="preserve">B4. Rank collapses: frozen correctly, but for some the cause is already known</w:t>
      </w:r>
    </w:p>
    <w:p>
      <w:pPr>
        <w:spacing w:after="100"/>
      </w:pPr>
      <w:r>
        <w:rPr>
          <w:b/>
          <w:bCs/>
          <w:color w:val="1F3A5F"/>
        </w:rPr>
        <w:t xml:space="preserve">The rule. </w:t>
      </w:r>
      <w:r>
        <w:t xml:space="preserve">A collapse has a cause: the listing, a stock-out on the child, a rival’s entry or a suppressed offer. Name it before any lever moves (SOP-24).</w:t>
      </w:r>
    </w:p>
    <w:p>
      <w:pPr>
        <w:spacing w:after="100"/>
      </w:pPr>
      <w:r>
        <w:rPr>
          <w:b/>
          <w:bCs/>
          <w:color w:val="1F3A5F"/>
        </w:rPr>
        <w:t xml:space="preserve">What the run did. </w:t>
      </w:r>
      <w:r>
        <w:t xml:space="preserve">Froze seven campaigns with losses of 31–87 positions (2399–2405). “0 rows held”, because no lever was proposed on them. Two carry child swaps anyway: 2155 (Bamboo Sheets Twin → BAMBOO-TWIN-BURGUNDY-NEW) and 2209 (Sheets Queen Cooling → BAMBOO-QUEEN-OLIVE).</w:t>
      </w:r>
    </w:p>
    <w:p>
      <w:pPr>
        <w:pStyle w:val="ListParagraph"/>
        <w:numPr>
          <w:ilvl w:val="0"/>
          <w:numId w:val="2"/>
        </w:numPr>
        <w:spacing w:after="60"/>
      </w:pPr>
      <w:r>
        <w:rPr>
          <w:b/>
          <w:bCs/>
        </w:rPr>
        <w:t xml:space="preserve">“bamboo sheets twin” 21 → 52. </w:t>
      </w:r>
      <w:r>
        <w:t xml:space="preserve">The Twin hero BAMBOO-TWIN-WHITE is at 0 units (RED). That is the cause, and 2155 is the fix: load it first.</w:t>
      </w:r>
    </w:p>
    <w:p>
      <w:pPr>
        <w:pStyle w:val="ListParagraph"/>
        <w:numPr>
          <w:ilvl w:val="0"/>
          <w:numId w:val="2"/>
        </w:numPr>
        <w:spacing w:after="60"/>
      </w:pPr>
      <w:r>
        <w:rPr>
          <w:b/>
          <w:bCs/>
        </w:rPr>
        <w:t xml:space="preserve">“cooling full size sheets” 47 → 127 and “full bed sheets cooling” 48 → 135 </w:t>
      </w:r>
      <w:r>
        <w:t xml:space="preserve">(Full Light Blue campaigns). The Full hero is also at 0 units; check whether the Light Blue child ran short in the same weeks.</w:t>
      </w:r>
    </w:p>
    <w:p>
      <w:pPr>
        <w:pStyle w:val="ListParagraph"/>
        <w:numPr>
          <w:ilvl w:val="0"/>
          <w:numId w:val="2"/>
        </w:numPr>
        <w:spacing w:after="60"/>
      </w:pPr>
      <w:r>
        <w:rPr>
          <w:b/>
          <w:bCs/>
        </w:rPr>
        <w:t xml:space="preserve">“bed sheets cooling” 64 → 136, “sheets queen cooling” 37 → 85, “cooling fitted sheet full” 84 → 115, “cooling sheets for hot sleepers” 99 → 130. </w:t>
      </w:r>
      <w:r>
        <w:t xml:space="preserve">No stock cause in the brief. Check the listing and the rival now ahead, and hold 2209 until the cause is named.</w:t>
      </w:r>
    </w:p>
    <w:p>
      <w:pPr>
        <w:spacing w:after="100"/>
      </w:pPr>
      <w:r>
        <w:rPr>
          <w:b/>
          <w:bCs/>
          <w:color w:val="1F3A5F"/>
        </w:rPr>
        <w:t xml:space="preserve">Correction. </w:t>
      </w:r>
      <w:r>
        <w:t xml:space="preserve">Name the cause on each and load the Twin swap first. The freeze starts at 30 positions, while the 21 September rule was 10. Out of focus, “bamboo sheets king size” (24 → 35) and “cooling bed sheets” (21 → 35, 12,715 searches) are reshaped or held without a named cause.</w:t>
      </w:r>
    </w:p>
    <w:p>
      <w:pPr>
        <w:pStyle w:val="Heading1"/>
      </w:pPr>
      <w:r>
        <w:t xml:space="preserve">Part C — Across the run</w:t>
      </w:r>
    </w:p>
    <w:p>
      <w:pPr>
        <w:pStyle w:val="Heading1"/>
      </w:pPr>
      <w:r>
        <w:t xml:space="preserve">C1. What the deal and the last corrections did</w:t>
      </w:r>
    </w:p>
    <w:p>
      <w:pPr>
        <w:spacing w:after="100"/>
      </w:pPr>
      <w:r>
        <w:rPr>
          <w:b/>
          <w:bCs/>
          <w:color w:val="1F3A5F"/>
        </w:rPr>
        <w:t xml:space="preserve">The rule. </w:t>
      </w:r>
      <w:r>
        <w:t xml:space="preserve">Every write is a test. Verify what loaded (approved ≠ uploaded), then read what it did before sizing the next one.</w:t>
      </w:r>
    </w:p>
    <w:p>
      <w:pPr>
        <w:spacing w:after="100"/>
      </w:pPr>
      <w:r>
        <w:t xml:space="preserve">The 15/16 September round is the only price move that shows in the account. The effective top-of-search bid went from about $4.40 to $5.50, and top-of-search clicks from 94 to about 150 a day. Nothing moved after that. The second week had the same bid ($5.40) and slightly fewer top-of-search clicks, and product pages grew to match top of search.</w:t>
      </w:r>
    </w:p>
    <w:p>
      <w:pPr>
        <w:spacing w:after="100"/>
      </w:pPr>
      <w:r>
        <w:t xml:space="preserve">None of the 21 September corrections for 09-24 is in the account:</w:t>
      </w:r>
    </w:p>
    <w:p>
      <w:pPr>
        <w:pStyle w:val="ListParagraph"/>
        <w:numPr>
          <w:ilvl w:val="0"/>
          <w:numId w:val="2"/>
        </w:numPr>
        <w:spacing w:after="60"/>
      </w:pPr>
      <w:r>
        <w:t xml:space="preserve">the flagship’s modifier is 299% at this audit (the correction wrote 419%);</w:t>
      </w:r>
    </w:p>
    <w:p>
      <w:pPr>
        <w:pStyle w:val="ListParagraph"/>
        <w:numPr>
          <w:ilvl w:val="0"/>
          <w:numId w:val="2"/>
        </w:numPr>
        <w:spacing w:after="60"/>
      </w:pPr>
      <w:r>
        <w:t xml:space="preserve">“Bamboo Sheets King Size” is at 210% (437%);</w:t>
      </w:r>
    </w:p>
    <w:p>
      <w:pPr>
        <w:pStyle w:val="ListParagraph"/>
        <w:numPr>
          <w:ilvl w:val="0"/>
          <w:numId w:val="2"/>
        </w:numPr>
        <w:spacing w:after="60"/>
      </w:pPr>
      <w:r>
        <w:t xml:space="preserve">“Bamboo Sheets Queen Size” is still on dynamic up-and-down bidding (the correction: fixed bids near $12).</w:t>
      </w:r>
    </w:p>
    <w:p>
      <w:pPr>
        <w:spacing w:after="100"/>
      </w:pPr>
      <w:r>
        <w:t xml:space="preserve">The 19 September review’s correction on “Cal King Bamboo Sheets” (276% → 389%) was not loaded either: the modifier is 276% today, and this run proposes 421%. The brief’s “previous run” is the 19 September run, and the 21 September run is not on record at all.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200"/>
        <w:gridCol w:w="1350"/>
        <w:gridCol w:w="1350"/>
        <w:gridCol w:w="1350"/>
        <w:gridCol w:w="1350"/>
        <w:gridCol w:w="1372"/>
      </w:tblGrid>
      <w:tr>
        <w:trPr>
          <w:tblHeader/>
        </w:trPr>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Group (7-day median organic rank)</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30 Aug</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14 Sep (deal start)</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21 Sep</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28 Sep (deal end)</w:t>
            </w:r>
          </w:p>
        </w:tc>
        <w:tc>
          <w:tcPr>
            <w:tcW w:type="dxa" w:w="1372"/>
            <w:shd w:fill="1F3A5F" w:color="auto" w:val="clear"/>
            <w:tcMar>
              <w:top w:type="dxa" w:w="40"/>
              <w:left w:type="dxa" w:w="70"/>
              <w:bottom w:type="dxa" w:w="40"/>
              <w:right w:type="dxa" w:w="70"/>
            </w:tcMar>
          </w:tcPr>
          <w:p>
            <w:pPr>
              <w:spacing w:after="0"/>
            </w:pPr>
            <w:r>
              <w:rPr>
                <w:b/>
                <w:bCs/>
                <w:color w:val="FFFFFF"/>
                <w:sz w:val="17"/>
                <w:szCs w:val="17"/>
              </w:rPr>
              <w:t xml:space="preserve">Deal move</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w:t>
            </w:r>
          </w:p>
        </w:tc>
        <w:tc>
          <w:tcPr>
            <w:tcW w:type="dxa" w:w="1350"/>
            <w:shd w:fill="FFFFFF" w:color="auto" w:val="clear"/>
            <w:tcMar>
              <w:top w:type="dxa" w:w="40"/>
              <w:left w:type="dxa" w:w="70"/>
              <w:bottom w:type="dxa" w:w="40"/>
              <w:right w:type="dxa" w:w="70"/>
            </w:tcMar>
          </w:tcPr>
          <w:p>
            <w:pPr>
              <w:spacing w:after="0"/>
            </w:pPr>
            <w:r>
              <w:rPr>
                <w:sz w:val="17"/>
                <w:szCs w:val="17"/>
              </w:rPr>
              <w:t xml:space="preserve">31</w:t>
            </w:r>
          </w:p>
        </w:tc>
        <w:tc>
          <w:tcPr>
            <w:tcW w:type="dxa" w:w="1350"/>
            <w:shd w:fill="FFFFFF" w:color="auto" w:val="clear"/>
            <w:tcMar>
              <w:top w:type="dxa" w:w="40"/>
              <w:left w:type="dxa" w:w="70"/>
              <w:bottom w:type="dxa" w:w="40"/>
              <w:right w:type="dxa" w:w="70"/>
            </w:tcMar>
          </w:tcPr>
          <w:p>
            <w:pPr>
              <w:spacing w:after="0"/>
            </w:pPr>
            <w:r>
              <w:rPr>
                <w:sz w:val="17"/>
                <w:szCs w:val="17"/>
              </w:rPr>
              <w:t xml:space="preserve">35</w:t>
            </w:r>
          </w:p>
        </w:tc>
        <w:tc>
          <w:tcPr>
            <w:tcW w:type="dxa" w:w="1350"/>
            <w:shd w:fill="FFFFFF" w:color="auto" w:val="clear"/>
            <w:tcMar>
              <w:top w:type="dxa" w:w="40"/>
              <w:left w:type="dxa" w:w="70"/>
              <w:bottom w:type="dxa" w:w="40"/>
              <w:right w:type="dxa" w:w="70"/>
            </w:tcMar>
          </w:tcPr>
          <w:p>
            <w:pPr>
              <w:spacing w:after="0"/>
            </w:pPr>
            <w:r>
              <w:rPr>
                <w:sz w:val="17"/>
                <w:szCs w:val="17"/>
              </w:rPr>
              <w:t xml:space="preserve">34</w:t>
            </w:r>
          </w:p>
        </w:tc>
        <w:tc>
          <w:tcPr>
            <w:tcW w:type="dxa" w:w="1350"/>
            <w:shd w:fill="FFFFFF" w:color="auto" w:val="clear"/>
            <w:tcMar>
              <w:top w:type="dxa" w:w="40"/>
              <w:left w:type="dxa" w:w="70"/>
              <w:bottom w:type="dxa" w:w="40"/>
              <w:right w:type="dxa" w:w="70"/>
            </w:tcMar>
          </w:tcPr>
          <w:p>
            <w:pPr>
              <w:spacing w:after="0"/>
            </w:pPr>
            <w:r>
              <w:rPr>
                <w:sz w:val="17"/>
                <w:szCs w:val="17"/>
              </w:rPr>
              <w:t xml:space="preserve">33</w:t>
            </w:r>
          </w:p>
        </w:tc>
        <w:tc>
          <w:tcPr>
            <w:tcW w:type="dxa" w:w="1372"/>
            <w:shd w:fill="FFFFFF" w:color="auto" w:val="clear"/>
            <w:tcMar>
              <w:top w:type="dxa" w:w="40"/>
              <w:left w:type="dxa" w:w="70"/>
              <w:bottom w:type="dxa" w:w="40"/>
              <w:right w:type="dxa" w:w="70"/>
            </w:tcMar>
          </w:tcPr>
          <w:p>
            <w:pPr>
              <w:spacing w:after="0"/>
            </w:pPr>
            <w:r>
              <w:rPr>
                <w:sz w:val="17"/>
                <w:szCs w:val="17"/>
              </w:rPr>
              <w:t xml:space="preserve">+2</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Bamboo|Queen</w:t>
            </w:r>
          </w:p>
        </w:tc>
        <w:tc>
          <w:tcPr>
            <w:tcW w:type="dxa" w:w="1350"/>
            <w:shd w:fill="F2F5F9" w:color="auto" w:val="clear"/>
            <w:tcMar>
              <w:top w:type="dxa" w:w="40"/>
              <w:left w:type="dxa" w:w="70"/>
              <w:bottom w:type="dxa" w:w="40"/>
              <w:right w:type="dxa" w:w="70"/>
            </w:tcMar>
          </w:tcPr>
          <w:p>
            <w:pPr>
              <w:spacing w:after="0"/>
            </w:pPr>
            <w:r>
              <w:rPr>
                <w:sz w:val="17"/>
                <w:szCs w:val="17"/>
              </w:rPr>
              <w:t xml:space="preserve">39</w:t>
            </w:r>
          </w:p>
        </w:tc>
        <w:tc>
          <w:tcPr>
            <w:tcW w:type="dxa" w:w="1350"/>
            <w:shd w:fill="F2F5F9" w:color="auto" w:val="clear"/>
            <w:tcMar>
              <w:top w:type="dxa" w:w="40"/>
              <w:left w:type="dxa" w:w="70"/>
              <w:bottom w:type="dxa" w:w="40"/>
              <w:right w:type="dxa" w:w="70"/>
            </w:tcMar>
          </w:tcPr>
          <w:p>
            <w:pPr>
              <w:spacing w:after="0"/>
            </w:pPr>
            <w:r>
              <w:rPr>
                <w:sz w:val="17"/>
                <w:szCs w:val="17"/>
              </w:rPr>
              <w:t xml:space="preserve">44</w:t>
            </w:r>
          </w:p>
        </w:tc>
        <w:tc>
          <w:tcPr>
            <w:tcW w:type="dxa" w:w="1350"/>
            <w:shd w:fill="F2F5F9" w:color="auto" w:val="clear"/>
            <w:tcMar>
              <w:top w:type="dxa" w:w="40"/>
              <w:left w:type="dxa" w:w="70"/>
              <w:bottom w:type="dxa" w:w="40"/>
              <w:right w:type="dxa" w:w="70"/>
            </w:tcMar>
          </w:tcPr>
          <w:p>
            <w:pPr>
              <w:spacing w:after="0"/>
            </w:pPr>
            <w:r>
              <w:rPr>
                <w:sz w:val="17"/>
                <w:szCs w:val="17"/>
              </w:rPr>
              <w:t xml:space="preserve">43</w:t>
            </w:r>
          </w:p>
        </w:tc>
        <w:tc>
          <w:tcPr>
            <w:tcW w:type="dxa" w:w="1350"/>
            <w:shd w:fill="F2F5F9" w:color="auto" w:val="clear"/>
            <w:tcMar>
              <w:top w:type="dxa" w:w="40"/>
              <w:left w:type="dxa" w:w="70"/>
              <w:bottom w:type="dxa" w:w="40"/>
              <w:right w:type="dxa" w:w="70"/>
            </w:tcMar>
          </w:tcPr>
          <w:p>
            <w:pPr>
              <w:spacing w:after="0"/>
            </w:pPr>
            <w:r>
              <w:rPr>
                <w:sz w:val="17"/>
                <w:szCs w:val="17"/>
              </w:rPr>
              <w:t xml:space="preserve">43</w:t>
            </w:r>
          </w:p>
        </w:tc>
        <w:tc>
          <w:tcPr>
            <w:tcW w:type="dxa" w:w="1372"/>
            <w:shd w:fill="F2F5F9" w:color="auto" w:val="clear"/>
            <w:tcMar>
              <w:top w:type="dxa" w:w="40"/>
              <w:left w:type="dxa" w:w="70"/>
              <w:bottom w:type="dxa" w:w="40"/>
              <w:right w:type="dxa" w:w="70"/>
            </w:tcMar>
          </w:tcPr>
          <w:p>
            <w:pPr>
              <w:spacing w:after="0"/>
            </w:pPr>
            <w:r>
              <w:rPr>
                <w:sz w:val="17"/>
                <w:szCs w:val="17"/>
              </w:rPr>
              <w:t xml:space="preserve">+1</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Bamboo|King</w:t>
            </w:r>
          </w:p>
        </w:tc>
        <w:tc>
          <w:tcPr>
            <w:tcW w:type="dxa" w:w="1350"/>
            <w:shd w:fill="FFFFFF" w:color="auto" w:val="clear"/>
            <w:tcMar>
              <w:top w:type="dxa" w:w="40"/>
              <w:left w:type="dxa" w:w="70"/>
              <w:bottom w:type="dxa" w:w="40"/>
              <w:right w:type="dxa" w:w="70"/>
            </w:tcMar>
          </w:tcPr>
          <w:p>
            <w:pPr>
              <w:spacing w:after="0"/>
            </w:pPr>
            <w:r>
              <w:rPr>
                <w:sz w:val="17"/>
                <w:szCs w:val="17"/>
              </w:rPr>
              <w:t xml:space="preserve">29</w:t>
            </w:r>
          </w:p>
        </w:tc>
        <w:tc>
          <w:tcPr>
            <w:tcW w:type="dxa" w:w="1350"/>
            <w:shd w:fill="FFFFFF" w:color="auto" w:val="clear"/>
            <w:tcMar>
              <w:top w:type="dxa" w:w="40"/>
              <w:left w:type="dxa" w:w="70"/>
              <w:bottom w:type="dxa" w:w="40"/>
              <w:right w:type="dxa" w:w="70"/>
            </w:tcMar>
          </w:tcPr>
          <w:p>
            <w:pPr>
              <w:spacing w:after="0"/>
            </w:pPr>
            <w:r>
              <w:rPr>
                <w:sz w:val="17"/>
                <w:szCs w:val="17"/>
              </w:rPr>
              <w:t xml:space="preserve">31</w:t>
            </w:r>
          </w:p>
        </w:tc>
        <w:tc>
          <w:tcPr>
            <w:tcW w:type="dxa" w:w="1350"/>
            <w:shd w:fill="FFFFFF" w:color="auto" w:val="clear"/>
            <w:tcMar>
              <w:top w:type="dxa" w:w="40"/>
              <w:left w:type="dxa" w:w="70"/>
              <w:bottom w:type="dxa" w:w="40"/>
              <w:right w:type="dxa" w:w="70"/>
            </w:tcMar>
          </w:tcPr>
          <w:p>
            <w:pPr>
              <w:spacing w:after="0"/>
            </w:pPr>
            <w:r>
              <w:rPr>
                <w:sz w:val="17"/>
                <w:szCs w:val="17"/>
              </w:rPr>
              <w:t xml:space="preserve">26</w:t>
            </w:r>
          </w:p>
        </w:tc>
        <w:tc>
          <w:tcPr>
            <w:tcW w:type="dxa" w:w="1350"/>
            <w:shd w:fill="FFFFFF" w:color="auto" w:val="clear"/>
            <w:tcMar>
              <w:top w:type="dxa" w:w="40"/>
              <w:left w:type="dxa" w:w="70"/>
              <w:bottom w:type="dxa" w:w="40"/>
              <w:right w:type="dxa" w:w="70"/>
            </w:tcMar>
          </w:tcPr>
          <w:p>
            <w:pPr>
              <w:spacing w:after="0"/>
            </w:pPr>
            <w:r>
              <w:rPr>
                <w:sz w:val="17"/>
                <w:szCs w:val="17"/>
              </w:rPr>
              <w:t xml:space="preserve">27</w:t>
            </w:r>
          </w:p>
        </w:tc>
        <w:tc>
          <w:tcPr>
            <w:tcW w:type="dxa" w:w="1372"/>
            <w:shd w:fill="FFFFFF" w:color="auto" w:val="clear"/>
            <w:tcMar>
              <w:top w:type="dxa" w:w="40"/>
              <w:left w:type="dxa" w:w="70"/>
              <w:bottom w:type="dxa" w:w="40"/>
              <w:right w:type="dxa" w:w="70"/>
            </w:tcMar>
          </w:tcPr>
          <w:p>
            <w:pPr>
              <w:spacing w:after="0"/>
            </w:pPr>
            <w:r>
              <w:rPr>
                <w:sz w:val="17"/>
                <w:szCs w:val="17"/>
              </w:rPr>
              <w:t xml:space="preserve">+4</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350"/>
            <w:shd w:fill="F2F5F9" w:color="auto" w:val="clear"/>
            <w:tcMar>
              <w:top w:type="dxa" w:w="40"/>
              <w:left w:type="dxa" w:w="70"/>
              <w:bottom w:type="dxa" w:w="40"/>
              <w:right w:type="dxa" w:w="70"/>
            </w:tcMar>
          </w:tcPr>
          <w:p>
            <w:pPr>
              <w:spacing w:after="0"/>
            </w:pPr>
            <w:r>
              <w:rPr>
                <w:sz w:val="17"/>
                <w:szCs w:val="17"/>
              </w:rPr>
              <w:t xml:space="preserve">34</w:t>
            </w:r>
          </w:p>
        </w:tc>
        <w:tc>
          <w:tcPr>
            <w:tcW w:type="dxa" w:w="1350"/>
            <w:shd w:fill="F2F5F9" w:color="auto" w:val="clear"/>
            <w:tcMar>
              <w:top w:type="dxa" w:w="40"/>
              <w:left w:type="dxa" w:w="70"/>
              <w:bottom w:type="dxa" w:w="40"/>
              <w:right w:type="dxa" w:w="70"/>
            </w:tcMar>
          </w:tcPr>
          <w:p>
            <w:pPr>
              <w:spacing w:after="0"/>
            </w:pPr>
            <w:r>
              <w:rPr>
                <w:sz w:val="17"/>
                <w:szCs w:val="17"/>
              </w:rPr>
              <w:t xml:space="preserve">36</w:t>
            </w:r>
          </w:p>
        </w:tc>
        <w:tc>
          <w:tcPr>
            <w:tcW w:type="dxa" w:w="1350"/>
            <w:shd w:fill="F2F5F9" w:color="auto" w:val="clear"/>
            <w:tcMar>
              <w:top w:type="dxa" w:w="40"/>
              <w:left w:type="dxa" w:w="70"/>
              <w:bottom w:type="dxa" w:w="40"/>
              <w:right w:type="dxa" w:w="70"/>
            </w:tcMar>
          </w:tcPr>
          <w:p>
            <w:pPr>
              <w:spacing w:after="0"/>
            </w:pPr>
            <w:r>
              <w:rPr>
                <w:sz w:val="17"/>
                <w:szCs w:val="17"/>
              </w:rPr>
              <w:t xml:space="preserve">26</w:t>
            </w:r>
          </w:p>
        </w:tc>
        <w:tc>
          <w:tcPr>
            <w:tcW w:type="dxa" w:w="1350"/>
            <w:shd w:fill="F2F5F9" w:color="auto" w:val="clear"/>
            <w:tcMar>
              <w:top w:type="dxa" w:w="40"/>
              <w:left w:type="dxa" w:w="70"/>
              <w:bottom w:type="dxa" w:w="40"/>
              <w:right w:type="dxa" w:w="70"/>
            </w:tcMar>
          </w:tcPr>
          <w:p>
            <w:pPr>
              <w:spacing w:after="0"/>
            </w:pPr>
            <w:r>
              <w:rPr>
                <w:sz w:val="17"/>
                <w:szCs w:val="17"/>
              </w:rPr>
              <w:t xml:space="preserve">31</w:t>
            </w:r>
          </w:p>
        </w:tc>
        <w:tc>
          <w:tcPr>
            <w:tcW w:type="dxa" w:w="1372"/>
            <w:shd w:fill="F2F5F9" w:color="auto" w:val="clear"/>
            <w:tcMar>
              <w:top w:type="dxa" w:w="40"/>
              <w:left w:type="dxa" w:w="70"/>
              <w:bottom w:type="dxa" w:w="40"/>
              <w:right w:type="dxa" w:w="70"/>
            </w:tcMar>
          </w:tcPr>
          <w:p>
            <w:pPr>
              <w:spacing w:after="0"/>
            </w:pPr>
            <w:r>
              <w:rPr>
                <w:sz w:val="17"/>
                <w:szCs w:val="17"/>
              </w:rPr>
              <w:t xml:space="preserve">+5 (+10 mid-deal)</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350"/>
            <w:shd w:fill="FFFFFF" w:color="auto" w:val="clear"/>
            <w:tcMar>
              <w:top w:type="dxa" w:w="40"/>
              <w:left w:type="dxa" w:w="70"/>
              <w:bottom w:type="dxa" w:w="40"/>
              <w:right w:type="dxa" w:w="70"/>
            </w:tcMar>
          </w:tcPr>
          <w:p>
            <w:pPr>
              <w:spacing w:after="0"/>
            </w:pPr>
            <w:r>
              <w:rPr>
                <w:sz w:val="17"/>
                <w:szCs w:val="17"/>
              </w:rPr>
              <w:t xml:space="preserve">16</w:t>
            </w:r>
          </w:p>
        </w:tc>
        <w:tc>
          <w:tcPr>
            <w:tcW w:type="dxa" w:w="1350"/>
            <w:shd w:fill="FFFFFF" w:color="auto" w:val="clear"/>
            <w:tcMar>
              <w:top w:type="dxa" w:w="40"/>
              <w:left w:type="dxa" w:w="70"/>
              <w:bottom w:type="dxa" w:w="40"/>
              <w:right w:type="dxa" w:w="70"/>
            </w:tcMar>
          </w:tcPr>
          <w:p>
            <w:pPr>
              <w:spacing w:after="0"/>
            </w:pPr>
            <w:r>
              <w:rPr>
                <w:sz w:val="17"/>
                <w:szCs w:val="17"/>
              </w:rPr>
              <w:t xml:space="preserve">19</w:t>
            </w:r>
          </w:p>
        </w:tc>
        <w:tc>
          <w:tcPr>
            <w:tcW w:type="dxa" w:w="1350"/>
            <w:shd w:fill="FFFFFF" w:color="auto" w:val="clear"/>
            <w:tcMar>
              <w:top w:type="dxa" w:w="40"/>
              <w:left w:type="dxa" w:w="70"/>
              <w:bottom w:type="dxa" w:w="40"/>
              <w:right w:type="dxa" w:w="70"/>
            </w:tcMar>
          </w:tcPr>
          <w:p>
            <w:pPr>
              <w:spacing w:after="0"/>
            </w:pPr>
            <w:r>
              <w:rPr>
                <w:sz w:val="17"/>
                <w:szCs w:val="17"/>
              </w:rPr>
              <w:t xml:space="preserve">20</w:t>
            </w:r>
          </w:p>
        </w:tc>
        <w:tc>
          <w:tcPr>
            <w:tcW w:type="dxa" w:w="1350"/>
            <w:shd w:fill="FFFFFF" w:color="auto" w:val="clear"/>
            <w:tcMar>
              <w:top w:type="dxa" w:w="40"/>
              <w:left w:type="dxa" w:w="70"/>
              <w:bottom w:type="dxa" w:w="40"/>
              <w:right w:type="dxa" w:w="70"/>
            </w:tcMar>
          </w:tcPr>
          <w:p>
            <w:pPr>
              <w:spacing w:after="0"/>
            </w:pPr>
            <w:r>
              <w:rPr>
                <w:sz w:val="17"/>
                <w:szCs w:val="17"/>
              </w:rPr>
              <w:t xml:space="preserve">17</w:t>
            </w:r>
          </w:p>
        </w:tc>
        <w:tc>
          <w:tcPr>
            <w:tcW w:type="dxa" w:w="1372"/>
            <w:shd w:fill="FFFFFF" w:color="auto" w:val="clear"/>
            <w:tcMar>
              <w:top w:type="dxa" w:w="40"/>
              <w:left w:type="dxa" w:w="70"/>
              <w:bottom w:type="dxa" w:w="40"/>
              <w:right w:type="dxa" w:w="70"/>
            </w:tcMar>
          </w:tcPr>
          <w:p>
            <w:pPr>
              <w:spacing w:after="0"/>
            </w:pPr>
            <w:r>
              <w:rPr>
                <w:sz w:val="17"/>
                <w:szCs w:val="17"/>
              </w:rPr>
              <w:t xml:space="preserve">+2</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w:t>
            </w:r>
          </w:p>
        </w:tc>
        <w:tc>
          <w:tcPr>
            <w:tcW w:type="dxa" w:w="1350"/>
            <w:shd w:fill="F2F5F9" w:color="auto" w:val="clear"/>
            <w:tcMar>
              <w:top w:type="dxa" w:w="40"/>
              <w:left w:type="dxa" w:w="70"/>
              <w:bottom w:type="dxa" w:w="40"/>
              <w:right w:type="dxa" w:w="70"/>
            </w:tcMar>
          </w:tcPr>
          <w:p>
            <w:pPr>
              <w:spacing w:after="0"/>
            </w:pPr>
            <w:r>
              <w:rPr>
                <w:sz w:val="17"/>
                <w:szCs w:val="17"/>
              </w:rPr>
              <w:t xml:space="preserve">62</w:t>
            </w:r>
          </w:p>
        </w:tc>
        <w:tc>
          <w:tcPr>
            <w:tcW w:type="dxa" w:w="1350"/>
            <w:shd w:fill="F2F5F9" w:color="auto" w:val="clear"/>
            <w:tcMar>
              <w:top w:type="dxa" w:w="40"/>
              <w:left w:type="dxa" w:w="70"/>
              <w:bottom w:type="dxa" w:w="40"/>
              <w:right w:type="dxa" w:w="70"/>
            </w:tcMar>
          </w:tcPr>
          <w:p>
            <w:pPr>
              <w:spacing w:after="0"/>
            </w:pPr>
            <w:r>
              <w:rPr>
                <w:sz w:val="17"/>
                <w:szCs w:val="17"/>
              </w:rPr>
              <w:t xml:space="preserve">68</w:t>
            </w:r>
          </w:p>
        </w:tc>
        <w:tc>
          <w:tcPr>
            <w:tcW w:type="dxa" w:w="1350"/>
            <w:shd w:fill="F2F5F9" w:color="auto" w:val="clear"/>
            <w:tcMar>
              <w:top w:type="dxa" w:w="40"/>
              <w:left w:type="dxa" w:w="70"/>
              <w:bottom w:type="dxa" w:w="40"/>
              <w:right w:type="dxa" w:w="70"/>
            </w:tcMar>
          </w:tcPr>
          <w:p>
            <w:pPr>
              <w:spacing w:after="0"/>
            </w:pPr>
            <w:r>
              <w:rPr>
                <w:sz w:val="17"/>
                <w:szCs w:val="17"/>
              </w:rPr>
              <w:t xml:space="preserve">56</w:t>
            </w:r>
          </w:p>
        </w:tc>
        <w:tc>
          <w:tcPr>
            <w:tcW w:type="dxa" w:w="1350"/>
            <w:shd w:fill="F2F5F9" w:color="auto" w:val="clear"/>
            <w:tcMar>
              <w:top w:type="dxa" w:w="40"/>
              <w:left w:type="dxa" w:w="70"/>
              <w:bottom w:type="dxa" w:w="40"/>
              <w:right w:type="dxa" w:w="70"/>
            </w:tcMar>
          </w:tcPr>
          <w:p>
            <w:pPr>
              <w:spacing w:after="0"/>
            </w:pPr>
            <w:r>
              <w:rPr>
                <w:sz w:val="17"/>
                <w:szCs w:val="17"/>
              </w:rPr>
              <w:t xml:space="preserve">52</w:t>
            </w:r>
          </w:p>
        </w:tc>
        <w:tc>
          <w:tcPr>
            <w:tcW w:type="dxa" w:w="1372"/>
            <w:shd w:fill="F2F5F9" w:color="auto" w:val="clear"/>
            <w:tcMar>
              <w:top w:type="dxa" w:w="40"/>
              <w:left w:type="dxa" w:w="70"/>
              <w:bottom w:type="dxa" w:w="40"/>
              <w:right w:type="dxa" w:w="70"/>
            </w:tcMar>
          </w:tcPr>
          <w:p>
            <w:pPr>
              <w:spacing w:after="0"/>
            </w:pPr>
            <w:r>
              <w:rPr>
                <w:sz w:val="17"/>
                <w:szCs w:val="17"/>
              </w:rPr>
              <w:t xml:space="preserve">+16</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Cooling|King</w:t>
            </w:r>
          </w:p>
        </w:tc>
        <w:tc>
          <w:tcPr>
            <w:tcW w:type="dxa" w:w="1350"/>
            <w:shd w:fill="FFFFFF" w:color="auto" w:val="clear"/>
            <w:tcMar>
              <w:top w:type="dxa" w:w="40"/>
              <w:left w:type="dxa" w:w="70"/>
              <w:bottom w:type="dxa" w:w="40"/>
              <w:right w:type="dxa" w:w="70"/>
            </w:tcMar>
          </w:tcPr>
          <w:p>
            <w:pPr>
              <w:spacing w:after="0"/>
            </w:pPr>
            <w:r>
              <w:rPr>
                <w:sz w:val="17"/>
                <w:szCs w:val="17"/>
              </w:rPr>
              <w:t xml:space="preserve">67</w:t>
            </w:r>
          </w:p>
        </w:tc>
        <w:tc>
          <w:tcPr>
            <w:tcW w:type="dxa" w:w="1350"/>
            <w:shd w:fill="FFFFFF" w:color="auto" w:val="clear"/>
            <w:tcMar>
              <w:top w:type="dxa" w:w="40"/>
              <w:left w:type="dxa" w:w="70"/>
              <w:bottom w:type="dxa" w:w="40"/>
              <w:right w:type="dxa" w:w="70"/>
            </w:tcMar>
          </w:tcPr>
          <w:p>
            <w:pPr>
              <w:spacing w:after="0"/>
            </w:pPr>
            <w:r>
              <w:rPr>
                <w:sz w:val="17"/>
                <w:szCs w:val="17"/>
              </w:rPr>
              <w:t xml:space="preserve">73</w:t>
            </w:r>
          </w:p>
        </w:tc>
        <w:tc>
          <w:tcPr>
            <w:tcW w:type="dxa" w:w="1350"/>
            <w:shd w:fill="FFFFFF" w:color="auto" w:val="clear"/>
            <w:tcMar>
              <w:top w:type="dxa" w:w="40"/>
              <w:left w:type="dxa" w:w="70"/>
              <w:bottom w:type="dxa" w:w="40"/>
              <w:right w:type="dxa" w:w="70"/>
            </w:tcMar>
          </w:tcPr>
          <w:p>
            <w:pPr>
              <w:spacing w:after="0"/>
            </w:pPr>
            <w:r>
              <w:rPr>
                <w:sz w:val="17"/>
                <w:szCs w:val="17"/>
              </w:rPr>
              <w:t xml:space="preserve">54</w:t>
            </w:r>
          </w:p>
        </w:tc>
        <w:tc>
          <w:tcPr>
            <w:tcW w:type="dxa" w:w="1350"/>
            <w:shd w:fill="FFFFFF" w:color="auto" w:val="clear"/>
            <w:tcMar>
              <w:top w:type="dxa" w:w="40"/>
              <w:left w:type="dxa" w:w="70"/>
              <w:bottom w:type="dxa" w:w="40"/>
              <w:right w:type="dxa" w:w="70"/>
            </w:tcMar>
          </w:tcPr>
          <w:p>
            <w:pPr>
              <w:spacing w:after="0"/>
            </w:pPr>
            <w:r>
              <w:rPr>
                <w:sz w:val="17"/>
                <w:szCs w:val="17"/>
              </w:rPr>
              <w:t xml:space="preserve">52</w:t>
            </w:r>
          </w:p>
        </w:tc>
        <w:tc>
          <w:tcPr>
            <w:tcW w:type="dxa" w:w="1372"/>
            <w:shd w:fill="FFFFFF" w:color="auto" w:val="clear"/>
            <w:tcMar>
              <w:top w:type="dxa" w:w="40"/>
              <w:left w:type="dxa" w:w="70"/>
              <w:bottom w:type="dxa" w:w="40"/>
              <w:right w:type="dxa" w:w="70"/>
            </w:tcMar>
          </w:tcPr>
          <w:p>
            <w:pPr>
              <w:spacing w:after="0"/>
            </w:pPr>
            <w:r>
              <w:rPr>
                <w:sz w:val="17"/>
                <w:szCs w:val="17"/>
              </w:rPr>
              <w:t xml:space="preserve">+21</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Cooling|Queen</w:t>
            </w:r>
          </w:p>
        </w:tc>
        <w:tc>
          <w:tcPr>
            <w:tcW w:type="dxa" w:w="1350"/>
            <w:shd w:fill="F2F5F9" w:color="auto" w:val="clear"/>
            <w:tcMar>
              <w:top w:type="dxa" w:w="40"/>
              <w:left w:type="dxa" w:w="70"/>
              <w:bottom w:type="dxa" w:w="40"/>
              <w:right w:type="dxa" w:w="70"/>
            </w:tcMar>
          </w:tcPr>
          <w:p>
            <w:pPr>
              <w:spacing w:after="0"/>
            </w:pPr>
            <w:r>
              <w:rPr>
                <w:sz w:val="17"/>
                <w:szCs w:val="17"/>
              </w:rPr>
              <w:t xml:space="preserve">64</w:t>
            </w:r>
          </w:p>
        </w:tc>
        <w:tc>
          <w:tcPr>
            <w:tcW w:type="dxa" w:w="1350"/>
            <w:shd w:fill="F2F5F9" w:color="auto" w:val="clear"/>
            <w:tcMar>
              <w:top w:type="dxa" w:w="40"/>
              <w:left w:type="dxa" w:w="70"/>
              <w:bottom w:type="dxa" w:w="40"/>
              <w:right w:type="dxa" w:w="70"/>
            </w:tcMar>
          </w:tcPr>
          <w:p>
            <w:pPr>
              <w:spacing w:after="0"/>
            </w:pPr>
            <w:r>
              <w:rPr>
                <w:sz w:val="17"/>
                <w:szCs w:val="17"/>
              </w:rPr>
              <w:t xml:space="preserve">79</w:t>
            </w:r>
          </w:p>
        </w:tc>
        <w:tc>
          <w:tcPr>
            <w:tcW w:type="dxa" w:w="1350"/>
            <w:shd w:fill="F2F5F9" w:color="auto" w:val="clear"/>
            <w:tcMar>
              <w:top w:type="dxa" w:w="40"/>
              <w:left w:type="dxa" w:w="70"/>
              <w:bottom w:type="dxa" w:w="40"/>
              <w:right w:type="dxa" w:w="70"/>
            </w:tcMar>
          </w:tcPr>
          <w:p>
            <w:pPr>
              <w:spacing w:after="0"/>
            </w:pPr>
            <w:r>
              <w:rPr>
                <w:sz w:val="17"/>
                <w:szCs w:val="17"/>
              </w:rPr>
              <w:t xml:space="preserve">58</w:t>
            </w:r>
          </w:p>
        </w:tc>
        <w:tc>
          <w:tcPr>
            <w:tcW w:type="dxa" w:w="1350"/>
            <w:shd w:fill="F2F5F9" w:color="auto" w:val="clear"/>
            <w:tcMar>
              <w:top w:type="dxa" w:w="40"/>
              <w:left w:type="dxa" w:w="70"/>
              <w:bottom w:type="dxa" w:w="40"/>
              <w:right w:type="dxa" w:w="70"/>
            </w:tcMar>
          </w:tcPr>
          <w:p>
            <w:pPr>
              <w:spacing w:after="0"/>
            </w:pPr>
            <w:r>
              <w:rPr>
                <w:sz w:val="17"/>
                <w:szCs w:val="17"/>
              </w:rPr>
              <w:t xml:space="preserve">60</w:t>
            </w:r>
          </w:p>
        </w:tc>
        <w:tc>
          <w:tcPr>
            <w:tcW w:type="dxa" w:w="1372"/>
            <w:shd w:fill="F2F5F9" w:color="auto" w:val="clear"/>
            <w:tcMar>
              <w:top w:type="dxa" w:w="40"/>
              <w:left w:type="dxa" w:w="70"/>
              <w:bottom w:type="dxa" w:w="40"/>
              <w:right w:type="dxa" w:w="70"/>
            </w:tcMar>
          </w:tcPr>
          <w:p>
            <w:pPr>
              <w:spacing w:after="0"/>
            </w:pPr>
            <w:r>
              <w:rPr>
                <w:sz w:val="17"/>
                <w:szCs w:val="17"/>
              </w:rPr>
              <w:t xml:space="preserve">+19</w:t>
            </w:r>
          </w:p>
        </w:tc>
      </w:tr>
      <w:tr>
        <w:tc>
          <w:tcPr>
            <w:tcW w:type="dxa" w:w="3200"/>
            <w:shd w:fill="FFFFFF" w:color="auto" w:val="clear"/>
            <w:tcMar>
              <w:top w:type="dxa" w:w="40"/>
              <w:left w:type="dxa" w:w="70"/>
              <w:bottom w:type="dxa" w:w="40"/>
              <w:right w:type="dxa" w:w="70"/>
            </w:tcMar>
          </w:tcPr>
          <w:p>
            <w:pPr>
              <w:spacing w:after="0"/>
            </w:pPr>
            <w:r>
              <w:rPr>
                <w:sz w:val="17"/>
                <w:szCs w:val="17"/>
              </w:rPr>
              <w:t xml:space="preserve">Bamboo|Full</w:t>
            </w:r>
          </w:p>
        </w:tc>
        <w:tc>
          <w:tcPr>
            <w:tcW w:type="dxa" w:w="1350"/>
            <w:shd w:fill="FFFFFF" w:color="auto" w:val="clear"/>
            <w:tcMar>
              <w:top w:type="dxa" w:w="40"/>
              <w:left w:type="dxa" w:w="70"/>
              <w:bottom w:type="dxa" w:w="40"/>
              <w:right w:type="dxa" w:w="70"/>
            </w:tcMar>
          </w:tcPr>
          <w:p>
            <w:pPr>
              <w:spacing w:after="0"/>
            </w:pPr>
            <w:r>
              <w:rPr>
                <w:sz w:val="17"/>
                <w:szCs w:val="17"/>
              </w:rPr>
              <w:t xml:space="preserve">32</w:t>
            </w:r>
          </w:p>
        </w:tc>
        <w:tc>
          <w:tcPr>
            <w:tcW w:type="dxa" w:w="1350"/>
            <w:shd w:fill="FFFFFF" w:color="auto" w:val="clear"/>
            <w:tcMar>
              <w:top w:type="dxa" w:w="40"/>
              <w:left w:type="dxa" w:w="70"/>
              <w:bottom w:type="dxa" w:w="40"/>
              <w:right w:type="dxa" w:w="70"/>
            </w:tcMar>
          </w:tcPr>
          <w:p>
            <w:pPr>
              <w:spacing w:after="0"/>
            </w:pPr>
            <w:r>
              <w:rPr>
                <w:sz w:val="17"/>
                <w:szCs w:val="17"/>
              </w:rPr>
              <w:t xml:space="preserve">44</w:t>
            </w:r>
          </w:p>
        </w:tc>
        <w:tc>
          <w:tcPr>
            <w:tcW w:type="dxa" w:w="1350"/>
            <w:shd w:fill="FFFFFF" w:color="auto" w:val="clear"/>
            <w:tcMar>
              <w:top w:type="dxa" w:w="40"/>
              <w:left w:type="dxa" w:w="70"/>
              <w:bottom w:type="dxa" w:w="40"/>
              <w:right w:type="dxa" w:w="70"/>
            </w:tcMar>
          </w:tcPr>
          <w:p>
            <w:pPr>
              <w:spacing w:after="0"/>
            </w:pPr>
            <w:r>
              <w:rPr>
                <w:sz w:val="17"/>
                <w:szCs w:val="17"/>
              </w:rPr>
              <w:t xml:space="preserve">53</w:t>
            </w:r>
          </w:p>
        </w:tc>
        <w:tc>
          <w:tcPr>
            <w:tcW w:type="dxa" w:w="1350"/>
            <w:shd w:fill="FFFFFF" w:color="auto" w:val="clear"/>
            <w:tcMar>
              <w:top w:type="dxa" w:w="40"/>
              <w:left w:type="dxa" w:w="70"/>
              <w:bottom w:type="dxa" w:w="40"/>
              <w:right w:type="dxa" w:w="70"/>
            </w:tcMar>
          </w:tcPr>
          <w:p>
            <w:pPr>
              <w:spacing w:after="0"/>
            </w:pPr>
            <w:r>
              <w:rPr>
                <w:sz w:val="17"/>
                <w:szCs w:val="17"/>
              </w:rPr>
              <w:t xml:space="preserve">36</w:t>
            </w:r>
          </w:p>
        </w:tc>
        <w:tc>
          <w:tcPr>
            <w:tcW w:type="dxa" w:w="1372"/>
            <w:shd w:fill="FFFFFF" w:color="auto" w:val="clear"/>
            <w:tcMar>
              <w:top w:type="dxa" w:w="40"/>
              <w:left w:type="dxa" w:w="70"/>
              <w:bottom w:type="dxa" w:w="40"/>
              <w:right w:type="dxa" w:w="70"/>
            </w:tcMar>
          </w:tcPr>
          <w:p>
            <w:pPr>
              <w:spacing w:after="0"/>
            </w:pPr>
            <w:r>
              <w:rPr>
                <w:sz w:val="17"/>
                <w:szCs w:val="17"/>
              </w:rPr>
              <w:t xml:space="preserve">+8</w:t>
            </w:r>
          </w:p>
        </w:tc>
      </w:tr>
      <w:tr>
        <w:tc>
          <w:tcPr>
            <w:tcW w:type="dxa" w:w="3200"/>
            <w:shd w:fill="F2F5F9" w:color="auto" w:val="clear"/>
            <w:tcMar>
              <w:top w:type="dxa" w:w="40"/>
              <w:left w:type="dxa" w:w="70"/>
              <w:bottom w:type="dxa" w:w="40"/>
              <w:right w:type="dxa" w:w="70"/>
            </w:tcMar>
          </w:tcPr>
          <w:p>
            <w:pPr>
              <w:spacing w:after="0"/>
            </w:pPr>
            <w:r>
              <w:rPr>
                <w:sz w:val="17"/>
                <w:szCs w:val="17"/>
              </w:rPr>
              <w:t xml:space="preserve">Bamboo|Twin</w:t>
            </w:r>
          </w:p>
        </w:tc>
        <w:tc>
          <w:tcPr>
            <w:tcW w:type="dxa" w:w="1350"/>
            <w:shd w:fill="F2F5F9" w:color="auto" w:val="clear"/>
            <w:tcMar>
              <w:top w:type="dxa" w:w="40"/>
              <w:left w:type="dxa" w:w="70"/>
              <w:bottom w:type="dxa" w:w="40"/>
              <w:right w:type="dxa" w:w="70"/>
            </w:tcMar>
          </w:tcPr>
          <w:p>
            <w:pPr>
              <w:spacing w:after="0"/>
            </w:pPr>
            <w:r>
              <w:rPr>
                <w:sz w:val="17"/>
                <w:szCs w:val="17"/>
              </w:rPr>
              <w:t xml:space="preserve">23</w:t>
            </w:r>
          </w:p>
        </w:tc>
        <w:tc>
          <w:tcPr>
            <w:tcW w:type="dxa" w:w="1350"/>
            <w:shd w:fill="F2F5F9" w:color="auto" w:val="clear"/>
            <w:tcMar>
              <w:top w:type="dxa" w:w="40"/>
              <w:left w:type="dxa" w:w="70"/>
              <w:bottom w:type="dxa" w:w="40"/>
              <w:right w:type="dxa" w:w="70"/>
            </w:tcMar>
          </w:tcPr>
          <w:p>
            <w:pPr>
              <w:spacing w:after="0"/>
            </w:pPr>
            <w:r>
              <w:rPr>
                <w:sz w:val="17"/>
                <w:szCs w:val="17"/>
              </w:rPr>
              <w:t xml:space="preserve">23</w:t>
            </w:r>
          </w:p>
        </w:tc>
        <w:tc>
          <w:tcPr>
            <w:tcW w:type="dxa" w:w="1350"/>
            <w:shd w:fill="F2F5F9" w:color="auto" w:val="clear"/>
            <w:tcMar>
              <w:top w:type="dxa" w:w="40"/>
              <w:left w:type="dxa" w:w="70"/>
              <w:bottom w:type="dxa" w:w="40"/>
              <w:right w:type="dxa" w:w="70"/>
            </w:tcMar>
          </w:tcPr>
          <w:p>
            <w:pPr>
              <w:spacing w:after="0"/>
            </w:pPr>
            <w:r>
              <w:rPr>
                <w:sz w:val="17"/>
                <w:szCs w:val="17"/>
              </w:rPr>
              <w:t xml:space="preserve">30</w:t>
            </w:r>
          </w:p>
        </w:tc>
        <w:tc>
          <w:tcPr>
            <w:tcW w:type="dxa" w:w="1350"/>
            <w:shd w:fill="F2F5F9" w:color="auto" w:val="clear"/>
            <w:tcMar>
              <w:top w:type="dxa" w:w="40"/>
              <w:left w:type="dxa" w:w="70"/>
              <w:bottom w:type="dxa" w:w="40"/>
              <w:right w:type="dxa" w:w="70"/>
            </w:tcMar>
          </w:tcPr>
          <w:p>
            <w:pPr>
              <w:spacing w:after="0"/>
            </w:pPr>
            <w:r>
              <w:rPr>
                <w:sz w:val="17"/>
                <w:szCs w:val="17"/>
              </w:rPr>
              <w:t xml:space="preserve">40</w:t>
            </w:r>
          </w:p>
        </w:tc>
        <w:tc>
          <w:tcPr>
            <w:tcW w:type="dxa" w:w="1372"/>
            <w:shd w:fill="F2F5F9" w:color="auto" w:val="clear"/>
            <w:tcMar>
              <w:top w:type="dxa" w:w="40"/>
              <w:left w:type="dxa" w:w="70"/>
              <w:bottom w:type="dxa" w:w="40"/>
              <w:right w:type="dxa" w:w="70"/>
            </w:tcMar>
          </w:tcPr>
          <w:p>
            <w:pPr>
              <w:spacing w:after="0"/>
            </w:pPr>
            <w:r>
              <w:rPr>
                <w:sz w:val="17"/>
                <w:szCs w:val="17"/>
              </w:rPr>
              <w:t xml:space="preserve">−17 (hero at 0 units)</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Cooling|Full</w:t>
            </w:r>
          </w:p>
        </w:tc>
        <w:tc>
          <w:tcPr>
            <w:tcW w:type="dxa" w:w="1350"/>
            <w:shd w:fill="FFFFFF" w:color="auto" w:val="clear"/>
            <w:tcMar>
              <w:top w:type="dxa" w:w="40"/>
              <w:left w:type="dxa" w:w="70"/>
              <w:bottom w:type="dxa" w:w="40"/>
              <w:right w:type="dxa" w:w="70"/>
            </w:tcMar>
          </w:tcPr>
          <w:p>
            <w:pPr>
              <w:spacing w:after="0"/>
            </w:pPr>
            <w:r>
              <w:rPr>
                <w:sz w:val="17"/>
                <w:szCs w:val="17"/>
              </w:rPr>
              <w:t xml:space="preserve">69</w:t>
            </w:r>
          </w:p>
        </w:tc>
        <w:tc>
          <w:tcPr>
            <w:tcW w:type="dxa" w:w="1350"/>
            <w:shd w:fill="FFFFFF" w:color="auto" w:val="clear"/>
            <w:tcMar>
              <w:top w:type="dxa" w:w="40"/>
              <w:left w:type="dxa" w:w="70"/>
              <w:bottom w:type="dxa" w:w="40"/>
              <w:right w:type="dxa" w:w="70"/>
            </w:tcMar>
          </w:tcPr>
          <w:p>
            <w:pPr>
              <w:spacing w:after="0"/>
            </w:pPr>
            <w:r>
              <w:rPr>
                <w:sz w:val="17"/>
                <w:szCs w:val="17"/>
              </w:rPr>
              <w:t xml:space="preserve">89</w:t>
            </w:r>
          </w:p>
        </w:tc>
        <w:tc>
          <w:tcPr>
            <w:tcW w:type="dxa" w:w="1350"/>
            <w:shd w:fill="FFFFFF" w:color="auto" w:val="clear"/>
            <w:tcMar>
              <w:top w:type="dxa" w:w="40"/>
              <w:left w:type="dxa" w:w="70"/>
              <w:bottom w:type="dxa" w:w="40"/>
              <w:right w:type="dxa" w:w="70"/>
            </w:tcMar>
          </w:tcPr>
          <w:p>
            <w:pPr>
              <w:spacing w:after="0"/>
            </w:pPr>
            <w:r>
              <w:rPr>
                <w:sz w:val="17"/>
                <w:szCs w:val="17"/>
              </w:rPr>
              <w:t xml:space="preserve">117</w:t>
            </w:r>
          </w:p>
        </w:tc>
        <w:tc>
          <w:tcPr>
            <w:tcW w:type="dxa" w:w="1350"/>
            <w:shd w:fill="FFFFFF" w:color="auto" w:val="clear"/>
            <w:tcMar>
              <w:top w:type="dxa" w:w="40"/>
              <w:left w:type="dxa" w:w="70"/>
              <w:bottom w:type="dxa" w:w="40"/>
              <w:right w:type="dxa" w:w="70"/>
            </w:tcMar>
          </w:tcPr>
          <w:p>
            <w:pPr>
              <w:spacing w:after="0"/>
            </w:pPr>
            <w:r>
              <w:rPr>
                <w:sz w:val="17"/>
                <w:szCs w:val="17"/>
              </w:rPr>
              <w:t xml:space="preserve">101</w:t>
            </w:r>
          </w:p>
        </w:tc>
        <w:tc>
          <w:tcPr>
            <w:tcW w:type="dxa" w:w="1372"/>
            <w:shd w:fill="FFFFFF" w:color="auto" w:val="clear"/>
            <w:tcMar>
              <w:top w:type="dxa" w:w="40"/>
              <w:left w:type="dxa" w:w="70"/>
              <w:bottom w:type="dxa" w:w="40"/>
              <w:right w:type="dxa" w:w="70"/>
            </w:tcMar>
          </w:tcPr>
          <w:p>
            <w:pPr>
              <w:spacing w:after="0"/>
            </w:pPr>
            <w:r>
              <w:rPr>
                <w:sz w:val="17"/>
                <w:szCs w:val="17"/>
              </w:rPr>
              <w:t xml:space="preserve">−12</w:t>
            </w:r>
          </w:p>
        </w:tc>
      </w:tr>
      <w:tr>
        <w:tc>
          <w:tcPr>
            <w:tcW w:type="dxa" w:w="3200"/>
            <w:shd w:fill="F2F5F9" w:color="auto" w:val="clear"/>
            <w:tcMar>
              <w:top w:type="dxa" w:w="40"/>
              <w:left w:type="dxa" w:w="70"/>
              <w:bottom w:type="dxa" w:w="40"/>
              <w:right w:type="dxa" w:w="70"/>
            </w:tcMar>
          </w:tcPr>
          <w:p>
            <w:pPr>
              <w:spacing w:after="0"/>
            </w:pPr>
            <w:r>
              <w:rPr>
                <w:sz w:val="17"/>
                <w:szCs w:val="17"/>
              </w:rPr>
              <w:t xml:space="preserve">Cooling|Twin</w:t>
            </w:r>
          </w:p>
        </w:tc>
        <w:tc>
          <w:tcPr>
            <w:tcW w:type="dxa" w:w="1350"/>
            <w:shd w:fill="F2F5F9" w:color="auto" w:val="clear"/>
            <w:tcMar>
              <w:top w:type="dxa" w:w="40"/>
              <w:left w:type="dxa" w:w="70"/>
              <w:bottom w:type="dxa" w:w="40"/>
              <w:right w:type="dxa" w:w="70"/>
            </w:tcMar>
          </w:tcPr>
          <w:p>
            <w:pPr>
              <w:spacing w:after="0"/>
            </w:pPr>
            <w:r>
              <w:rPr>
                <w:sz w:val="17"/>
                <w:szCs w:val="17"/>
              </w:rPr>
              <w:t xml:space="preserve">55</w:t>
            </w:r>
          </w:p>
        </w:tc>
        <w:tc>
          <w:tcPr>
            <w:tcW w:type="dxa" w:w="1350"/>
            <w:shd w:fill="F2F5F9" w:color="auto" w:val="clear"/>
            <w:tcMar>
              <w:top w:type="dxa" w:w="40"/>
              <w:left w:type="dxa" w:w="70"/>
              <w:bottom w:type="dxa" w:w="40"/>
              <w:right w:type="dxa" w:w="70"/>
            </w:tcMar>
          </w:tcPr>
          <w:p>
            <w:pPr>
              <w:spacing w:after="0"/>
            </w:pPr>
            <w:r>
              <w:rPr>
                <w:sz w:val="17"/>
                <w:szCs w:val="17"/>
              </w:rPr>
              <w:t xml:space="preserve">51</w:t>
            </w:r>
          </w:p>
        </w:tc>
        <w:tc>
          <w:tcPr>
            <w:tcW w:type="dxa" w:w="1350"/>
            <w:shd w:fill="F2F5F9" w:color="auto" w:val="clear"/>
            <w:tcMar>
              <w:top w:type="dxa" w:w="40"/>
              <w:left w:type="dxa" w:w="70"/>
              <w:bottom w:type="dxa" w:w="40"/>
              <w:right w:type="dxa" w:w="70"/>
            </w:tcMar>
          </w:tcPr>
          <w:p>
            <w:pPr>
              <w:spacing w:after="0"/>
            </w:pPr>
            <w:r>
              <w:rPr>
                <w:sz w:val="17"/>
                <w:szCs w:val="17"/>
              </w:rPr>
              <w:t xml:space="preserve">46</w:t>
            </w:r>
          </w:p>
        </w:tc>
        <w:tc>
          <w:tcPr>
            <w:tcW w:type="dxa" w:w="1350"/>
            <w:shd w:fill="F2F5F9" w:color="auto" w:val="clear"/>
            <w:tcMar>
              <w:top w:type="dxa" w:w="40"/>
              <w:left w:type="dxa" w:w="70"/>
              <w:bottom w:type="dxa" w:w="40"/>
              <w:right w:type="dxa" w:w="70"/>
            </w:tcMar>
          </w:tcPr>
          <w:p>
            <w:pPr>
              <w:spacing w:after="0"/>
            </w:pPr>
            <w:r>
              <w:rPr>
                <w:sz w:val="17"/>
                <w:szCs w:val="17"/>
              </w:rPr>
              <w:t xml:space="preserve">46</w:t>
            </w:r>
          </w:p>
        </w:tc>
        <w:tc>
          <w:tcPr>
            <w:tcW w:type="dxa" w:w="1372"/>
            <w:shd w:fill="F2F5F9" w:color="auto" w:val="clear"/>
            <w:tcMar>
              <w:top w:type="dxa" w:w="40"/>
              <w:left w:type="dxa" w:w="70"/>
              <w:bottom w:type="dxa" w:w="40"/>
              <w:right w:type="dxa" w:w="70"/>
            </w:tcMar>
          </w:tcPr>
          <w:p>
            <w:pPr>
              <w:spacing w:after="0"/>
            </w:pPr>
            <w:r>
              <w:rPr>
                <w:sz w:val="17"/>
                <w:szCs w:val="17"/>
              </w:rPr>
              <w:t xml:space="preserve">+5</w:t>
            </w:r>
          </w:p>
        </w:tc>
      </w:tr>
      <w:tr>
        <w:tc>
          <w:tcPr>
            <w:tcW w:type="dxa" w:w="3200"/>
            <w:shd w:fill="FFFFFF" w:color="auto" w:val="clear"/>
            <w:tcMar>
              <w:top w:type="dxa" w:w="40"/>
              <w:left w:type="dxa" w:w="70"/>
              <w:bottom w:type="dxa" w:w="40"/>
              <w:right w:type="dxa" w:w="70"/>
            </w:tcMar>
          </w:tcPr>
          <w:p>
            <w:pPr>
              <w:spacing w:after="0"/>
            </w:pPr>
            <w:r>
              <w:rPr>
                <w:sz w:val="17"/>
                <w:szCs w:val="17"/>
              </w:rPr>
              <w:t xml:space="preserve">Cooling|California King</w:t>
            </w:r>
          </w:p>
        </w:tc>
        <w:tc>
          <w:tcPr>
            <w:tcW w:type="dxa" w:w="1350"/>
            <w:shd w:fill="FFFFFF" w:color="auto" w:val="clear"/>
            <w:tcMar>
              <w:top w:type="dxa" w:w="40"/>
              <w:left w:type="dxa" w:w="70"/>
              <w:bottom w:type="dxa" w:w="40"/>
              <w:right w:type="dxa" w:w="70"/>
            </w:tcMar>
          </w:tcPr>
          <w:p>
            <w:pPr>
              <w:spacing w:after="0"/>
            </w:pPr>
            <w:r>
              <w:rPr>
                <w:sz w:val="17"/>
                <w:szCs w:val="17"/>
              </w:rPr>
              <w:t xml:space="preserve">39</w:t>
            </w:r>
          </w:p>
        </w:tc>
        <w:tc>
          <w:tcPr>
            <w:tcW w:type="dxa" w:w="1350"/>
            <w:shd w:fill="FFFFFF" w:color="auto" w:val="clear"/>
            <w:tcMar>
              <w:top w:type="dxa" w:w="40"/>
              <w:left w:type="dxa" w:w="70"/>
              <w:bottom w:type="dxa" w:w="40"/>
              <w:right w:type="dxa" w:w="70"/>
            </w:tcMar>
          </w:tcPr>
          <w:p>
            <w:pPr>
              <w:spacing w:after="0"/>
            </w:pPr>
            <w:r>
              <w:rPr>
                <w:sz w:val="17"/>
                <w:szCs w:val="17"/>
              </w:rPr>
              <w:t xml:space="preserve">38</w:t>
            </w:r>
          </w:p>
        </w:tc>
        <w:tc>
          <w:tcPr>
            <w:tcW w:type="dxa" w:w="1350"/>
            <w:shd w:fill="FFFFFF" w:color="auto" w:val="clear"/>
            <w:tcMar>
              <w:top w:type="dxa" w:w="40"/>
              <w:left w:type="dxa" w:w="70"/>
              <w:bottom w:type="dxa" w:w="40"/>
              <w:right w:type="dxa" w:w="70"/>
            </w:tcMar>
          </w:tcPr>
          <w:p>
            <w:pPr>
              <w:spacing w:after="0"/>
            </w:pPr>
            <w:r>
              <w:rPr>
                <w:sz w:val="17"/>
                <w:szCs w:val="17"/>
              </w:rPr>
              <w:t xml:space="preserve">44</w:t>
            </w:r>
          </w:p>
        </w:tc>
        <w:tc>
          <w:tcPr>
            <w:tcW w:type="dxa" w:w="1350"/>
            <w:shd w:fill="FFFFFF" w:color="auto" w:val="clear"/>
            <w:tcMar>
              <w:top w:type="dxa" w:w="40"/>
              <w:left w:type="dxa" w:w="70"/>
              <w:bottom w:type="dxa" w:w="40"/>
              <w:right w:type="dxa" w:w="70"/>
            </w:tcMar>
          </w:tcPr>
          <w:p>
            <w:pPr>
              <w:spacing w:after="0"/>
            </w:pPr>
            <w:r>
              <w:rPr>
                <w:sz w:val="17"/>
                <w:szCs w:val="17"/>
              </w:rPr>
              <w:t xml:space="preserve">45</w:t>
            </w:r>
          </w:p>
        </w:tc>
        <w:tc>
          <w:tcPr>
            <w:tcW w:type="dxa" w:w="1372"/>
            <w:shd w:fill="FFFFFF" w:color="auto" w:val="clear"/>
            <w:tcMar>
              <w:top w:type="dxa" w:w="40"/>
              <w:left w:type="dxa" w:w="70"/>
              <w:bottom w:type="dxa" w:w="40"/>
              <w:right w:type="dxa" w:w="70"/>
            </w:tcMar>
          </w:tcPr>
          <w:p>
            <w:pPr>
              <w:spacing w:after="0"/>
            </w:pPr>
            <w:r>
              <w:rPr>
                <w:sz w:val="17"/>
                <w:szCs w:val="17"/>
              </w:rPr>
              <w:t xml:space="preserve">−7</w:t>
            </w:r>
          </w:p>
        </w:tc>
      </w:tr>
    </w:tbl>
    <w:p>
      <w:pPr>
        <w:spacing w:after="120"/>
      </w:pPr>
      <w:r>
        <w:rPr>
          <w:i/>
          <w:iCs/>
          <w:color w:val="555555"/>
          <w:sz w:val="17"/>
          <w:szCs w:val="17"/>
        </w:rPr>
        <w:t xml:space="preserve">Command Center daily crawl; each cell is the median of the group’s crawled members over the 7 days ending that date. A term counts in every group it matches.</w:t>
      </w:r>
    </w:p>
    <w:p>
      <w:pPr>
        <w:spacing w:after="60"/>
        <w:jc w:val="center"/>
      </w:pPr>
      <w:r>
        <w:drawing>
          <wp:inline distT="0" distB="0" distL="0" distR="0">
            <wp:extent cx="6096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5610225"/>
                    </a:xfrm>
                    <a:prstGeom prst="rect">
                      <a:avLst/>
                    </a:prstGeom>
                  </pic:spPr>
                </pic:pic>
              </a:graphicData>
            </a:graphic>
          </wp:inline>
        </w:drawing>
      </w:r>
    </w:p>
    <w:p>
      <w:pPr>
        <w:spacing w:after="120"/>
      </w:pPr>
      <w:r>
        <w:rPr>
          <w:i/>
          <w:iCs/>
          <w:color w:val="555555"/>
          <w:sz w:val="17"/>
          <w:szCs w:val="17"/>
        </w:rPr>
        <w:t xml:space="preserve">B4, all campaigns, 01–27 September: estimated top-of-search and product-page clicks a day, the spend-weighted effective top-of-search bid, and group rank (daily median). Dashed lines: the 10 September round, the 15/16 September round, and 24 September, when the corrected daily push was due. Shaded: the Best Deal.</w:t>
      </w:r>
    </w:p>
    <w:p>
      <w:pPr>
        <w:spacing w:after="100"/>
      </w:pPr>
      <w:r>
        <w:t xml:space="preserve">Rank moved most where the least money went. The cooling groups climbed 16–21 places over the deal: Cooling 68 → 52, Cooling|King 73 → 52, Cooling|Queen 79 → 60. The Bamboo head moved 2 (35 → 33) on $937 a day, and Bamboo|Queen 1. Bamboo|Cooling reached 26 mid-deal and gave half of it back. Bamboo|Twin lost 17 with its hero at zero.</w:t>
      </w:r>
    </w:p>
    <w:p>
      <w:pPr>
        <w:spacing w:after="100"/>
      </w:pPr>
      <w:r>
        <w:rPr>
          <w:b/>
          <w:bCs/>
          <w:color w:val="1F3A5F"/>
        </w:rPr>
        <w:t xml:space="preserve">Correction. </w:t>
      </w:r>
      <w:r>
        <w:t xml:space="preserve">Before this file loads, verify execution: diff the rows approved on 19 and 21 September against the account, write down which loaded, and grade only those. The engine should record every run it is given, so that the next brief’s “previous” is the last run, not the last reviewed one.</w:t>
      </w:r>
    </w:p>
    <w:p>
      <w:pPr>
        <w:pStyle w:val="Heading1"/>
      </w:pPr>
      <w:r>
        <w:t xml:space="preserve">C2. Conversions, discovery and product-targeting campaigns: the sweep cuts the modifier on nearly all of them</w:t>
      </w:r>
    </w:p>
    <w:p>
      <w:pPr>
        <w:spacing w:after="100"/>
      </w:pPr>
      <w:r>
        <w:rPr>
          <w:b/>
          <w:bCs/>
          <w:color w:val="1F3A5F"/>
        </w:rPr>
        <w:t xml:space="preserve">The rule. </w:t>
      </w:r>
      <w:r>
        <w:t xml:space="preserve">These campaigns are priced inside their own ceiling (21 September document, C2). Under 15 clicks: hold, with no cut and no raise. Inside the ceiling: nothing moves, including a top-of-search modifier whose top of search pays. Over it: the base comes down.</w:t>
      </w:r>
    </w:p>
    <w:p>
      <w:pPr>
        <w:spacing w:after="100"/>
      </w:pPr>
      <w:r>
        <w:rPr>
          <w:b/>
          <w:bCs/>
          <w:color w:val="1F3A5F"/>
        </w:rPr>
        <w:t xml:space="preserve">What the run did. </w:t>
      </w:r>
      <w:r>
        <w:t xml:space="preserve">Wrote 42 top-of-search rows in the sweep (2212–2253). Six raise the modifier on retagged ranking campaigns. The other 36 cut one −10% rung because “the premium buys rank”: 23 on campaigns with under 15 clicks in 90 days, 2 inside their ceiling, 5 over it, and 6 on retagged plan terms with no read.</w:t>
      </w:r>
    </w:p>
    <w:p>
      <w:pPr>
        <w:spacing w:after="100"/>
      </w:pPr>
      <w:r>
        <w:rPr>
          <w:b/>
          <w:bCs/>
        </w:rPr>
        <w:t xml:space="preserve">B08KQHRDDG-(PAT)-Targeting-(Conversion)-DO-BAMBOO-KING-WHITE</w:t>
      </w:r>
      <w:r>
        <w:t xml:space="preserve"> — ACoS 9.7% on 586 clicks and 142 orders in 90 days; $481 in the last 14 days. The run cuts the modifier 32% → 29% (2212). The 21 September corrections named this campaign: “inside its ceiling — hold; reverse the TOS modifier cut”. The cut is back. Correction: hold.</w:t>
      </w:r>
    </w:p>
    <w:p>
      <w:pPr>
        <w:spacing w:after="100"/>
      </w:pPr>
      <w:r>
        <w:rPr>
          <w:b/>
          <w:bCs/>
        </w:rPr>
        <w:t xml:space="preserve">Bamboo Sheets-(VHSV)-Broad-(DISC)-DO-BAMBOO-KING-WHITE</w:t>
      </w:r>
      <w:r>
        <w:t xml:space="preserve"> — 86 orders at ACoS 27.5%, inside the discovery band, and the survivor the other three discovery broads fold into (2411–2413). The run cuts 38% → 34% (2230). Correction: hold.</w:t>
      </w:r>
    </w:p>
    <w:p>
      <w:pPr>
        <w:spacing w:after="100"/>
      </w:pPr>
      <w:r>
        <w:rPr>
          <w:b/>
          <w:bCs/>
        </w:rPr>
        <w:t xml:space="preserve">100% bamboo viscose sheets-[Bamboo]-(LSV)-Exact-(Ranking)-FIX-BAMBOO-KING-WHITE</w:t>
      </w:r>
      <w:r>
        <w:t xml:space="preserve"> — 7 clicks in 90 days. The run cuts 88% → 79% (2219), retags it Conversions and renames it KING-CREME (C3). Correction: thin, so hold.</w:t>
      </w:r>
    </w:p>
    <w:p>
      <w:pPr>
        <w:spacing w:after="100"/>
      </w:pPr>
      <w:r>
        <w:rPr>
          <w:b/>
          <w:bCs/>
        </w:rPr>
        <w:t xml:space="preserve">B07YKCZHGK-(PAT)-Targeting-(Conversion)-DO-BAMBOO-KING-CREME</w:t>
      </w:r>
      <w:r>
        <w:t xml:space="preserve"> — seven ASIN bids cut to $1.50, up to −25% (2120–2126), on a 90-day ACoS of 45.9%. The 21 September document read it on 14 days at 23% and held it. The sweep reads only 90 days, and it prices break-even at 34.4% where the brief says 33.3%.</w:t>
      </w:r>
    </w:p>
    <w:p>
      <w:pPr>
        <w:spacing w:after="100"/>
      </w:pPr>
      <w:r>
        <w:rPr>
          <w:b/>
          <w:bCs/>
          <w:color w:val="1F3A5F"/>
        </w:rPr>
        <w:t xml:space="preserve">Correction. </w:t>
      </w:r>
      <w:r>
        <w:t xml:space="preserve">Reverse the 25 cuts on thin or inside-ceiling campaigns (2212, 2230, 2218, 2219, 2222–2228, 2231, 2232, 2234–2237, 2239, 2241, 2245–2249, 2251). Keep the over-ceiling bid-downs (2214, 2216, 2217); 2215 is on a paused campaign. Read 14 days beside 90 before the B07YKCZHGK cut loads.</w:t>
      </w:r>
    </w:p>
    <w:p>
      <w:pPr>
        <w:pStyle w:val="Heading1"/>
      </w:pPr>
      <w:r>
        <w:t xml:space="preserve">C3. Advertised child, names and objective tags</w:t>
      </w:r>
    </w:p>
    <w:p>
      <w:pPr>
        <w:spacing w:after="100"/>
      </w:pPr>
      <w:r>
        <w:rPr>
          <w:b/>
          <w:bCs/>
          <w:color w:val="1F3A5F"/>
        </w:rPr>
        <w:t xml:space="preserve">The rule. </w:t>
      </w:r>
      <w:r>
        <w:t xml:space="preserve">Every campaign advertises its size’s hero while the hero has room, and the serving child when it doesn’t; a keyword that names a colour keeps its colour. A campaign’s name says the child it actually advertises.</w:t>
      </w:r>
    </w:p>
    <w:p>
      <w:pPr>
        <w:spacing w:after="100"/>
      </w:pPr>
      <w:r>
        <w:rPr>
          <w:b/>
          <w:bCs/>
          <w:color w:val="1F3A5F"/>
        </w:rPr>
        <w:t xml:space="preserve">What the run did. </w:t>
      </w:r>
      <w:r>
        <w:t xml:space="preserve">Wrote 64 child rows. 60 follow the size pivot: Queen White → Olive (33), California King White → Burgundy-New (15), Full White → Light Olive (11) and Twin White → Burgundy-New (1). It also wrote 22 renames and 34 objective retags.</w:t>
      </w:r>
    </w:p>
    <w:p>
      <w:pPr>
        <w:pStyle w:val="ListParagraph"/>
        <w:numPr>
          <w:ilvl w:val="0"/>
          <w:numId w:val="2"/>
        </w:numPr>
        <w:spacing w:after="60"/>
      </w:pPr>
      <w:r>
        <w:rPr>
          <w:b/>
          <w:bCs/>
        </w:rPr>
        <w:t xml:space="preserve">King is not re-pointed, and shouldn’t be. </w:t>
      </w:r>
      <w:r>
        <w:t xml:space="preserve">Engine check 1 fails on it (“26 holds on a served hero with no swap row”). But the King hero has 228 units: 24 days at today’s rate, with 606 landing 10-16, 18 days out. That covers the arrival at today’s pace. The product audit also found White the best King converter (12.95% paid CVR on 12,562 clicks). Keep King on White, and record the check failure as a check that read push pace on a size that isn’t pushed.</w:t>
      </w:r>
    </w:p>
    <w:p>
      <w:pPr>
        <w:pStyle w:val="ListParagraph"/>
        <w:numPr>
          <w:ilvl w:val="0"/>
          <w:numId w:val="2"/>
        </w:numPr>
        <w:spacing w:after="60"/>
      </w:pPr>
      <w:r>
        <w:rPr>
          <w:b/>
          <w:bCs/>
        </w:rPr>
        <w:t xml:space="preserve">17 renames write “KING-CREME” into names whose ad stays on BAMBOO-KING-WHITE </w:t>
      </w:r>
      <w:r>
        <w:t xml:space="preserve">(2423, 2424, 2426–2429, 2431–2439, 2441, 2443; none has a child row). The run creates the exact name-versus-child mismatch its own structure rows 2417–2422 flag. Rename with the child actually advertised, or hold the renames.</w:t>
      </w:r>
    </w:p>
    <w:p>
      <w:pPr>
        <w:pStyle w:val="ListParagraph"/>
        <w:numPr>
          <w:ilvl w:val="0"/>
          <w:numId w:val="2"/>
        </w:numPr>
        <w:spacing w:after="60"/>
      </w:pPr>
      <w:r>
        <w:rPr>
          <w:b/>
          <w:bCs/>
        </w:rPr>
        <w:t xml:space="preserve">2188 and 2164. </w:t>
      </w:r>
      <w:r>
        <w:t xml:space="preserve">“Bamboo Taupe Sheets King” moves to BAMBOO-TWIN-TAUPE, and “Purple Bamboo Sheets” (Queen) to BAMBOO-FULL-PURPLE. Both follow the operator’s colour rule, but they put a King-named and a Queen-named campaign on other sizes. Rename them in the same write, or the next structure check flags them.</w:t>
      </w:r>
    </w:p>
    <w:p>
      <w:pPr>
        <w:pStyle w:val="Heading1"/>
      </w:pPr>
      <w:r>
        <w:t xml:space="preserve">C4. New campaigns</w:t>
      </w:r>
    </w:p>
    <w:p>
      <w:pPr>
        <w:spacing w:after="100"/>
      </w:pPr>
      <w:r>
        <w:rPr>
          <w:b/>
          <w:bCs/>
          <w:color w:val="1F3A5F"/>
        </w:rPr>
        <w:t xml:space="preserve">What the run did. </w:t>
      </w:r>
      <w:r>
        <w:t xml:space="preserve">Proposed six builds. The review held the four Sponsored Brands and Sponsored Brands Video probes (the California King hero, and the S-F3 screen on “bamboo cooling sheets”), and we agree. It passed the Sponsored Display own-page defence ($10 a day) and the conquest test.</w:t>
      </w:r>
    </w:p>
    <w:p>
      <w:pPr>
        <w:spacing w:after="100"/>
      </w:pPr>
      <w:r>
        <w:rPr>
          <w:b/>
          <w:bCs/>
        </w:rPr>
        <w:t xml:space="preserve">Conquest-(PAT)-Targeting-(Conquesting)-FIX-BAMBOO-QUEEN-WHITE-TEST</w:t>
      </w:r>
      <w:r>
        <w:t xml:space="preserve"> — $47.64 a day, the largest new line in the plan, across nine rival pages. The review passed it “as a test; build it on BAMBOO-QUEEN-OLIVE”. But a pass ships the row as written, on BAMBOO-QUEEN-WHITE, the Queen hero the run pivots off, which is the same reason the review held the Sponsored Brands rows. Its better-offer test compares our average order value ($75.59) with each rival’s size price, and 5 of 9 pages read “price theirs”. Correction: hold until the child is BAMBOO-QUEEN-OLIVE and each target is paired by size.</w:t>
      </w:r>
    </w:p>
    <w:p>
      <w:pPr>
        <w:pStyle w:val="Heading1"/>
      </w:pPr>
      <w:r>
        <w:t xml:space="preserve">C5. Negatives and folds</w:t>
      </w:r>
    </w:p>
    <w:p>
      <w:pPr>
        <w:pStyle w:val="ListParagraph"/>
        <w:numPr>
          <w:ilvl w:val="0"/>
          <w:numId w:val="2"/>
        </w:numPr>
        <w:spacing w:after="60"/>
      </w:pPr>
      <w:r>
        <w:rPr>
          <w:b/>
          <w:bCs/>
        </w:rPr>
        <w:t xml:space="preserve">Walls. </w:t>
      </w:r>
      <w:r>
        <w:t xml:space="preserve">Eleven rows wall ranking terms out of broad and auto campaigns, which is the right rule. But some walls cover focus terms whose exact campaign barely serves. 2341 walls “bamboo sheets cal king” and “bamboo california king sheets” in the family discovery broad, and their exact campaigns took 5 and 3 clicks in 90 days. Wall a focus term only once its exact campaign takes 15 clicks in 14 days; until then the broad may be where its clicks come from.</w:t>
      </w:r>
    </w:p>
    <w:p>
      <w:pPr>
        <w:pStyle w:val="ListParagraph"/>
        <w:numPr>
          <w:ilvl w:val="0"/>
          <w:numId w:val="2"/>
        </w:numPr>
        <w:spacing w:after="60"/>
      </w:pPr>
      <w:r>
        <w:rPr>
          <w:b/>
          <w:bCs/>
        </w:rPr>
        <w:t xml:space="preserve">Folds. </w:t>
      </w:r>
      <w:r>
        <w:t xml:space="preserve">Folding the three extra discovery broads into the family survivor (2411–2413) is right. The eight bid rows (2108–2115) and the modifier cut (2213) on the “100 Bamboo” broad being folded are wasted, so pull them.</w:t>
      </w:r>
    </w:p>
    <w:p>
      <w:pPr>
        <w:pStyle w:val="Heading1"/>
      </w:pPr>
      <w:r>
        <w:t xml:space="preserve">C6. The predicted outcome</w:t>
      </w:r>
    </w:p>
    <w:p>
      <w:pPr>
        <w:spacing w:after="100"/>
      </w:pPr>
      <w:r>
        <w:t xml:space="preserve">The plan claims top-of-search clicks on the changed campaigns go from 19.8 to 221.9 a week, eleven times more. Of the 202 added clicks:</w:t>
      </w:r>
    </w:p>
    <w:p>
      <w:pPr>
        <w:pStyle w:val="ListParagraph"/>
        <w:numPr>
          <w:ilvl w:val="0"/>
          <w:numId w:val="2"/>
        </w:numPr>
        <w:spacing w:after="60"/>
      </w:pPr>
      <w:r>
        <w:t xml:space="preserve">91 come from three rows priced above their budgets: 1002 (32 a week on a campaign with no top-of-search impressions in 90 days), 526 (32 a week on $10), and 31 (27 a week, held);</w:t>
      </w:r>
    </w:p>
    <w:p>
      <w:pPr>
        <w:pStyle w:val="ListParagraph"/>
        <w:numPr>
          <w:ilvl w:val="0"/>
          <w:numId w:val="2"/>
        </w:numPr>
        <w:spacing w:after="60"/>
      </w:pPr>
      <w:r>
        <w:t xml:space="preserve">90 come from six retag rows (2233, 2243, 2244, 2250, 2252, 2253). Each moves from 0 to 15 a week on a +9% modifier and a +25% base, on campaigns with 0–2 clicks in 14 days and 9–18 impressions in 90;</w:t>
      </w:r>
    </w:p>
    <w:p>
      <w:pPr>
        <w:pStyle w:val="ListParagraph"/>
        <w:numPr>
          <w:ilvl w:val="0"/>
          <w:numId w:val="2"/>
        </w:numPr>
        <w:spacing w:after="60"/>
      </w:pPr>
      <w:r>
        <w:t xml:space="preserve">16.5 come from the three dose pushes.</w:t>
      </w:r>
    </w:p>
    <w:p>
      <w:pPr>
        <w:spacing w:after="100"/>
      </w:pPr>
      <w:r>
        <w:t xml:space="preserve">The review’s figure (192 a week) only removes held rows. Bid-cut savings are counted twice where rows repeat (B3). The spend baseline is 14 deal days. The product’s prediction hit rate is 13.4% (22 of 164 graded in 90 days; 62 withdrawn).</w:t>
      </w:r>
    </w:p>
    <w:p>
      <w:pPr>
        <w:spacing w:after="100"/>
      </w:pPr>
      <w:r>
        <w:rPr>
          <w:b/>
          <w:bCs/>
          <w:color w:val="1F3A5F"/>
        </w:rPr>
        <w:t xml:space="preserve">Correction. </w:t>
      </w:r>
      <w:r>
        <w:t xml:space="preserve">Cap each row’s claim at what its budget buys at its price and at the book’s rate for the step, drop paused and duplicate rows, and rebase on post-deal days as they settle. On that basis the buyable gain is about 20–30 top-of-search clicks a week, and spend rises by far less than the plan’s $277 a day. That figure is $117 a day of new builds (the conquest and five brand and display campaigns) and $163 a day priced on rows over their budgets or on starved campaigns. The pushes themselves add about $15 a day.</w:t>
      </w:r>
    </w:p>
    <w:p>
      <w:pPr>
        <w:pStyle w:val="Heading1"/>
      </w:pPr>
      <w:r>
        <w:t xml:space="preserve">C7. Rows in the change file that should not load</w:t>
      </w:r>
    </w:p>
    <w:p>
      <w:pPr>
        <w:pStyle w:val="ListParagraph"/>
        <w:numPr>
          <w:ilvl w:val="0"/>
          <w:numId w:val="2"/>
        </w:numPr>
        <w:spacing w:after="60"/>
      </w:pPr>
      <w:r>
        <w:rPr>
          <w:b/>
          <w:bCs/>
        </w:rPr>
        <w:t xml:space="preserve">40 rows the engine itself gates to HOLD </w:t>
      </w:r>
      <w:r>
        <w:t xml:space="preserve">(“change → HOLD”; 39 passed by the review): 71–77, 86, 88–91, 93, 94, 121–123, 127, 130, 149, 156, 159, 160, 170, 173, 239, 242, 270, 273–276, 278, 403, 462, 493, 522, 571, 913, 1195.</w:t>
      </w:r>
    </w:p>
    <w:p>
      <w:pPr>
        <w:pStyle w:val="ListParagraph"/>
        <w:numPr>
          <w:ilvl w:val="0"/>
          <w:numId w:val="2"/>
        </w:numPr>
        <w:spacing w:after="60"/>
      </w:pPr>
      <w:r>
        <w:rPr>
          <w:b/>
          <w:bCs/>
        </w:rPr>
        <w:t xml:space="preserve">17 rows on paused campaigns: </w:t>
      </w:r>
      <w:r>
        <w:t xml:space="preserve">86–94, 156–160, 2127–2132, 2215 (10 overlap the list above).</w:t>
      </w:r>
    </w:p>
    <w:p>
      <w:pPr>
        <w:pStyle w:val="ListParagraph"/>
        <w:numPr>
          <w:ilvl w:val="0"/>
          <w:numId w:val="2"/>
        </w:numPr>
        <w:spacing w:after="60"/>
      </w:pPr>
      <w:r>
        <w:rPr>
          <w:b/>
          <w:bCs/>
        </w:rPr>
        <w:t xml:space="preserve">11 duplicate bid rows: </w:t>
      </w:r>
      <w:r>
        <w:t xml:space="preserve">2112–2115, 2117, 2119, 2130–2132, 2134, 2136. Five rows on the “100 Bamboo” broad being folded: 2108–2111, 2213.</w:t>
      </w:r>
    </w:p>
    <w:p>
      <w:pPr>
        <w:pStyle w:val="ListParagraph"/>
        <w:numPr>
          <w:ilvl w:val="0"/>
          <w:numId w:val="2"/>
        </w:numPr>
        <w:spacing w:after="60"/>
      </w:pPr>
      <w:r>
        <w:rPr>
          <w:b/>
          <w:bCs/>
        </w:rPr>
        <w:t xml:space="preserve">25 sweep modifier cuts on thin or inside-ceiling campaigns </w:t>
      </w:r>
      <w:r>
        <w:t xml:space="preserve">(C2).</w:t>
      </w:r>
    </w:p>
    <w:p>
      <w:pPr>
        <w:pStyle w:val="ListParagraph"/>
        <w:numPr>
          <w:ilvl w:val="0"/>
          <w:numId w:val="2"/>
        </w:numPr>
        <w:spacing w:after="60"/>
      </w:pPr>
      <w:r>
        <w:rPr>
          <w:b/>
          <w:bCs/>
        </w:rPr>
        <w:t xml:space="preserve">17 “KING-CREME” renames </w:t>
      </w:r>
      <w:r>
        <w:t xml:space="preserve">(C3), and the conquest build 2330 until it is re-pointed (C4).</w:t>
      </w:r>
    </w:p>
    <w:p>
      <w:pPr>
        <w:pStyle w:val="ListParagraph"/>
        <w:numPr>
          <w:ilvl w:val="0"/>
          <w:numId w:val="2"/>
        </w:numPr>
        <w:spacing w:after="60"/>
      </w:pPr>
      <w:r>
        <w:rPr>
          <w:b/>
          <w:bCs/>
        </w:rPr>
        <w:t xml:space="preserve">To correct, not pull: </w:t>
      </w:r>
      <w:r>
        <w:t xml:space="preserve">288, 369, 398 to +30% (A2); 687 and 1002 to no move until they serve, and 296 and 297 dropped (A3); 526’s claim; and 2147 (a budget of $5.37 → $13.05, +143%, while its text says “inside a single +30% step”) capped at $6.98.</w:t>
      </w:r>
    </w:p>
    <w:p>
      <w:pPr>
        <w:pStyle w:val="ListParagraph"/>
        <w:numPr>
          <w:ilvl w:val="0"/>
          <w:numId w:val="2"/>
        </w:numPr>
        <w:spacing w:after="60"/>
      </w:pPr>
      <w:r>
        <w:rPr>
          <w:b/>
          <w:bCs/>
        </w:rPr>
        <w:t xml:space="preserve">To load by hand: </w:t>
      </w:r>
      <w:r>
        <w:t xml:space="preserve">the four in-focus budget raises the code check held (287, 368, 397, 686). The check failed, not the rows. The three idle pauses (2000, 2254, 2255) are harmless hygiene and can load or wait.</w:t>
      </w:r>
    </w:p>
    <w:p>
      <w:pPr>
        <w:pStyle w:val="ListParagraph"/>
        <w:numPr>
          <w:ilvl w:val="0"/>
          <w:numId w:val="2"/>
        </w:numPr>
        <w:spacing w:after="60"/>
      </w:pPr>
      <w:r>
        <w:rPr>
          <w:b/>
          <w:bCs/>
        </w:rPr>
        <w:t xml:space="preserve">The two engine checks are named this time: </w:t>
      </w:r>
      <w:r>
        <w:t xml:space="preserve">check 1 (King swap) is rejected in C3, and check 2 (R14 probes) is covered by the review’s holds.</w:t>
      </w:r>
    </w:p>
    <w:p>
      <w:pPr>
        <w:pStyle w:val="Heading1"/>
      </w:pPr>
      <w:r>
        <w:t xml:space="preserve">C8. What the app should change so the next run gets these right</w:t>
      </w:r>
    </w:p>
    <w:p>
      <w:pPr>
        <w:spacing w:after="100"/>
      </w:pPr>
      <w:r>
        <w:t xml:space="preserve">Carried over from 21 September and still open:</w:t>
      </w:r>
    </w:p>
    <w:p>
      <w:pPr>
        <w:pStyle w:val="ListParagraph"/>
        <w:numPr>
          <w:ilvl w:val="0"/>
          <w:numId w:val="2"/>
        </w:numPr>
        <w:spacing w:after="60"/>
      </w:pPr>
      <w:r>
        <w:rPr>
          <w:b/>
          <w:bCs/>
        </w:rPr>
        <w:t xml:space="preserve">See the deal. </w:t>
      </w:r>
      <w:r>
        <w:t xml:space="preserve">engine_read is still null, and the Summary says “No deal in the window” even though the Lightning Deal on 10-26 sits inside the brief’s own 09-28 → 10-28 window. It lands one day before the Queen and Full kill dates (10-27).</w:t>
      </w:r>
    </w:p>
    <w:p>
      <w:pPr>
        <w:pStyle w:val="ListParagraph"/>
        <w:numPr>
          <w:ilvl w:val="0"/>
          <w:numId w:val="2"/>
        </w:numPr>
        <w:spacing w:after="60"/>
      </w:pPr>
      <w:r>
        <w:rPr>
          <w:b/>
          <w:bCs/>
        </w:rPr>
        <w:t xml:space="preserve">Read the right window. </w:t>
      </w:r>
      <w:r>
        <w:t xml:space="preserve">The flagship’s delivery (79 a week) is a 90-day average; in the deal it ran about 331 a week. The B07YKCZHGK cut reads only 90 days.</w:t>
      </w:r>
    </w:p>
    <w:p>
      <w:pPr>
        <w:pStyle w:val="ListParagraph"/>
        <w:numPr>
          <w:ilvl w:val="0"/>
          <w:numId w:val="2"/>
        </w:numPr>
        <w:spacing w:after="60"/>
      </w:pPr>
      <w:r>
        <w:rPr>
          <w:b/>
          <w:bCs/>
        </w:rPr>
        <w:t xml:space="preserve">One rank source. </w:t>
      </w:r>
      <w:r>
        <w:t xml:space="preserve">“bamboo sheets” and “bamboo sheets queen size” have no current rank in the brief, and the Bamboo and Bamboo|Queen groups are missing from the Rank tab, while the campaigns claim ranks. Row 571’s “today’s reading” is from 26 June.</w:t>
      </w:r>
    </w:p>
    <w:p>
      <w:pPr>
        <w:pStyle w:val="ListParagraph"/>
        <w:numPr>
          <w:ilvl w:val="0"/>
          <w:numId w:val="2"/>
        </w:numPr>
        <w:spacing w:after="60"/>
      </w:pPr>
      <w:r>
        <w:rPr>
          <w:b/>
          <w:bCs/>
        </w:rPr>
        <w:t xml:space="preserve">Budget moves with the push. </w:t>
      </w:r>
      <w:r>
        <w:t xml:space="preserve">A budget row whose prediction reads “no claim” fails the prediction check and is held automatically, while its price half ships. Fix the check, and load the pair together.</w:t>
      </w:r>
    </w:p>
    <w:p>
      <w:pPr>
        <w:pStyle w:val="ListParagraph"/>
        <w:numPr>
          <w:ilvl w:val="0"/>
          <w:numId w:val="2"/>
        </w:numPr>
        <w:spacing w:after="60"/>
      </w:pPr>
      <w:r>
        <w:rPr>
          <w:b/>
          <w:bCs/>
        </w:rPr>
        <w:t xml:space="preserve">Carry the gate’s verdict into the export. </w:t>
      </w:r>
      <w:r>
        <w:t xml:space="preserve">40 “change → HOLD” rows export as changes (35 last time). Drop no-op rows on paused campaigns, and de-duplicate targets that appear twice (by id and by keyword).</w:t>
      </w:r>
    </w:p>
    <w:p>
      <w:pPr>
        <w:pStyle w:val="ListParagraph"/>
        <w:numPr>
          <w:ilvl w:val="0"/>
          <w:numId w:val="2"/>
        </w:numPr>
        <w:spacing w:after="60"/>
      </w:pPr>
      <w:r>
        <w:rPr>
          <w:b/>
          <w:bCs/>
        </w:rPr>
        <w:t xml:space="preserve">Grade before writing, and cite the record. </w:t>
      </w:r>
      <w:r>
        <w:t xml:space="preserve">91 of the 172 price rows sit on 49 campaigns whose tuner records read behind, stalled or wrong-direction, and none cites its record (42% last time, 53% now).</w:t>
      </w:r>
    </w:p>
    <w:p>
      <w:pPr>
        <w:spacing w:after="100"/>
      </w:pPr>
      <w:r>
        <w:t xml:space="preserve">New from this run:</w:t>
      </w:r>
    </w:p>
    <w:p>
      <w:pPr>
        <w:pStyle w:val="ListParagraph"/>
        <w:numPr>
          <w:ilvl w:val="0"/>
          <w:numId w:val="2"/>
        </w:numPr>
        <w:spacing w:after="60"/>
      </w:pPr>
      <w:r>
        <w:rPr>
          <w:b/>
          <w:bCs/>
        </w:rPr>
        <w:t xml:space="preserve">Verify execution. </w:t>
      </w:r>
      <w:r>
        <w:t xml:space="preserve">Record what loaded from every run, and keep every run in “previous”. Nothing from 09-21 loaded, and the 19 September correction on Cal King did not load either.</w:t>
      </w:r>
    </w:p>
    <w:p>
      <w:pPr>
        <w:pStyle w:val="ListParagraph"/>
        <w:numPr>
          <w:ilvl w:val="0"/>
          <w:numId w:val="2"/>
        </w:numPr>
        <w:spacing w:after="60"/>
      </w:pPr>
      <w:r>
        <w:rPr>
          <w:b/>
          <w:bCs/>
        </w:rPr>
        <w:t xml:space="preserve">Keep a row’s prose true to its column. </w:t>
      </w:r>
      <w:r>
        <w:t xml:space="preserve">369 says “held to 200%” and “not pushed” while writing 425%. 687 says “no climb” while climbing. 398 quotes a 187% version, and 2147 calls +143% “a single +30% step”.</w:t>
      </w:r>
    </w:p>
    <w:p>
      <w:pPr>
        <w:pStyle w:val="ListParagraph"/>
        <w:numPr>
          <w:ilvl w:val="0"/>
          <w:numId w:val="2"/>
        </w:numPr>
        <w:spacing w:after="60"/>
      </w:pPr>
      <w:r>
        <w:rPr>
          <w:b/>
          <w:bCs/>
        </w:rPr>
        <w:t xml:space="preserve">Bind reshape pairs. </w:t>
      </w:r>
      <w:r>
        <w:t xml:space="preserve">A modifier and its base rows load together or not at all.</w:t>
      </w:r>
    </w:p>
    <w:p>
      <w:pPr>
        <w:pStyle w:val="ListParagraph"/>
        <w:numPr>
          <w:ilvl w:val="0"/>
          <w:numId w:val="2"/>
        </w:numPr>
        <w:spacing w:after="60"/>
      </w:pPr>
      <w:r>
        <w:rPr>
          <w:b/>
          <w:bCs/>
        </w:rPr>
        <w:t xml:space="preserve">Cap predictions at what the budget buys. </w:t>
      </w:r>
      <w:r>
        <w:t xml:space="preserve">Don’t predict clicks for a campaign that is not serving, and don’t price a row above its budget in the outcome.</w:t>
      </w:r>
    </w:p>
    <w:p>
      <w:pPr>
        <w:pStyle w:val="ListParagraph"/>
        <w:numPr>
          <w:ilvl w:val="0"/>
          <w:numId w:val="2"/>
        </w:numPr>
        <w:spacing w:after="60"/>
      </w:pPr>
      <w:r>
        <w:rPr>
          <w:b/>
          <w:bCs/>
        </w:rPr>
        <w:t xml:space="preserve">A surfaced money decision needs a decision row. </w:t>
      </w:r>
      <w:r>
        <w:t xml:space="preserve">The flagship’s “a human decides” sits in a hold row no one reads.</w:t>
      </w:r>
    </w:p>
    <w:p>
      <w:pPr>
        <w:pStyle w:val="ListParagraph"/>
        <w:numPr>
          <w:ilvl w:val="0"/>
          <w:numId w:val="2"/>
        </w:numPr>
        <w:spacing w:after="60"/>
      </w:pPr>
      <w:r>
        <w:rPr>
          <w:b/>
          <w:bCs/>
        </w:rPr>
        <w:t xml:space="preserve">Names follow the child. </w:t>
      </w:r>
      <w:r>
        <w:t xml:space="preserve">Never write a child into a name that isn’t the advertised one.</w:t>
      </w:r>
    </w:p>
    <w:p>
      <w:pPr>
        <w:pStyle w:val="ListParagraph"/>
        <w:numPr>
          <w:ilvl w:val="0"/>
          <w:numId w:val="2"/>
        </w:numPr>
        <w:spacing w:after="60"/>
      </w:pPr>
      <w:r>
        <w:rPr>
          <w:b/>
          <w:bCs/>
        </w:rPr>
        <w:t xml:space="preserve">Collapse rule in focus. </w:t>
      </w:r>
      <w:r>
        <w:t xml:space="preserve">Name the cause for losses over 10 positions (today the freeze starts at 30), and push the focus terms whose campaigns are tagged to another group.</w:t>
      </w:r>
    </w:p>
    <w:p>
      <w:pPr>
        <w:pStyle w:val="ListParagraph"/>
        <w:numPr>
          <w:ilvl w:val="0"/>
          <w:numId w:val="2"/>
        </w:numPr>
        <w:spacing w:after="60"/>
      </w:pPr>
      <w:r>
        <w:rPr>
          <w:b/>
          <w:bCs/>
        </w:rPr>
        <w:t xml:space="preserve">One break-even. </w:t>
      </w:r>
      <w:r>
        <w:t xml:space="preserve">The brief uses 33.3%, the sweep 34.4%, and the lane ceiling $3.51.</w:t>
      </w:r>
    </w:p>
    <w:p>
      <w:pPr>
        <w:pStyle w:val="ListParagraph"/>
        <w:numPr>
          <w:ilvl w:val="0"/>
          <w:numId w:val="2"/>
        </w:numPr>
        <w:spacing w:after="60"/>
      </w:pPr>
      <w:r>
        <w:rPr>
          <w:b/>
          <w:bCs/>
        </w:rPr>
        <w:t xml:space="preserve">Complete the campaign list. </w:t>
      </w:r>
      <w:r>
        <w:t xml:space="preserve">22 campaigns that carry decisions are missing from the export’s campaign list, so their arithmetic can’t be recomputed.</w:t>
      </w:r>
    </w:p>
    <w:p>
      <w:pPr>
        <w:pStyle w:val="Heading1"/>
      </w:pPr>
      <w:r>
        <w:t xml:space="preserve">Part D — After the deal: is this the right focus?</w:t>
      </w:r>
    </w:p>
    <w:p>
      <w:pPr>
        <w:spacing w:after="100"/>
      </w:pPr>
      <w:r>
        <w:t xml:space="preserve">The run takes the Bamboo head term out of focus and pushes California King and Bamboo|Cooling. The engine didn’t choose that; the focus is a setting on the run. What the data says about it:</w:t>
      </w:r>
    </w:p>
    <w:p>
      <w:pPr>
        <w:pStyle w:val="Heading1"/>
      </w:pPr>
      <w:r>
        <w:t xml:space="preserve">D1. The answer in one page</w:t>
      </w:r>
    </w:p>
    <w:p>
      <w:pPr>
        <w:pStyle w:val="ListParagraph"/>
        <w:numPr>
          <w:ilvl w:val="0"/>
          <w:numId w:val="2"/>
        </w:numPr>
        <w:spacing w:after="60"/>
      </w:pPr>
      <w:r>
        <w:rPr>
          <w:b/>
          <w:bCs/>
        </w:rPr>
        <w:t xml:space="preserve">The deal bought volume, not rank on the head. </w:t>
      </w:r>
      <w:r>
        <w:t xml:space="preserve">Orders rose a third at 44% ACoS against a 33% break-even; Bamboo went 35 → 33. The daily push the 21 September corrections called for never loaded, so whether more top-of-search price buys rank on “bamboo sheets” is still untested.</w:t>
      </w:r>
    </w:p>
    <w:p>
      <w:pPr>
        <w:pStyle w:val="ListParagraph"/>
        <w:numPr>
          <w:ilvl w:val="0"/>
          <w:numId w:val="2"/>
        </w:numPr>
        <w:spacing w:after="60"/>
      </w:pPr>
      <w:r>
        <w:rPr>
          <w:b/>
          <w:bCs/>
        </w:rPr>
        <w:t xml:space="preserve">The new focus is small. </w:t>
      </w:r>
      <w:r>
        <w:t xml:space="preserve">In the deal, California King spent $16 a day for 4 orders (ACoS 68%) and Bamboo|Cooling $66 a day for 22 orders (53%), against Bamboo’s $937 a day. Together they are about 7% of spend.</w:t>
      </w:r>
    </w:p>
    <w:p>
      <w:pPr>
        <w:pStyle w:val="ListParagraph"/>
        <w:numPr>
          <w:ilvl w:val="0"/>
          <w:numId w:val="2"/>
        </w:numPr>
        <w:spacing w:after="60"/>
      </w:pPr>
      <w:r>
        <w:rPr>
          <w:b/>
          <w:bCs/>
        </w:rPr>
        <w:t xml:space="preserve">California King is the weakest place to push. </w:t>
      </w:r>
      <w:r>
        <w:t xml:space="preserve">The hero has 44 units and nothing inbound; the engine prices the top term’s prize at about 0.4 orders a week; the group is already at 17; and CVR fell to 8% in the deal. The push also moves the ad to a child the tracker may not read (A4).</w:t>
      </w:r>
    </w:p>
    <w:p>
      <w:pPr>
        <w:pStyle w:val="ListParagraph"/>
        <w:numPr>
          <w:ilvl w:val="0"/>
          <w:numId w:val="2"/>
        </w:numPr>
        <w:spacing w:after="60"/>
      </w:pPr>
      <w:r>
        <w:rPr>
          <w:b/>
          <w:bCs/>
        </w:rPr>
        <w:t xml:space="preserve">Bamboo|Cooling is the better half. </w:t>
      </w:r>
      <w:r>
        <w:t xml:space="preserve">The cooling groups moved most in the deal (Cooling +16, Cooling|King +21, Cooling|Queen +19), Bamboo|Cooling reached 26 mid-deal, the group converts at 11%, and its head term has 8,166 searches. But its head campaign is held (A5), and 10 of its 19 terms are not pushed.</w:t>
      </w:r>
    </w:p>
    <w:p>
      <w:pPr>
        <w:pStyle w:val="ListParagraph"/>
        <w:numPr>
          <w:ilvl w:val="0"/>
          <w:numId w:val="2"/>
        </w:numPr>
        <w:spacing w:after="60"/>
      </w:pPr>
      <w:r>
        <w:rPr>
          <w:b/>
          <w:bCs/>
        </w:rPr>
        <w:t xml:space="preserve">The taper leaves the money where it was. </w:t>
      </w:r>
      <w:r>
        <w:t xml:space="preserve">The flagship holds $340 a day at 299% after the deal, and the plan’s spend goes up $277 a day, not down. Out of focus should mean no new money, and the head is still being funded at deal level by default.</w:t>
      </w:r>
    </w:p>
    <w:p>
      <w:pPr>
        <w:pStyle w:val="ListParagraph"/>
        <w:numPr>
          <w:ilvl w:val="0"/>
          <w:numId w:val="2"/>
        </w:numPr>
        <w:spacing w:after="60"/>
      </w:pPr>
      <w:r>
        <w:rPr>
          <w:b/>
          <w:bCs/>
        </w:rPr>
        <w:t xml:space="preserve">Bamboo|King is the candidate the run ignores. </w:t>
      </w:r>
      <w:r>
        <w:t xml:space="preserve">It moved 31 → 27, and 48 orders came in the deal (ACoS 55%). Its hero is the best King converter, and 606 units land 10-16.</w:t>
      </w:r>
    </w:p>
    <w:p>
      <w:pPr>
        <w:pStyle w:val="Heading1"/>
      </w:pPr>
      <w:r>
        <w:t xml:space="preserve">D2. The groups side by side (deal, 09-15 → 09-27)</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900"/>
        <w:gridCol w:w="900"/>
        <w:gridCol w:w="1300"/>
        <w:gridCol w:w="1772"/>
      </w:tblGrid>
      <w:tr>
        <w:trPr>
          <w:tblHeader/>
        </w:trPr>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Group</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Spend / day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Orders / day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ACoS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CVR (before)</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Rank 14 → 28 Sep</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Hero stock</w:t>
            </w:r>
          </w:p>
        </w:tc>
        <w:tc>
          <w:tcPr>
            <w:tcW w:type="dxa" w:w="1772"/>
            <w:shd w:fill="1F3A5F" w:color="auto" w:val="clear"/>
            <w:tcMar>
              <w:top w:type="dxa" w:w="40"/>
              <w:left w:type="dxa" w:w="70"/>
              <w:bottom w:type="dxa" w:w="40"/>
              <w:right w:type="dxa" w:w="70"/>
            </w:tcMar>
          </w:tcPr>
          <w:p>
            <w:pPr>
              <w:spacing w:after="0"/>
            </w:pPr>
            <w:r>
              <w:rPr>
                <w:b/>
                <w:bCs/>
                <w:color w:val="FFFFFF"/>
                <w:sz w:val="17"/>
                <w:szCs w:val="17"/>
              </w:rPr>
              <w:t xml:space="preserve">Head term (searches), rank</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(out)</w:t>
            </w:r>
          </w:p>
        </w:tc>
        <w:tc>
          <w:tcPr>
            <w:tcW w:type="dxa" w:w="1000"/>
            <w:shd w:fill="FFFFFF" w:color="auto" w:val="clear"/>
            <w:tcMar>
              <w:top w:type="dxa" w:w="40"/>
              <w:left w:type="dxa" w:w="70"/>
              <w:bottom w:type="dxa" w:w="40"/>
              <w:right w:type="dxa" w:w="70"/>
            </w:tcMar>
          </w:tcPr>
          <w:p>
            <w:pPr>
              <w:spacing w:after="0"/>
            </w:pPr>
            <w:r>
              <w:rPr>
                <w:sz w:val="17"/>
                <w:szCs w:val="17"/>
              </w:rPr>
              <w:t xml:space="preserve">$937 ($460)</w:t>
            </w:r>
          </w:p>
        </w:tc>
        <w:tc>
          <w:tcPr>
            <w:tcW w:type="dxa" w:w="900"/>
            <w:shd w:fill="FFFFFF" w:color="auto" w:val="clear"/>
            <w:tcMar>
              <w:top w:type="dxa" w:w="40"/>
              <w:left w:type="dxa" w:w="70"/>
              <w:bottom w:type="dxa" w:w="40"/>
              <w:right w:type="dxa" w:w="70"/>
            </w:tcMar>
          </w:tcPr>
          <w:p>
            <w:pPr>
              <w:spacing w:after="0"/>
            </w:pPr>
            <w:r>
              <w:rPr>
                <w:sz w:val="17"/>
                <w:szCs w:val="17"/>
              </w:rPr>
              <w:t xml:space="preserve">25.9 (17.6)</w:t>
            </w:r>
          </w:p>
        </w:tc>
        <w:tc>
          <w:tcPr>
            <w:tcW w:type="dxa" w:w="900"/>
            <w:shd w:fill="FFFFFF" w:color="auto" w:val="clear"/>
            <w:tcMar>
              <w:top w:type="dxa" w:w="40"/>
              <w:left w:type="dxa" w:w="70"/>
              <w:bottom w:type="dxa" w:w="40"/>
              <w:right w:type="dxa" w:w="70"/>
            </w:tcMar>
          </w:tcPr>
          <w:p>
            <w:pPr>
              <w:spacing w:after="0"/>
            </w:pPr>
            <w:r>
              <w:rPr>
                <w:sz w:val="17"/>
                <w:szCs w:val="17"/>
              </w:rPr>
              <w:t xml:space="preserve">50.3% (33.8%)</w:t>
            </w:r>
          </w:p>
        </w:tc>
        <w:tc>
          <w:tcPr>
            <w:tcW w:type="dxa" w:w="900"/>
            <w:shd w:fill="FFFFFF" w:color="auto" w:val="clear"/>
            <w:tcMar>
              <w:top w:type="dxa" w:w="40"/>
              <w:left w:type="dxa" w:w="70"/>
              <w:bottom w:type="dxa" w:w="40"/>
              <w:right w:type="dxa" w:w="70"/>
            </w:tcMar>
          </w:tcPr>
          <w:p>
            <w:pPr>
              <w:spacing w:after="0"/>
            </w:pPr>
            <w:r>
              <w:rPr>
                <w:sz w:val="17"/>
                <w:szCs w:val="17"/>
              </w:rPr>
              <w:t xml:space="preserve">10.7% (13.1%)</w:t>
            </w:r>
          </w:p>
        </w:tc>
        <w:tc>
          <w:tcPr>
            <w:tcW w:type="dxa" w:w="900"/>
            <w:shd w:fill="FFFFFF" w:color="auto" w:val="clear"/>
            <w:tcMar>
              <w:top w:type="dxa" w:w="40"/>
              <w:left w:type="dxa" w:w="70"/>
              <w:bottom w:type="dxa" w:w="40"/>
              <w:right w:type="dxa" w:w="70"/>
            </w:tcMar>
          </w:tcPr>
          <w:p>
            <w:pPr>
              <w:spacing w:after="0"/>
            </w:pPr>
            <w:r>
              <w:rPr>
                <w:sz w:val="17"/>
                <w:szCs w:val="17"/>
              </w:rPr>
              <w:t xml:space="preserve">35 → 33</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 228 (+606 on 10-16); Queen White 82</w:t>
            </w:r>
          </w:p>
        </w:tc>
        <w:tc>
          <w:tcPr>
            <w:tcW w:type="dxa" w:w="1772"/>
            <w:shd w:fill="FFFFFF" w:color="auto" w:val="clear"/>
            <w:tcMar>
              <w:top w:type="dxa" w:w="40"/>
              <w:left w:type="dxa" w:w="70"/>
              <w:bottom w:type="dxa" w:w="40"/>
              <w:right w:type="dxa" w:w="70"/>
            </w:tcMar>
          </w:tcPr>
          <w:p>
            <w:pPr>
              <w:spacing w:after="0"/>
            </w:pPr>
            <w:r>
              <w:rPr>
                <w:sz w:val="17"/>
                <w:szCs w:val="17"/>
              </w:rPr>
              <w:t xml:space="preserve">bamboo sheets (490 plan clicks/wk), no current rank in brief</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Bamboo|King (out)</w:t>
            </w:r>
          </w:p>
        </w:tc>
        <w:tc>
          <w:tcPr>
            <w:tcW w:type="dxa" w:w="1000"/>
            <w:shd w:fill="F2F5F9" w:color="auto" w:val="clear"/>
            <w:tcMar>
              <w:top w:type="dxa" w:w="40"/>
              <w:left w:type="dxa" w:w="70"/>
              <w:bottom w:type="dxa" w:w="40"/>
              <w:right w:type="dxa" w:w="70"/>
            </w:tcMar>
          </w:tcPr>
          <w:p>
            <w:pPr>
              <w:spacing w:after="0"/>
            </w:pPr>
            <w:r>
              <w:rPr>
                <w:sz w:val="17"/>
                <w:szCs w:val="17"/>
              </w:rPr>
              <w:t xml:space="preserve">$160 ($64)</w:t>
            </w:r>
          </w:p>
        </w:tc>
        <w:tc>
          <w:tcPr>
            <w:tcW w:type="dxa" w:w="900"/>
            <w:shd w:fill="F2F5F9" w:color="auto" w:val="clear"/>
            <w:tcMar>
              <w:top w:type="dxa" w:w="40"/>
              <w:left w:type="dxa" w:w="70"/>
              <w:bottom w:type="dxa" w:w="40"/>
              <w:right w:type="dxa" w:w="70"/>
            </w:tcMar>
          </w:tcPr>
          <w:p>
            <w:pPr>
              <w:spacing w:after="0"/>
            </w:pPr>
            <w:r>
              <w:rPr>
                <w:sz w:val="17"/>
                <w:szCs w:val="17"/>
              </w:rPr>
              <w:t xml:space="preserve">3.7 (2.2)</w:t>
            </w:r>
          </w:p>
        </w:tc>
        <w:tc>
          <w:tcPr>
            <w:tcW w:type="dxa" w:w="900"/>
            <w:shd w:fill="F2F5F9" w:color="auto" w:val="clear"/>
            <w:tcMar>
              <w:top w:type="dxa" w:w="40"/>
              <w:left w:type="dxa" w:w="70"/>
              <w:bottom w:type="dxa" w:w="40"/>
              <w:right w:type="dxa" w:w="70"/>
            </w:tcMar>
          </w:tcPr>
          <w:p>
            <w:pPr>
              <w:spacing w:after="0"/>
            </w:pPr>
            <w:r>
              <w:rPr>
                <w:sz w:val="17"/>
                <w:szCs w:val="17"/>
              </w:rPr>
              <w:t xml:space="preserve">55.1% (37.9%)</w:t>
            </w:r>
          </w:p>
        </w:tc>
        <w:tc>
          <w:tcPr>
            <w:tcW w:type="dxa" w:w="900"/>
            <w:shd w:fill="F2F5F9" w:color="auto" w:val="clear"/>
            <w:tcMar>
              <w:top w:type="dxa" w:w="40"/>
              <w:left w:type="dxa" w:w="70"/>
              <w:bottom w:type="dxa" w:w="40"/>
              <w:right w:type="dxa" w:w="70"/>
            </w:tcMar>
          </w:tcPr>
          <w:p>
            <w:pPr>
              <w:spacing w:after="0"/>
            </w:pPr>
            <w:r>
              <w:rPr>
                <w:sz w:val="17"/>
                <w:szCs w:val="17"/>
              </w:rPr>
              <w:t xml:space="preserve">10.9% (13.8%)</w:t>
            </w:r>
          </w:p>
        </w:tc>
        <w:tc>
          <w:tcPr>
            <w:tcW w:type="dxa" w:w="900"/>
            <w:shd w:fill="F2F5F9" w:color="auto" w:val="clear"/>
            <w:tcMar>
              <w:top w:type="dxa" w:w="40"/>
              <w:left w:type="dxa" w:w="70"/>
              <w:bottom w:type="dxa" w:w="40"/>
              <w:right w:type="dxa" w:w="70"/>
            </w:tcMar>
          </w:tcPr>
          <w:p>
            <w:pPr>
              <w:spacing w:after="0"/>
            </w:pPr>
            <w:r>
              <w:rPr>
                <w:sz w:val="17"/>
                <w:szCs w:val="17"/>
              </w:rPr>
              <w:t xml:space="preserve">31 → 27</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 228 (+606 on 10-16)</w:t>
            </w:r>
          </w:p>
        </w:tc>
        <w:tc>
          <w:tcPr>
            <w:tcW w:type="dxa" w:w="1772"/>
            <w:shd w:fill="F2F5F9" w:color="auto" w:val="clear"/>
            <w:tcMar>
              <w:top w:type="dxa" w:w="40"/>
              <w:left w:type="dxa" w:w="70"/>
              <w:bottom w:type="dxa" w:w="40"/>
              <w:right w:type="dxa" w:w="70"/>
            </w:tcMar>
          </w:tcPr>
          <w:p>
            <w:pPr>
              <w:spacing w:after="0"/>
            </w:pPr>
            <w:r>
              <w:rPr>
                <w:sz w:val="17"/>
                <w:szCs w:val="17"/>
              </w:rPr>
              <w:t xml:space="preserve">bamboo sheets king size (21,541), 35</w:t>
            </w:r>
          </w:p>
        </w:tc>
      </w:tr>
      <w:tr>
        <w:tc>
          <w:tcPr>
            <w:tcW w:type="dxa" w:w="2300"/>
            <w:shd w:fill="FFFFFF" w:color="auto" w:val="clear"/>
            <w:tcMar>
              <w:top w:type="dxa" w:w="40"/>
              <w:left w:type="dxa" w:w="70"/>
              <w:bottom w:type="dxa" w:w="40"/>
              <w:right w:type="dxa" w:w="70"/>
            </w:tcMar>
          </w:tcPr>
          <w:p>
            <w:pPr>
              <w:spacing w:after="0"/>
            </w:pPr>
            <w:r>
              <w:rPr>
                <w:sz w:val="17"/>
                <w:szCs w:val="17"/>
              </w:rPr>
              <w:t xml:space="preserve">Cooling (out)</w:t>
            </w:r>
          </w:p>
        </w:tc>
        <w:tc>
          <w:tcPr>
            <w:tcW w:type="dxa" w:w="1000"/>
            <w:shd w:fill="FFFFFF" w:color="auto" w:val="clear"/>
            <w:tcMar>
              <w:top w:type="dxa" w:w="40"/>
              <w:left w:type="dxa" w:w="70"/>
              <w:bottom w:type="dxa" w:w="40"/>
              <w:right w:type="dxa" w:w="70"/>
            </w:tcMar>
          </w:tcPr>
          <w:p>
            <w:pPr>
              <w:spacing w:after="0"/>
            </w:pPr>
            <w:r>
              <w:rPr>
                <w:sz w:val="17"/>
                <w:szCs w:val="17"/>
              </w:rPr>
              <w:t xml:space="preserve">$194 ($141)</w:t>
            </w:r>
          </w:p>
        </w:tc>
        <w:tc>
          <w:tcPr>
            <w:tcW w:type="dxa" w:w="900"/>
            <w:shd w:fill="FFFFFF" w:color="auto" w:val="clear"/>
            <w:tcMar>
              <w:top w:type="dxa" w:w="40"/>
              <w:left w:type="dxa" w:w="70"/>
              <w:bottom w:type="dxa" w:w="40"/>
              <w:right w:type="dxa" w:w="70"/>
            </w:tcMar>
          </w:tcPr>
          <w:p>
            <w:pPr>
              <w:spacing w:after="0"/>
            </w:pPr>
            <w:r>
              <w:rPr>
                <w:sz w:val="17"/>
                <w:szCs w:val="17"/>
              </w:rPr>
              <w:t xml:space="preserve">5.6 (3.8)</w:t>
            </w:r>
          </w:p>
        </w:tc>
        <w:tc>
          <w:tcPr>
            <w:tcW w:type="dxa" w:w="900"/>
            <w:shd w:fill="FFFFFF" w:color="auto" w:val="clear"/>
            <w:tcMar>
              <w:top w:type="dxa" w:w="40"/>
              <w:left w:type="dxa" w:w="70"/>
              <w:bottom w:type="dxa" w:w="40"/>
              <w:right w:type="dxa" w:w="70"/>
            </w:tcMar>
          </w:tcPr>
          <w:p>
            <w:pPr>
              <w:spacing w:after="0"/>
            </w:pPr>
            <w:r>
              <w:rPr>
                <w:sz w:val="17"/>
                <w:szCs w:val="17"/>
              </w:rPr>
              <w:t xml:space="preserve">48.1% (50.0%)</w:t>
            </w:r>
          </w:p>
        </w:tc>
        <w:tc>
          <w:tcPr>
            <w:tcW w:type="dxa" w:w="900"/>
            <w:shd w:fill="FFFFFF" w:color="auto" w:val="clear"/>
            <w:tcMar>
              <w:top w:type="dxa" w:w="40"/>
              <w:left w:type="dxa" w:w="70"/>
              <w:bottom w:type="dxa" w:w="40"/>
              <w:right w:type="dxa" w:w="70"/>
            </w:tcMar>
          </w:tcPr>
          <w:p>
            <w:pPr>
              <w:spacing w:after="0"/>
            </w:pPr>
            <w:r>
              <w:rPr>
                <w:sz w:val="17"/>
                <w:szCs w:val="17"/>
              </w:rPr>
              <w:t xml:space="preserve">9.8% (8.8%)</w:t>
            </w:r>
          </w:p>
        </w:tc>
        <w:tc>
          <w:tcPr>
            <w:tcW w:type="dxa" w:w="900"/>
            <w:shd w:fill="FFFFFF" w:color="auto" w:val="clear"/>
            <w:tcMar>
              <w:top w:type="dxa" w:w="40"/>
              <w:left w:type="dxa" w:w="70"/>
              <w:bottom w:type="dxa" w:w="40"/>
              <w:right w:type="dxa" w:w="70"/>
            </w:tcMar>
          </w:tcPr>
          <w:p>
            <w:pPr>
              <w:spacing w:after="0"/>
            </w:pPr>
            <w:r>
              <w:rPr>
                <w:sz w:val="17"/>
                <w:szCs w:val="17"/>
              </w:rPr>
              <w:t xml:space="preserve">68 → 52</w:t>
            </w:r>
          </w:p>
        </w:tc>
        <w:tc>
          <w:tcPr>
            <w:tcW w:type="dxa" w:w="1300"/>
            <w:shd w:fill="FFFFFF" w:color="auto" w:val="clear"/>
            <w:tcMar>
              <w:top w:type="dxa" w:w="40"/>
              <w:left w:type="dxa" w:w="70"/>
              <w:bottom w:type="dxa" w:w="40"/>
              <w:right w:type="dxa" w:w="70"/>
            </w:tcMar>
          </w:tcPr>
          <w:p>
            <w:pPr>
              <w:spacing w:after="0"/>
            </w:pPr>
            <w:r>
              <w:rPr>
                <w:sz w:val="17"/>
                <w:szCs w:val="17"/>
              </w:rPr>
              <w:t xml:space="preserve">by size</w:t>
            </w:r>
          </w:p>
        </w:tc>
        <w:tc>
          <w:tcPr>
            <w:tcW w:type="dxa" w:w="1772"/>
            <w:shd w:fill="FFFFFF" w:color="auto" w:val="clear"/>
            <w:tcMar>
              <w:top w:type="dxa" w:w="40"/>
              <w:left w:type="dxa" w:w="70"/>
              <w:bottom w:type="dxa" w:w="40"/>
              <w:right w:type="dxa" w:w="70"/>
            </w:tcMar>
          </w:tcPr>
          <w:p>
            <w:pPr>
              <w:spacing w:after="0"/>
            </w:pPr>
            <w:r>
              <w:rPr>
                <w:sz w:val="17"/>
                <w:szCs w:val="17"/>
              </w:rPr>
              <w:t xml:space="preserve">cooling sheets (77,377), 43</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Bamboo|Cooling (focus)</w:t>
            </w:r>
          </w:p>
        </w:tc>
        <w:tc>
          <w:tcPr>
            <w:tcW w:type="dxa" w:w="1000"/>
            <w:shd w:fill="F2F5F9" w:color="auto" w:val="clear"/>
            <w:tcMar>
              <w:top w:type="dxa" w:w="40"/>
              <w:left w:type="dxa" w:w="70"/>
              <w:bottom w:type="dxa" w:w="40"/>
              <w:right w:type="dxa" w:w="70"/>
            </w:tcMar>
          </w:tcPr>
          <w:p>
            <w:pPr>
              <w:spacing w:after="0"/>
            </w:pPr>
            <w:r>
              <w:rPr>
                <w:sz w:val="17"/>
                <w:szCs w:val="17"/>
              </w:rPr>
              <w:t xml:space="preserve">$66 ($14)</w:t>
            </w:r>
          </w:p>
        </w:tc>
        <w:tc>
          <w:tcPr>
            <w:tcW w:type="dxa" w:w="900"/>
            <w:shd w:fill="F2F5F9" w:color="auto" w:val="clear"/>
            <w:tcMar>
              <w:top w:type="dxa" w:w="40"/>
              <w:left w:type="dxa" w:w="70"/>
              <w:bottom w:type="dxa" w:w="40"/>
              <w:right w:type="dxa" w:w="70"/>
            </w:tcMar>
          </w:tcPr>
          <w:p>
            <w:pPr>
              <w:spacing w:after="0"/>
            </w:pPr>
            <w:r>
              <w:rPr>
                <w:sz w:val="17"/>
                <w:szCs w:val="17"/>
              </w:rPr>
              <w:t xml:space="preserve">1.7 (0.2)</w:t>
            </w:r>
          </w:p>
        </w:tc>
        <w:tc>
          <w:tcPr>
            <w:tcW w:type="dxa" w:w="900"/>
            <w:shd w:fill="F2F5F9" w:color="auto" w:val="clear"/>
            <w:tcMar>
              <w:top w:type="dxa" w:w="40"/>
              <w:left w:type="dxa" w:w="70"/>
              <w:bottom w:type="dxa" w:w="40"/>
              <w:right w:type="dxa" w:w="70"/>
            </w:tcMar>
          </w:tcPr>
          <w:p>
            <w:pPr>
              <w:spacing w:after="0"/>
            </w:pPr>
            <w:r>
              <w:rPr>
                <w:sz w:val="17"/>
                <w:szCs w:val="17"/>
              </w:rPr>
              <w:t xml:space="preserve">53.4% (76.9%)</w:t>
            </w:r>
          </w:p>
        </w:tc>
        <w:tc>
          <w:tcPr>
            <w:tcW w:type="dxa" w:w="900"/>
            <w:shd w:fill="F2F5F9" w:color="auto" w:val="clear"/>
            <w:tcMar>
              <w:top w:type="dxa" w:w="40"/>
              <w:left w:type="dxa" w:w="70"/>
              <w:bottom w:type="dxa" w:w="40"/>
              <w:right w:type="dxa" w:w="70"/>
            </w:tcMar>
          </w:tcPr>
          <w:p>
            <w:pPr>
              <w:spacing w:after="0"/>
            </w:pPr>
            <w:r>
              <w:rPr>
                <w:sz w:val="17"/>
                <w:szCs w:val="17"/>
              </w:rPr>
              <w:t xml:space="preserve">11.1% (5.4%)</w:t>
            </w:r>
          </w:p>
        </w:tc>
        <w:tc>
          <w:tcPr>
            <w:tcW w:type="dxa" w:w="900"/>
            <w:shd w:fill="F2F5F9" w:color="auto" w:val="clear"/>
            <w:tcMar>
              <w:top w:type="dxa" w:w="40"/>
              <w:left w:type="dxa" w:w="70"/>
              <w:bottom w:type="dxa" w:w="40"/>
              <w:right w:type="dxa" w:w="70"/>
            </w:tcMar>
          </w:tcPr>
          <w:p>
            <w:pPr>
              <w:spacing w:after="0"/>
            </w:pPr>
            <w:r>
              <w:rPr>
                <w:sz w:val="17"/>
                <w:szCs w:val="17"/>
              </w:rPr>
              <w:t xml:space="preserve">36 → 31</w:t>
            </w:r>
          </w:p>
        </w:tc>
        <w:tc>
          <w:tcPr>
            <w:tcW w:type="dxa" w:w="1300"/>
            <w:shd w:fill="F2F5F9" w:color="auto" w:val="clear"/>
            <w:tcMar>
              <w:top w:type="dxa" w:w="40"/>
              <w:left w:type="dxa" w:w="70"/>
              <w:bottom w:type="dxa" w:w="40"/>
              <w:right w:type="dxa" w:w="70"/>
            </w:tcMar>
          </w:tcPr>
          <w:p>
            <w:pPr>
              <w:spacing w:after="0"/>
            </w:pPr>
            <w:r>
              <w:rPr>
                <w:sz w:val="17"/>
                <w:szCs w:val="17"/>
              </w:rPr>
              <w:t xml:space="preserve">King / Queen</w:t>
            </w:r>
          </w:p>
        </w:tc>
        <w:tc>
          <w:tcPr>
            <w:tcW w:type="dxa" w:w="1772"/>
            <w:shd w:fill="F2F5F9" w:color="auto" w:val="clear"/>
            <w:tcMar>
              <w:top w:type="dxa" w:w="40"/>
              <w:left w:type="dxa" w:w="70"/>
              <w:bottom w:type="dxa" w:w="40"/>
              <w:right w:type="dxa" w:w="70"/>
            </w:tcMar>
          </w:tcPr>
          <w:p>
            <w:pPr>
              <w:spacing w:after="0"/>
            </w:pPr>
            <w:r>
              <w:rPr>
                <w:sz w:val="17"/>
                <w:szCs w:val="17"/>
              </w:rPr>
              <w:t xml:space="preserve">bamboo cooling sheets (8,166), 30</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Bamboo|California King (focus)</w:t>
            </w:r>
          </w:p>
        </w:tc>
        <w:tc>
          <w:tcPr>
            <w:tcW w:type="dxa" w:w="1000"/>
            <w:shd w:fill="FFFFFF" w:color="auto" w:val="clear"/>
            <w:tcMar>
              <w:top w:type="dxa" w:w="40"/>
              <w:left w:type="dxa" w:w="70"/>
              <w:bottom w:type="dxa" w:w="40"/>
              <w:right w:type="dxa" w:w="70"/>
            </w:tcMar>
          </w:tcPr>
          <w:p>
            <w:pPr>
              <w:spacing w:after="0"/>
            </w:pPr>
            <w:r>
              <w:rPr>
                <w:sz w:val="17"/>
                <w:szCs w:val="17"/>
              </w:rPr>
              <w:t xml:space="preserve">$16 ($7)</w:t>
            </w:r>
          </w:p>
        </w:tc>
        <w:tc>
          <w:tcPr>
            <w:tcW w:type="dxa" w:w="900"/>
            <w:shd w:fill="FFFFFF" w:color="auto" w:val="clear"/>
            <w:tcMar>
              <w:top w:type="dxa" w:w="40"/>
              <w:left w:type="dxa" w:w="70"/>
              <w:bottom w:type="dxa" w:w="40"/>
              <w:right w:type="dxa" w:w="70"/>
            </w:tcMar>
          </w:tcPr>
          <w:p>
            <w:pPr>
              <w:spacing w:after="0"/>
            </w:pPr>
            <w:r>
              <w:rPr>
                <w:sz w:val="17"/>
                <w:szCs w:val="17"/>
              </w:rPr>
              <w:t xml:space="preserve">0.3 (0.5)</w:t>
            </w:r>
          </w:p>
        </w:tc>
        <w:tc>
          <w:tcPr>
            <w:tcW w:type="dxa" w:w="900"/>
            <w:shd w:fill="FFFFFF" w:color="auto" w:val="clear"/>
            <w:tcMar>
              <w:top w:type="dxa" w:w="40"/>
              <w:left w:type="dxa" w:w="70"/>
              <w:bottom w:type="dxa" w:w="40"/>
              <w:right w:type="dxa" w:w="70"/>
            </w:tcMar>
          </w:tcPr>
          <w:p>
            <w:pPr>
              <w:spacing w:after="0"/>
            </w:pPr>
            <w:r>
              <w:rPr>
                <w:sz w:val="17"/>
                <w:szCs w:val="17"/>
              </w:rPr>
              <w:t xml:space="preserve">67.9% (18.8%)</w:t>
            </w:r>
          </w:p>
        </w:tc>
        <w:tc>
          <w:tcPr>
            <w:tcW w:type="dxa" w:w="900"/>
            <w:shd w:fill="FFFFFF" w:color="auto" w:val="clear"/>
            <w:tcMar>
              <w:top w:type="dxa" w:w="40"/>
              <w:left w:type="dxa" w:w="70"/>
              <w:bottom w:type="dxa" w:w="40"/>
              <w:right w:type="dxa" w:w="70"/>
            </w:tcMar>
          </w:tcPr>
          <w:p>
            <w:pPr>
              <w:spacing w:after="0"/>
            </w:pPr>
            <w:r>
              <w:rPr>
                <w:sz w:val="17"/>
                <w:szCs w:val="17"/>
              </w:rPr>
              <w:t xml:space="preserve">8.0% (21.4%)</w:t>
            </w:r>
          </w:p>
        </w:tc>
        <w:tc>
          <w:tcPr>
            <w:tcW w:type="dxa" w:w="900"/>
            <w:shd w:fill="FFFFFF" w:color="auto" w:val="clear"/>
            <w:tcMar>
              <w:top w:type="dxa" w:w="40"/>
              <w:left w:type="dxa" w:w="70"/>
              <w:bottom w:type="dxa" w:w="40"/>
              <w:right w:type="dxa" w:w="70"/>
            </w:tcMar>
          </w:tcPr>
          <w:p>
            <w:pPr>
              <w:spacing w:after="0"/>
            </w:pPr>
            <w:r>
              <w:rPr>
                <w:sz w:val="17"/>
                <w:szCs w:val="17"/>
              </w:rPr>
              <w:t xml:space="preserve">19 → 17</w:t>
            </w:r>
          </w:p>
        </w:tc>
        <w:tc>
          <w:tcPr>
            <w:tcW w:type="dxa" w:w="1300"/>
            <w:shd w:fill="FFFFFF" w:color="auto" w:val="clear"/>
            <w:tcMar>
              <w:top w:type="dxa" w:w="40"/>
              <w:left w:type="dxa" w:w="70"/>
              <w:bottom w:type="dxa" w:w="40"/>
              <w:right w:type="dxa" w:w="70"/>
            </w:tcMar>
          </w:tcPr>
          <w:p>
            <w:pPr>
              <w:spacing w:after="0"/>
            </w:pPr>
            <w:r>
              <w:rPr>
                <w:sz w:val="17"/>
                <w:szCs w:val="17"/>
              </w:rPr>
              <w:t xml:space="preserve">Cal King White 44, none inbound; Burgundy-New 76</w:t>
            </w:r>
          </w:p>
        </w:tc>
        <w:tc>
          <w:tcPr>
            <w:tcW w:type="dxa" w:w="1772"/>
            <w:shd w:fill="FFFFFF" w:color="auto" w:val="clear"/>
            <w:tcMar>
              <w:top w:type="dxa" w:w="40"/>
              <w:left w:type="dxa" w:w="70"/>
              <w:bottom w:type="dxa" w:w="40"/>
              <w:right w:type="dxa" w:w="70"/>
            </w:tcMar>
          </w:tcPr>
          <w:p>
            <w:pPr>
              <w:spacing w:after="0"/>
            </w:pPr>
            <w:r>
              <w:rPr>
                <w:sz w:val="17"/>
                <w:szCs w:val="17"/>
              </w:rPr>
              <w:t xml:space="preserve">bamboo sheets california king (1,671), 16</w:t>
            </w:r>
          </w:p>
        </w:tc>
      </w:tr>
    </w:tbl>
    <w:p>
      <w:pPr>
        <w:spacing w:after="120"/>
      </w:pPr>
      <w:r>
        <w:rPr>
          <w:i/>
          <w:iCs/>
          <w:color w:val="555555"/>
          <w:sz w:val="17"/>
          <w:szCs w:val="17"/>
        </w:rPr>
        <w:t xml:space="preserve">Command Center syntax-group summaries; a term counts in every group it matches, so groups overlap. Before = the 13 days 09-02 → 09-14. Deal-week sales are still settling.</w:t>
      </w:r>
    </w:p>
    <w:p>
      <w:pPr>
        <w:pStyle w:val="Heading1"/>
      </w:pPr>
      <w:r>
        <w:t xml:space="preserve">D3. What the owner decides</w:t>
      </w:r>
    </w:p>
    <w:p>
      <w:pPr>
        <w:spacing w:after="100"/>
      </w:pPr>
      <w:r>
        <w:t xml:space="preserve">Three choices, each with what it costs:</w:t>
      </w:r>
    </w:p>
    <w:p>
      <w:pPr>
        <w:pStyle w:val="ListParagraph"/>
        <w:numPr>
          <w:ilvl w:val="0"/>
          <w:numId w:val="3"/>
        </w:numPr>
        <w:spacing w:after="60"/>
      </w:pPr>
      <w:r>
        <w:rPr>
          <w:b/>
          <w:bCs/>
        </w:rPr>
        <w:t xml:space="preserve">Keep the focus as set. </w:t>
      </w:r>
      <w:r>
        <w:t xml:space="preserve">Then the flagship tapers now (B1: $7.42 → $6.68, then −10% a run), the California King push runs at +30% steps on the child the tracker reads, and the cooling head campaign is re-pointed and re-read at 10-02. Expect little rank movement from California King on its stock.</w:t>
      </w:r>
    </w:p>
    <w:p>
      <w:pPr>
        <w:pStyle w:val="ListParagraph"/>
        <w:numPr>
          <w:ilvl w:val="0"/>
          <w:numId w:val="3"/>
        </w:numPr>
        <w:spacing w:after="60"/>
      </w:pPr>
      <w:r>
        <w:rPr>
          <w:b/>
          <w:bCs/>
        </w:rPr>
        <w:t xml:space="preserve">Keep Bamboo|Cooling; swap California King for Bamboo|King from 10-16. </w:t>
      </w:r>
      <w:r>
        <w:t xml:space="preserve">The King arrival lands that day, the hero converts best, and the group moved in the deal. California King holds at today’s prices until White restocks (PO 11-05).</w:t>
      </w:r>
    </w:p>
    <w:p>
      <w:pPr>
        <w:pStyle w:val="ListParagraph"/>
        <w:numPr>
          <w:ilvl w:val="0"/>
          <w:numId w:val="3"/>
        </w:numPr>
        <w:spacing w:after="60"/>
      </w:pPr>
      <w:r>
        <w:rPr>
          <w:b/>
          <w:bCs/>
        </w:rPr>
        <w:t xml:space="preserve">Put Bamboo back in focus as a funded test. </w:t>
      </w:r>
      <w:r>
        <w:t xml:space="preserve">Run the daily push the 21 September corrections designed (never loaded) for 14 days, graded on impression share and top-of-search clicks, inside the $73.47 loss stop, and taper it if share does not rise with price. This is the only way to learn whether the head is buyable.</w:t>
      </w:r>
    </w:p>
    <w:p>
      <w:pPr>
        <w:spacing w:after="100"/>
      </w:pPr>
      <w:r>
        <w:t xml:space="preserve">Our recommendation is 2, with the flagship taper from B1 and a dated re-read of the Bamboo head at the 10-26 Lightning Deal, which is the next velocity window.</w:t>
      </w:r>
    </w:p>
    <w:p>
      <w:pPr>
        <w:pStyle w:val="Heading1"/>
      </w:pPr>
      <w:r>
        <w:t xml:space="preserve">In order, starting 09-29</w:t>
      </w:r>
    </w:p>
    <w:p>
      <w:pPr>
        <w:pStyle w:val="ListParagraph"/>
        <w:numPr>
          <w:ilvl w:val="0"/>
          <w:numId w:val="4"/>
        </w:numPr>
        <w:spacing w:after="60"/>
      </w:pPr>
      <w:r>
        <w:t xml:space="preserve">Verify execution: diff the rows approved on 19 and 21 September against the account and log what loaded. None of the 09-24 push is live.</w:t>
      </w:r>
    </w:p>
    <w:p>
      <w:pPr>
        <w:pStyle w:val="ListParagraph"/>
        <w:numPr>
          <w:ilvl w:val="0"/>
          <w:numId w:val="4"/>
        </w:numPr>
        <w:spacing w:after="60"/>
      </w:pPr>
      <w:r>
        <w:t xml:space="preserve">The owner chooses the focus (D3) and the flagship option (B1) by 09-30. Until then, the flagship holds at 299% and $340.</w:t>
      </w:r>
    </w:p>
    <w:p>
      <w:pPr>
        <w:pStyle w:val="ListParagraph"/>
        <w:numPr>
          <w:ilvl w:val="0"/>
          <w:numId w:val="4"/>
        </w:numPr>
        <w:spacing w:after="60"/>
      </w:pPr>
      <w:r>
        <w:t xml:space="preserve">Pull the rows in C7: the 40 gated to HOLD, the 17 on paused campaigns, the duplicates and folded-broad rows, the 25 sweep cuts, the 17 KING-CREME renames, and the conquest until it is re-pointed to Queen Olive.</w:t>
      </w:r>
    </w:p>
    <w:p>
      <w:pPr>
        <w:pStyle w:val="ListParagraph"/>
        <w:numPr>
          <w:ilvl w:val="0"/>
          <w:numId w:val="4"/>
        </w:numPr>
        <w:spacing w:after="60"/>
      </w:pPr>
      <w:r>
        <w:t xml:space="preserve">Load the four in-focus budget raises the code check held (287, 368, 397, 686), and write the dose rows at +30%: 288 → 340% ($5.98), 369 → 290% ($8.97), 398 → 199% ($5.98).</w:t>
      </w:r>
    </w:p>
    <w:p>
      <w:pPr>
        <w:pStyle w:val="ListParagraph"/>
        <w:numPr>
          <w:ilvl w:val="0"/>
          <w:numId w:val="4"/>
        </w:numPr>
        <w:spacing w:after="60"/>
      </w:pPr>
      <w:r>
        <w:t xml:space="preserve">Same day: find why 687, 293 and 1002 stopped serving (the ad, the child, eligibility). No price moves on them, and drop 296 and 297. Re-point 1002 and 31 to a serving child.</w:t>
      </w:r>
    </w:p>
    <w:p>
      <w:pPr>
        <w:pStyle w:val="ListParagraph"/>
        <w:numPr>
          <w:ilvl w:val="0"/>
          <w:numId w:val="4"/>
        </w:numPr>
        <w:spacing w:after="60"/>
      </w:pPr>
      <w:r>
        <w:t xml:space="preserve">California King: confirm which child the tracker reads before the 15 re-points load, and name the cause of the fall from 4 to 16 on “bamboo sheets california king”.</w:t>
      </w:r>
    </w:p>
    <w:p>
      <w:pPr>
        <w:pStyle w:val="ListParagraph"/>
        <w:numPr>
          <w:ilvl w:val="0"/>
          <w:numId w:val="4"/>
        </w:numPr>
        <w:spacing w:after="60"/>
      </w:pPr>
      <w:r>
        <w:t xml:space="preserve">Name the causes on the nine in-focus rank falls and the seven frozen collapses. Load the Twin swap (2155) first; hold 2209 until its cause is named.</w:t>
      </w:r>
    </w:p>
    <w:p>
      <w:pPr>
        <w:pStyle w:val="ListParagraph"/>
        <w:numPr>
          <w:ilvl w:val="0"/>
          <w:numId w:val="4"/>
        </w:numPr>
        <w:spacing w:after="60"/>
      </w:pPr>
      <w:r>
        <w:t xml:space="preserve">Keep King on White: reject engine check 1’s swap, and rename the 17 KING-CREME rows to the advertised child if they go ahead.</w:t>
      </w:r>
    </w:p>
    <w:p>
      <w:pPr>
        <w:pStyle w:val="ListParagraph"/>
        <w:numPr>
          <w:ilvl w:val="0"/>
          <w:numId w:val="4"/>
        </w:numPr>
        <w:spacing w:after="60"/>
      </w:pPr>
      <w:r>
        <w:t xml:space="preserve">Put the 10-26 Lightning Deal into the engine’s deal read and re-check the 10-16 and 10-27 kill dates against it.</w:t>
      </w:r>
    </w:p>
    <w:p>
      <w:pPr>
        <w:pStyle w:val="ListParagraph"/>
        <w:numPr>
          <w:ilvl w:val="0"/>
          <w:numId w:val="4"/>
        </w:numPr>
        <w:spacing w:after="60"/>
      </w:pPr>
      <w:r>
        <w:t xml:space="preserve">10-02 checkpoint: read records 2150 and 2863 on “bamboo cooling sheets”. 10-05 day-7: read the dose rows on clicks and impression share, and step again where share rose. Grade every write on the child its sales land on.</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e475b136cb01f8494604be6e521fae9aa1d68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Corrections by Situation — 28 September 2026</dc:title>
  <dc:creator>Claude</dc:creator>
  <cp:lastModifiedBy>Un-named</cp:lastModifiedBy>
  <cp:revision>1</cp:revision>
  <dcterms:created xsi:type="dcterms:W3CDTF">2026-09-28T19:30:45.890Z</dcterms:created>
  <dcterms:modified xsi:type="dcterms:W3CDTF">2026-09-28T19:30:45.893Z</dcterms:modified>
</cp:coreProperties>
</file>

<file path=docProps/custom.xml><?xml version="1.0" encoding="utf-8"?>
<Properties xmlns="http://schemas.openxmlformats.org/officeDocument/2006/custom-properties" xmlns:vt="http://schemas.openxmlformats.org/officeDocument/2006/docPropsVTypes"/>
</file>