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6-Piece (B6)</w:t>
      </w:r>
    </w:p>
    <w:p>
      <w:pPr>
        <w:spacing w:after="200"/>
      </w:pPr>
      <w:r>
        <w:rPr>
          <w:color w:val="555555"/>
          <w:sz w:val="19"/>
          <w:szCs w:val="19"/>
        </w:rPr>
        <w:t xml:space="preserve">For Joseph · 28 September 2026 · audit run 20260928-535a4eef</w:t>
      </w:r>
    </w:p>
    <w:p>
      <w:pPr>
        <w:pStyle w:val="Heading1"/>
      </w:pPr>
      <w:r>
        <w:t xml:space="preserve">Summary</w:t>
      </w:r>
    </w:p>
    <w:p>
      <w:pPr>
        <w:spacing w:after="100"/>
      </w:pPr>
      <w:r>
        <w:t xml:space="preserve">The audit proposes 408 changes on 136 of the product’s campaigns and 15 new campaigns. It pushes Queen, Full, King and cooling terms. But it doesn’t know B6 is on a Best Deal right now (26–30 September). It prices nothing for the deal, and its own review says no deal runs in the next two weeks. This document explains the logic of each correction with a few examples.</w:t>
      </w:r>
    </w:p>
    <w:p>
      <w:pPr>
        <w:spacing w:after="100"/>
      </w:pPr>
      <w:r>
        <w:t xml:space="preserve">The corrections:</w:t>
      </w:r>
    </w:p>
    <w:p>
      <w:pPr>
        <w:pStyle w:val="ListParagraph"/>
        <w:numPr>
          <w:ilvl w:val="0"/>
          <w:numId w:val="2"/>
        </w:numPr>
        <w:spacing w:after="60"/>
      </w:pPr>
      <w:r>
        <w:rPr>
          <w:b/>
          <w:bCs/>
        </w:rPr>
        <w:t xml:space="preserve">Push at top of search now, while the deal runs, but in the right order. </w:t>
      </w:r>
      <w:r>
        <w:t xml:space="preserve">Half of B6’s ad clicks land on product pages, and most focus campaigns have almost no top-of-search clicks at all. First get the ads to the top: lower the base bid, raise the boost, and switch push campaigns from down-only to fixed bidding. Then price each focus term to its push price: sized to its rank gap, never more than twice break-even, climbing at most 30% per step. The audit’s 18 jumps of 75% go (Section 5).</w:t>
      </w:r>
    </w:p>
    <w:p>
      <w:pPr>
        <w:pStyle w:val="ListParagraph"/>
        <w:numPr>
          <w:ilvl w:val="0"/>
          <w:numId w:val="2"/>
        </w:numPr>
        <w:spacing w:after="60"/>
      </w:pPr>
      <w:r>
        <w:rPr>
          <w:b/>
          <w:bCs/>
        </w:rPr>
        <w:t xml:space="preserve">Push “bamboo sheets”. </w:t>
      </w:r>
      <w:r>
        <w:t xml:space="preserve">It is B6’s biggest term and the only one with a solid top-of-search record that beats the market. The audit tapers it (Section 5.4).</w:t>
      </w:r>
    </w:p>
    <w:p>
      <w:pPr>
        <w:pStyle w:val="ListParagraph"/>
        <w:numPr>
          <w:ilvl w:val="0"/>
          <w:numId w:val="2"/>
        </w:numPr>
        <w:spacing w:after="60"/>
      </w:pPr>
      <w:r>
        <w:rPr>
          <w:b/>
          <w:bCs/>
        </w:rPr>
        <w:t xml:space="preserve">Break-even is lower than the audit thinks, and lower again during the deal. </w:t>
      </w:r>
      <w:r>
        <w:t xml:space="preserve">The audit prices on $26.88 profit per unit (34.0% break-even ACoS). Sellerboard shows $20.20 before the deal (25.4%). At deal prices it is about $16–21 per unit, depending on the size.</w:t>
      </w:r>
    </w:p>
    <w:p>
      <w:pPr>
        <w:pStyle w:val="ListParagraph"/>
        <w:numPr>
          <w:ilvl w:val="0"/>
          <w:numId w:val="2"/>
        </w:numPr>
        <w:spacing w:after="60"/>
      </w:pPr>
      <w:r>
        <w:rPr>
          <w:b/>
          <w:bCs/>
        </w:rPr>
        <w:t xml:space="preserve">Set goals for the run. </w:t>
      </w:r>
      <w:r>
        <w:t xml:space="preserve">The audit has no spend target, TACoS goal or product goal. Its forecast of $1,295 a day and 18.9% TACoS is built on a baseline that includes three deal days (Section 3).</w:t>
      </w:r>
    </w:p>
    <w:p>
      <w:pPr>
        <w:pStyle w:val="ListParagraph"/>
        <w:numPr>
          <w:ilvl w:val="0"/>
          <w:numId w:val="2"/>
        </w:numPr>
        <w:spacing w:after="60"/>
      </w:pPr>
      <w:r>
        <w:rPr>
          <w:b/>
          <w:bCs/>
        </w:rPr>
        <w:t xml:space="preserve">Plan the exit from the deal on 30 September. </w:t>
      </w:r>
      <w:r>
        <w:t xml:space="preserve">Deal-level spend has to come down on 1 October without losing the rank the deal bought (Section 4).</w:t>
      </w:r>
    </w:p>
    <w:p>
      <w:pPr>
        <w:pStyle w:val="ListParagraph"/>
        <w:numPr>
          <w:ilvl w:val="0"/>
          <w:numId w:val="2"/>
        </w:numPr>
        <w:spacing w:after="60"/>
      </w:pPr>
      <w:r>
        <w:rPr>
          <w:b/>
          <w:bCs/>
        </w:rPr>
        <w:t xml:space="preserve">Keep Queen on White. </w:t>
      </w:r>
      <w:r>
        <w:t xml:space="preserve">The audit moves 75 Queen campaigns to Olive, a slow-selling clearance colour, although Queen White covers the time to its next arrival (Section 6).</w:t>
      </w:r>
    </w:p>
    <w:p>
      <w:pPr>
        <w:pStyle w:val="ListParagraph"/>
        <w:numPr>
          <w:ilvl w:val="0"/>
          <w:numId w:val="2"/>
        </w:numPr>
        <w:spacing w:after="60"/>
      </w:pPr>
      <w:r>
        <w:rPr>
          <w:b/>
          <w:bCs/>
        </w:rPr>
        <w:t xml:space="preserve">Restart the focus campaigns that can’t serve. </w:t>
      </w:r>
      <w:r>
        <w:t xml:space="preserve">Don’t duplicate them. The exact campaign for “bamboo sheets full” (target rank 2) is paused, and the audit builds a new one beside it (Section 7).</w:t>
      </w:r>
    </w:p>
    <w:p>
      <w:pPr>
        <w:pStyle w:val="ListParagraph"/>
        <w:numPr>
          <w:ilvl w:val="0"/>
          <w:numId w:val="2"/>
        </w:numPr>
        <w:spacing w:after="60"/>
      </w:pPr>
      <w:r>
        <w:rPr>
          <w:b/>
          <w:bCs/>
        </w:rPr>
        <w:t xml:space="preserve">Don’t load what the engine got wrong. </w:t>
      </w:r>
      <w:r>
        <w:t xml:space="preserve">All 35 budget changes are blocked, and all 88 colour switches skip on upload. 181 changes sit on campaigns missing from the audit’s own list, and 15 new campaigns would launch mid-deal. The forecast is about ten times too high (Sections 11 and 13).</w:t>
      </w:r>
    </w:p>
    <w:p>
      <w:pPr>
        <w:spacing w:after="100"/>
      </w:pPr>
      <w:r>
        <w:rPr>
          <w:b/>
          <w:bCs/>
          <w:color w:val="1F3A5F"/>
        </w:rPr>
        <w:t xml:space="preserve">Decisions needed from you today: </w:t>
      </w:r>
      <w:r>
        <w:t xml:space="preserve">the goals for the deal days and after (Section 3), and whether “bamboo sheets” joins the push (Section 5.4).</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(the top-of-search modifier in Campaign Manager) is a percentage Amazon adds for the top slots only. The most Amazon allows is 900%.</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effective top-of-search bid).</w:t>
            </w:r>
          </w:p>
        </w:tc>
      </w:tr>
      <w:tr>
        <w:tc>
          <w:tcPr>
            <w:tcW w:type="dxa" w:w="2600"/>
            <w:shd w:fill="F2F5F9" w:color="auto" w:val="clear"/>
            <w:tcMar>
              <w:top w:type="dxa" w:w="40"/>
              <w:left w:type="dxa" w:w="70"/>
              <w:bottom w:type="dxa" w:w="40"/>
              <w:right w:type="dxa" w:w="70"/>
            </w:tcMar>
          </w:tcPr>
          <w:p>
            <w:pPr>
              <w:spacing w:after="0"/>
            </w:pPr>
            <w:r>
              <w:rPr>
                <w:sz w:val="17"/>
                <w:szCs w:val="17"/>
              </w:rPr>
              <w:t xml:space="preserve">Down-only / fixed bidding</w:t>
            </w:r>
          </w:p>
        </w:tc>
        <w:tc>
          <w:tcPr>
            <w:tcW w:type="dxa" w:w="7372"/>
            <w:shd w:fill="F2F5F9" w:color="auto" w:val="clear"/>
            <w:tcMar>
              <w:top w:type="dxa" w:w="40"/>
              <w:left w:type="dxa" w:w="70"/>
              <w:bottom w:type="dxa" w:w="40"/>
              <w:right w:type="dxa" w:w="70"/>
            </w:tcMar>
          </w:tcPr>
          <w:p>
            <w:pPr>
              <w:spacing w:after="0"/>
            </w:pPr>
            <w:r>
              <w:rPr>
                <w:sz w:val="17"/>
                <w:szCs w:val="17"/>
              </w:rPr>
              <w:t xml:space="preserve">Down-only lets Amazon cut our bid when it thinks a click is less likely to sell, so the ad often loses the top slot. Fixed bidding bids exactly what we set. A push needs fixed bidding.</w:t>
            </w:r>
          </w:p>
        </w:tc>
      </w:tr>
      <w:tr>
        <w:tc>
          <w:tcPr>
            <w:tcW w:type="dxa" w:w="2600"/>
            <w:shd w:fill="FFFFFF"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FFFFF" w:color="auto" w:val="clear"/>
            <w:tcMar>
              <w:top w:type="dxa" w:w="40"/>
              <w:left w:type="dxa" w:w="70"/>
              <w:bottom w:type="dxa" w:w="40"/>
              <w:right w:type="dxa" w:w="70"/>
            </w:tcMar>
          </w:tcPr>
          <w:p>
            <w:pPr>
              <w:spacing w:after="0"/>
            </w:pPr>
            <w:r>
              <w:rPr>
                <w:sz w:val="17"/>
                <w:szCs w:val="17"/>
              </w:rPr>
              <w:t xml:space="preserve">Profit per unit before ads × the chance a click becomes a sale. Above it, each ad sale loses money. Profit per unit comes from Sellerboard. Before the deal it was $20.20 (break-even ACoS 25.4%). At deal prices it is King White $16.79, Queen White $20.92 and Full White $15.87. The conversion rate is the campaign’s top-of-search rate once it has 15 top-of-search clicks, and its overall 90-day rate until then.</w:t>
            </w:r>
          </w:p>
        </w:tc>
      </w:tr>
      <w:tr>
        <w:tc>
          <w:tcPr>
            <w:tcW w:type="dxa" w:w="2600"/>
            <w:shd w:fill="F2F5F9" w:color="auto" w:val="clear"/>
            <w:tcMar>
              <w:top w:type="dxa" w:w="40"/>
              <w:left w:type="dxa" w:w="70"/>
              <w:bottom w:type="dxa" w:w="40"/>
              <w:right w:type="dxa" w:w="70"/>
            </w:tcMar>
          </w:tcPr>
          <w:p>
            <w:pPr>
              <w:spacing w:after="0"/>
            </w:pPr>
            <w:r>
              <w:rPr>
                <w:sz w:val="17"/>
                <w:szCs w:val="17"/>
              </w:rPr>
              <w:t xml:space="preserve">Push price</w:t>
            </w:r>
          </w:p>
        </w:tc>
        <w:tc>
          <w:tcPr>
            <w:tcW w:type="dxa" w:w="7372"/>
            <w:shd w:fill="F2F5F9"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It is never more than twice break-even, which keeps the cost per sale below the order value, and it climbs at most 30% per step.</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count only toward replenishment.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the best seller in every size and part of the deal. Auto, broad and phrase campaigns advertise a slow-selling colour with a lot of stock (for example Queen Olive or Full Creme).</w:t>
            </w:r>
          </w:p>
        </w:tc>
      </w:tr>
    </w:tbl>
    <w:p>
      <w:pPr>
        <w:spacing w:after="40"/>
      </w:pPr>
    </w:p>
    <w:p>
      <w:pPr>
        <w:pStyle w:val="Heading1"/>
      </w:pPr>
      <w:r>
        <w:t xml:space="preserve">1. Where things stand, two days into the deal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(12–25 Sep, without the 20 Sep Lightning Deal)</w:t>
            </w:r>
          </w:p>
        </w:tc>
        <w:tc>
          <w:tcPr>
            <w:tcW w:type="dxa" w:w="880"/>
            <w:shd w:fill="FFFFFF" w:color="auto" w:val="clear"/>
            <w:tcMar>
              <w:top w:type="dxa" w:w="40"/>
              <w:left w:type="dxa" w:w="70"/>
              <w:bottom w:type="dxa" w:w="40"/>
              <w:right w:type="dxa" w:w="70"/>
            </w:tcMar>
          </w:tcPr>
          <w:p>
            <w:pPr>
              <w:spacing w:after="0"/>
            </w:pPr>
            <w:r>
              <w:rPr>
                <w:sz w:val="17"/>
                <w:szCs w:val="17"/>
              </w:rPr>
              <w:t xml:space="preserve">$283</w:t>
            </w:r>
          </w:p>
        </w:tc>
        <w:tc>
          <w:tcPr>
            <w:tcW w:type="dxa" w:w="978"/>
            <w:shd w:fill="FFFFFF" w:color="auto" w:val="clear"/>
            <w:tcMar>
              <w:top w:type="dxa" w:w="40"/>
              <w:left w:type="dxa" w:w="70"/>
              <w:bottom w:type="dxa" w:w="40"/>
              <w:right w:type="dxa" w:w="70"/>
            </w:tcMar>
          </w:tcPr>
          <w:p>
            <w:pPr>
              <w:spacing w:after="0"/>
            </w:pPr>
            <w:r>
              <w:rPr>
                <w:sz w:val="17"/>
                <w:szCs w:val="17"/>
              </w:rPr>
              <w:t xml:space="preserve">$1,104</w:t>
            </w:r>
          </w:p>
        </w:tc>
        <w:tc>
          <w:tcPr>
            <w:tcW w:type="dxa" w:w="782"/>
            <w:shd w:fill="FFFFFF" w:color="auto" w:val="clear"/>
            <w:tcMar>
              <w:top w:type="dxa" w:w="40"/>
              <w:left w:type="dxa" w:w="70"/>
              <w:bottom w:type="dxa" w:w="40"/>
              <w:right w:type="dxa" w:w="70"/>
            </w:tcMar>
          </w:tcPr>
          <w:p>
            <w:pPr>
              <w:spacing w:after="0"/>
            </w:pPr>
            <w:r>
              <w:rPr>
                <w:sz w:val="17"/>
                <w:szCs w:val="17"/>
              </w:rPr>
              <w:t xml:space="preserve">25.7%</w:t>
            </w:r>
          </w:p>
        </w:tc>
        <w:tc>
          <w:tcPr>
            <w:tcW w:type="dxa" w:w="782"/>
            <w:shd w:fill="FFFFFF" w:color="auto" w:val="clear"/>
            <w:tcMar>
              <w:top w:type="dxa" w:w="40"/>
              <w:left w:type="dxa" w:w="70"/>
              <w:bottom w:type="dxa" w:w="40"/>
              <w:right w:type="dxa" w:w="70"/>
            </w:tcMar>
          </w:tcPr>
          <w:p>
            <w:pPr>
              <w:spacing w:after="0"/>
            </w:pPr>
            <w:r>
              <w:rPr>
                <w:sz w:val="17"/>
                <w:szCs w:val="17"/>
              </w:rPr>
              <w:t xml:space="preserve">15.0%</w:t>
            </w:r>
          </w:p>
        </w:tc>
        <w:tc>
          <w:tcPr>
            <w:tcW w:type="dxa" w:w="880"/>
            <w:shd w:fill="FFFFFF" w:color="auto" w:val="clear"/>
            <w:tcMar>
              <w:top w:type="dxa" w:w="40"/>
              <w:left w:type="dxa" w:w="70"/>
              <w:bottom w:type="dxa" w:w="40"/>
              <w:right w:type="dxa" w:w="70"/>
            </w:tcMar>
          </w:tcPr>
          <w:p>
            <w:pPr>
              <w:spacing w:after="0"/>
            </w:pPr>
            <w:r>
              <w:rPr>
                <w:sz w:val="17"/>
                <w:szCs w:val="17"/>
              </w:rPr>
              <w:t xml:space="preserve">14.0</w:t>
            </w:r>
          </w:p>
        </w:tc>
        <w:tc>
          <w:tcPr>
            <w:tcW w:type="dxa" w:w="880"/>
            <w:shd w:fill="FFFFFF" w:color="auto" w:val="clear"/>
            <w:tcMar>
              <w:top w:type="dxa" w:w="40"/>
              <w:left w:type="dxa" w:w="70"/>
              <w:bottom w:type="dxa" w:w="40"/>
              <w:right w:type="dxa" w:w="70"/>
            </w:tcMar>
          </w:tcPr>
          <w:p>
            <w:pPr>
              <w:spacing w:after="0"/>
            </w:pPr>
            <w:r>
              <w:rPr>
                <w:sz w:val="17"/>
                <w:szCs w:val="17"/>
              </w:rPr>
              <w:t xml:space="preserve">42</w:t>
            </w:r>
          </w:p>
        </w:tc>
        <w:tc>
          <w:tcPr>
            <w:tcW w:type="dxa" w:w="880"/>
            <w:shd w:fill="FFFFFF" w:color="auto" w:val="clear"/>
            <w:tcMar>
              <w:top w:type="dxa" w:w="40"/>
              <w:left w:type="dxa" w:w="70"/>
              <w:bottom w:type="dxa" w:w="40"/>
              <w:right w:type="dxa" w:w="70"/>
            </w:tcMar>
          </w:tcPr>
          <w:p>
            <w:pPr>
              <w:spacing w:after="0"/>
            </w:pPr>
            <w:r>
              <w:rPr>
                <w:sz w:val="17"/>
                <w:szCs w:val="17"/>
              </w:rPr>
              <w:t xml:space="preserve">64</w:t>
            </w:r>
          </w:p>
        </w:tc>
        <w:tc>
          <w:tcPr>
            <w:tcW w:type="dxa" w:w="782"/>
            <w:shd w:fill="FFFFFF" w:color="auto" w:val="clear"/>
            <w:tcMar>
              <w:top w:type="dxa" w:w="40"/>
              <w:left w:type="dxa" w:w="70"/>
              <w:bottom w:type="dxa" w:w="40"/>
              <w:right w:type="dxa" w:w="70"/>
            </w:tcMar>
          </w:tcPr>
          <w:p>
            <w:pPr>
              <w:spacing w:after="0"/>
            </w:pPr>
            <w:r>
              <w:rPr>
                <w:sz w:val="17"/>
                <w:szCs w:val="17"/>
              </w:rPr>
              <w:t xml:space="preserve">34%</w:t>
            </w:r>
          </w:p>
        </w:tc>
        <w:tc>
          <w:tcPr>
            <w:tcW w:type="dxa" w:w="879"/>
            <w:shd w:fill="FFFFFF" w:color="auto" w:val="clear"/>
            <w:tcMar>
              <w:top w:type="dxa" w:w="40"/>
              <w:left w:type="dxa" w:w="70"/>
              <w:bottom w:type="dxa" w:w="40"/>
              <w:right w:type="dxa" w:w="70"/>
            </w:tcMar>
          </w:tcPr>
          <w:p>
            <w:pPr>
              <w:spacing w:after="0"/>
            </w:pPr>
            <w:r>
              <w:rPr>
                <w:sz w:val="17"/>
                <w:szCs w:val="17"/>
              </w:rPr>
              <w:t xml:space="preserve">$4.86</w:t>
            </w:r>
          </w:p>
        </w:tc>
      </w:tr>
      <w:tr>
        <w:tc>
          <w:tcPr>
            <w:tcW w:type="dxa" w:w="2249"/>
            <w:shd w:fill="F2F5F9" w:color="auto" w:val="clear"/>
            <w:tcMar>
              <w:top w:type="dxa" w:w="40"/>
              <w:left w:type="dxa" w:w="70"/>
              <w:bottom w:type="dxa" w:w="40"/>
              <w:right w:type="dxa" w:w="70"/>
            </w:tcMar>
          </w:tcPr>
          <w:p>
            <w:pPr>
              <w:spacing w:after="0"/>
            </w:pPr>
            <w:r>
              <w:rPr>
                <w:sz w:val="17"/>
                <w:szCs w:val="17"/>
              </w:rPr>
              <w:t xml:space="preserve">Best Deal (26–27 Sep)</w:t>
            </w:r>
          </w:p>
        </w:tc>
        <w:tc>
          <w:tcPr>
            <w:tcW w:type="dxa" w:w="880"/>
            <w:shd w:fill="F2F5F9" w:color="auto" w:val="clear"/>
            <w:tcMar>
              <w:top w:type="dxa" w:w="40"/>
              <w:left w:type="dxa" w:w="70"/>
              <w:bottom w:type="dxa" w:w="40"/>
              <w:right w:type="dxa" w:w="70"/>
            </w:tcMar>
          </w:tcPr>
          <w:p>
            <w:pPr>
              <w:spacing w:after="0"/>
            </w:pPr>
            <w:r>
              <w:rPr>
                <w:sz w:val="17"/>
                <w:szCs w:val="17"/>
              </w:rPr>
              <w:t xml:space="preserve">$924</w:t>
            </w:r>
          </w:p>
        </w:tc>
        <w:tc>
          <w:tcPr>
            <w:tcW w:type="dxa" w:w="978"/>
            <w:shd w:fill="F2F5F9" w:color="auto" w:val="clear"/>
            <w:tcMar>
              <w:top w:type="dxa" w:w="40"/>
              <w:left w:type="dxa" w:w="70"/>
              <w:bottom w:type="dxa" w:w="40"/>
              <w:right w:type="dxa" w:w="70"/>
            </w:tcMar>
          </w:tcPr>
          <w:p>
            <w:pPr>
              <w:spacing w:after="0"/>
            </w:pPr>
            <w:r>
              <w:rPr>
                <w:sz w:val="17"/>
                <w:szCs w:val="17"/>
              </w:rPr>
              <w:t xml:space="preserve">$2,129*</w:t>
            </w:r>
          </w:p>
        </w:tc>
        <w:tc>
          <w:tcPr>
            <w:tcW w:type="dxa" w:w="782"/>
            <w:shd w:fill="F2F5F9" w:color="auto" w:val="clear"/>
            <w:tcMar>
              <w:top w:type="dxa" w:w="40"/>
              <w:left w:type="dxa" w:w="70"/>
              <w:bottom w:type="dxa" w:w="40"/>
              <w:right w:type="dxa" w:w="70"/>
            </w:tcMar>
          </w:tcPr>
          <w:p>
            <w:pPr>
              <w:spacing w:after="0"/>
            </w:pPr>
            <w:r>
              <w:rPr>
                <w:sz w:val="17"/>
                <w:szCs w:val="17"/>
              </w:rPr>
              <w:t xml:space="preserve">43.4%*</w:t>
            </w:r>
          </w:p>
        </w:tc>
        <w:tc>
          <w:tcPr>
            <w:tcW w:type="dxa" w:w="782"/>
            <w:shd w:fill="F2F5F9" w:color="auto" w:val="clear"/>
            <w:tcMar>
              <w:top w:type="dxa" w:w="40"/>
              <w:left w:type="dxa" w:w="70"/>
              <w:bottom w:type="dxa" w:w="40"/>
              <w:right w:type="dxa" w:w="70"/>
            </w:tcMar>
          </w:tcPr>
          <w:p>
            <w:pPr>
              <w:spacing w:after="0"/>
            </w:pPr>
            <w:r>
              <w:rPr>
                <w:sz w:val="17"/>
                <w:szCs w:val="17"/>
              </w:rPr>
              <w:t xml:space="preserve">10.3%*</w:t>
            </w:r>
          </w:p>
        </w:tc>
        <w:tc>
          <w:tcPr>
            <w:tcW w:type="dxa" w:w="880"/>
            <w:shd w:fill="F2F5F9" w:color="auto" w:val="clear"/>
            <w:tcMar>
              <w:top w:type="dxa" w:w="40"/>
              <w:left w:type="dxa" w:w="70"/>
              <w:bottom w:type="dxa" w:w="40"/>
              <w:right w:type="dxa" w:w="70"/>
            </w:tcMar>
          </w:tcPr>
          <w:p>
            <w:pPr>
              <w:spacing w:after="0"/>
            </w:pPr>
            <w:r>
              <w:rPr>
                <w:sz w:val="17"/>
                <w:szCs w:val="17"/>
              </w:rPr>
              <w:t xml:space="preserve">30.5*</w:t>
            </w:r>
          </w:p>
        </w:tc>
        <w:tc>
          <w:tcPr>
            <w:tcW w:type="dxa" w:w="880"/>
            <w:shd w:fill="F2F5F9" w:color="auto" w:val="clear"/>
            <w:tcMar>
              <w:top w:type="dxa" w:w="40"/>
              <w:left w:type="dxa" w:w="70"/>
              <w:bottom w:type="dxa" w:w="40"/>
              <w:right w:type="dxa" w:w="70"/>
            </w:tcMar>
          </w:tcPr>
          <w:p>
            <w:pPr>
              <w:spacing w:after="0"/>
            </w:pPr>
            <w:r>
              <w:rPr>
                <w:sz w:val="17"/>
                <w:szCs w:val="17"/>
              </w:rPr>
              <w:t xml:space="preserve">111</w:t>
            </w:r>
          </w:p>
        </w:tc>
        <w:tc>
          <w:tcPr>
            <w:tcW w:type="dxa" w:w="880"/>
            <w:shd w:fill="F2F5F9" w:color="auto" w:val="clear"/>
            <w:tcMar>
              <w:top w:type="dxa" w:w="40"/>
              <w:left w:type="dxa" w:w="70"/>
              <w:bottom w:type="dxa" w:w="40"/>
              <w:right w:type="dxa" w:w="70"/>
            </w:tcMar>
          </w:tcPr>
          <w:p>
            <w:pPr>
              <w:spacing w:after="0"/>
            </w:pPr>
            <w:r>
              <w:rPr>
                <w:sz w:val="17"/>
                <w:szCs w:val="17"/>
              </w:rPr>
              <w:t xml:space="preserve">174</w:t>
            </w:r>
          </w:p>
        </w:tc>
        <w:tc>
          <w:tcPr>
            <w:tcW w:type="dxa" w:w="782"/>
            <w:shd w:fill="F2F5F9" w:color="auto" w:val="clear"/>
            <w:tcMar>
              <w:top w:type="dxa" w:w="40"/>
              <w:left w:type="dxa" w:w="70"/>
              <w:bottom w:type="dxa" w:w="40"/>
              <w:right w:type="dxa" w:w="70"/>
            </w:tcMar>
          </w:tcPr>
          <w:p>
            <w:pPr>
              <w:spacing w:after="0"/>
            </w:pPr>
            <w:r>
              <w:rPr>
                <w:sz w:val="17"/>
                <w:szCs w:val="17"/>
              </w:rPr>
              <w:t xml:space="preserve">33%</w:t>
            </w:r>
          </w:p>
        </w:tc>
        <w:tc>
          <w:tcPr>
            <w:tcW w:type="dxa" w:w="879"/>
            <w:shd w:fill="F2F5F9" w:color="auto" w:val="clear"/>
            <w:tcMar>
              <w:top w:type="dxa" w:w="40"/>
              <w:left w:type="dxa" w:w="70"/>
              <w:bottom w:type="dxa" w:w="40"/>
              <w:right w:type="dxa" w:w="70"/>
            </w:tcMar>
          </w:tcPr>
          <w:p>
            <w:pPr>
              <w:spacing w:after="0"/>
            </w:pPr>
            <w:r>
              <w:rPr>
                <w:sz w:val="17"/>
                <w:szCs w:val="17"/>
              </w:rPr>
              <w:t xml:space="preserve">$5.70</w:t>
            </w:r>
          </w:p>
        </w:tc>
      </w:tr>
    </w:tbl>
    <w:p>
      <w:pPr>
        <w:spacing w:after="120"/>
      </w:pPr>
      <w:r>
        <w:rPr>
          <w:i/>
          <w:iCs/>
          <w:color w:val="555555"/>
          <w:sz w:val="17"/>
          <w:szCs w:val="17"/>
        </w:rPr>
        <w:t xml:space="preserve">Command Center, all campaigns for this product. * Still filling in: Amazon credits sales up to 7 days after the click. In the 28 days before the deal, B6 sold 1,920 units for $152,565 with $10,968 of ad spend: 7.2% TACoS (Sellerboard). Deal prices are about 20% below list: King White $72.24 (list $89.99), Queen White $67.99 ($84.99), Full White $59.49 ($74.99).</w:t>
      </w:r>
    </w:p>
    <w:p>
      <w:pPr>
        <w:spacing w:after="100"/>
      </w:pPr>
      <w:r>
        <w:t xml:space="preserve">The deal doubled orders and tripled ad spend. It didn’t move the ads to the top: product pages still took 52% of the clicks and top of search 33%, the same split as before the deal. Rank moved on some terms and fell on others. “bamboo sheets” went from 33 to 29 and “bamboo sheets queen size” from 25 to 21. But “bamboo sheets queen” fell from 33 to 58 and “bamboo sheets full” from 11 to 18.</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ad spend per day. Bottom: organic rank for five main terms (lower is better). Grey: the Best Deal. Beige: the one-day Lightning Deal on 20 September.</w:t>
      </w:r>
    </w:p>
    <w:p>
      <w:pPr>
        <w:pStyle w:val="Heading1"/>
      </w:pPr>
      <w:r>
        <w:t xml:space="preserve">2. The rules these corrections apply</w:t>
      </w:r>
    </w:p>
    <w:p>
      <w:pPr>
        <w:pStyle w:val="ListParagraph"/>
        <w:numPr>
          <w:ilvl w:val="0"/>
          <w:numId w:val="3"/>
        </w:numPr>
        <w:spacing w:after="60"/>
      </w:pPr>
      <w:r>
        <w:rPr>
          <w:b/>
          <w:bCs/>
        </w:rPr>
        <w:t xml:space="preserve">Push the focus terms at top of search while the deal runs, and keep building into Prime and Black Friday / Cyber Monday. </w:t>
      </w:r>
      <w:r>
        <w:t xml:space="preserve">A term qualifies for a push when it converts better than the market on 15 or more clicks, has the stock, and has a live keyword that is actually serving. Click-through against the market can only be judged once the ad shows at the top, so it is checked after the first week at the top. A term that doesn’t qualify runs at break-even until it does.</w:t>
      </w:r>
    </w:p>
    <w:p>
      <w:pPr>
        <w:pStyle w:val="ListParagraph"/>
        <w:numPr>
          <w:ilvl w:val="0"/>
          <w:numId w:val="3"/>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twice break-even. Never climb more than 30% in one step.</w:t>
      </w:r>
    </w:p>
    <w:p>
      <w:pPr>
        <w:pStyle w:val="ListParagraph"/>
        <w:numPr>
          <w:ilvl w:val="0"/>
          <w:numId w:val="3"/>
        </w:numPr>
        <w:spacing w:after="60"/>
      </w:pPr>
      <w:r>
        <w:rPr>
          <w:b/>
          <w:bCs/>
        </w:rPr>
        <w:t xml:space="preserve">Get the ad to the top before paying more. </w:t>
      </w:r>
      <w:r>
        <w:t xml:space="preserve">If more than 20% of clicks land on product pages, lower the base bid and raise the boost so the top-of-search price reaches the push price. Push campaigns run on fixed bidding, not down-only.</w:t>
      </w:r>
    </w:p>
    <w:p>
      <w:pPr>
        <w:pStyle w:val="ListParagraph"/>
        <w:numPr>
          <w:ilvl w:val="0"/>
          <w:numId w:val="3"/>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3"/>
        </w:numPr>
        <w:spacing w:after="60"/>
      </w:pPr>
      <w:r>
        <w:rPr>
          <w:b/>
          <w:bCs/>
        </w:rPr>
        <w:t xml:space="preserve">Break-even comes from real margin, and from the deal margin during a deal. </w:t>
      </w:r>
      <w:r>
        <w:t xml:space="preserve">Use Sellerboard profit before ads (after product cost and all Amazon fees, refunds and storage). During the deal, use the deal-day profit per unit.</w:t>
      </w:r>
    </w:p>
    <w:p>
      <w:pPr>
        <w:pStyle w:val="ListParagraph"/>
        <w:numPr>
          <w:ilvl w:val="0"/>
          <w:numId w:val="3"/>
        </w:numPr>
        <w:spacing w:after="60"/>
      </w:pPr>
      <w:r>
        <w:rPr>
          <w:b/>
          <w:bCs/>
        </w:rPr>
        <w:t xml:space="preserve">One campaign per search term. </w:t>
      </w:r>
      <w:r>
        <w:t xml:space="preserve">Each ranking term is bought by one exact campaign; broad, auto and phrase campaigns exclude it. Restart a paused campaign with history rather than building a new one beside it.</w:t>
      </w:r>
    </w:p>
    <w:p>
      <w:pPr>
        <w:pStyle w:val="ListParagraph"/>
        <w:numPr>
          <w:ilvl w:val="0"/>
          <w:numId w:val="3"/>
        </w:numPr>
        <w:spacing w:after="60"/>
      </w:pPr>
      <w:r>
        <w:rPr>
          <w:b/>
          <w:bCs/>
        </w:rPr>
        <w:t xml:space="preserve">Advertise the right colour, judged on Available stock. </w:t>
      </w:r>
      <w:r>
        <w:t xml:space="preserve">Ranking campaigns advertise White. Move to the size’s next-best seller only when White’s Available stock can’t last until its next arrival. Discovery campaigns advertise the size’s clearance colour.</w:t>
      </w:r>
    </w:p>
    <w:p>
      <w:pPr>
        <w:pStyle w:val="ListParagraph"/>
        <w:numPr>
          <w:ilvl w:val="0"/>
          <w:numId w:val="3"/>
        </w:numPr>
        <w:spacing w:after="60"/>
      </w:pPr>
      <w:r>
        <w:rPr>
          <w:b/>
          <w:bCs/>
        </w:rPr>
        <w:t xml:space="preserve">A price change can’t make a paused keyword serve. </w:t>
      </w:r>
      <w:r>
        <w:t xml:space="preserve">Check that a campaign is live before changing its price or forecasting its clicks.</w:t>
      </w:r>
    </w:p>
    <w:p>
      <w:pPr>
        <w:pStyle w:val="ListParagraph"/>
        <w:numPr>
          <w:ilvl w:val="0"/>
          <w:numId w:val="3"/>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$462 to $1,295 a day and TACoS from 8.8% to 18.9%. It sizes its biggest jumps against a 25% TACoS ceiling. It never sets a goal for the run, so none of those numbers is checked against anything.</w:t>
      </w:r>
    </w:p>
    <w:p>
      <w:pPr>
        <w:spacing w:after="100"/>
      </w:pPr>
      <w:r>
        <w:t xml:space="preserve">Its starting point is also wrong. The $462 a day comes from the 14 days to 27 September, which include three deal days (20, 26 and 27 September). Normal spend before the deal was about $283 a day, and TACoS was 7.2%.</w:t>
      </w:r>
    </w:p>
    <w:p>
      <w:pPr>
        <w:spacing w:after="100"/>
      </w:pPr>
      <w:r>
        <w:rPr>
          <w:b/>
          <w:bCs/>
          <w:color w:val="1F3A5F"/>
        </w:rPr>
        <w:t xml:space="preserve">Correction: set these goals. </w:t>
      </w:r>
      <w:r>
        <w:t xml:space="preserve"/>
      </w:r>
    </w:p>
    <w:p>
      <w:pPr>
        <w:pStyle w:val="ListParagraph"/>
        <w:numPr>
          <w:ilvl w:val="0"/>
          <w:numId w:val="4"/>
        </w:numPr>
        <w:spacing w:after="60"/>
      </w:pPr>
      <w:r>
        <w:rPr>
          <w:b/>
          <w:bCs/>
        </w:rPr>
        <w:t xml:space="preserve">For the deal days (to 30 September): </w:t>
      </w:r>
      <w:r>
        <w:t xml:space="preserve">a spend limit and a TACoS ceiling for the push. Deal spend is running at $924 a day, so the limit should cover the push terms first.</w:t>
      </w:r>
    </w:p>
    <w:p>
      <w:pPr>
        <w:pStyle w:val="ListParagraph"/>
        <w:numPr>
          <w:ilvl w:val="0"/>
          <w:numId w:val="4"/>
        </w:numPr>
        <w:spacing w:after="60"/>
      </w:pPr>
      <w:r>
        <w:rPr>
          <w:b/>
          <w:bCs/>
        </w:rPr>
        <w:t xml:space="preserve">From 1 October: </w:t>
      </w:r>
      <w:r>
        <w:t xml:space="preserve">a TACoS goal well below the audit’s 25% (B6 ran at 7.2% before the deal), and a daily spend limit set as a share of the last 7 days’ total sales, so the push can grow as sales grow.</w:t>
      </w:r>
    </w:p>
    <w:p>
      <w:pPr>
        <w:pStyle w:val="ListParagraph"/>
        <w:numPr>
          <w:ilvl w:val="0"/>
          <w:numId w:val="4"/>
        </w:numPr>
        <w:spacing w:after="60"/>
      </w:pPr>
      <w:r>
        <w:rPr>
          <w:b/>
          <w:bCs/>
        </w:rPr>
        <w:t xml:space="preserve">Product goal: </w:t>
      </w:r>
      <w:r>
        <w:t xml:space="preserve">enter the October Prime event and Black Friday with the focus terms as high as possible. Milestones:</w:t>
      </w:r>
    </w:p>
    <w:p>
      <w:pPr>
        <w:pStyle w:val="ListParagraph"/>
        <w:numPr>
          <w:ilvl w:val="0"/>
          <w:numId w:val="4"/>
        </w:numPr>
        <w:spacing w:after="60"/>
      </w:pPr>
      <w:r>
        <w:t xml:space="preserve">Hold what the deal bought: “bamboo sheets” 29, “bamboo sheets queen size” 21 and “bamboo cooling sheets” 20.</w:t>
      </w:r>
    </w:p>
    <w:p>
      <w:pPr>
        <w:pStyle w:val="ListParagraph"/>
        <w:numPr>
          <w:ilvl w:val="0"/>
          <w:numId w:val="4"/>
        </w:numPr>
        <w:spacing w:after="60"/>
      </w:pPr>
      <w:r>
        <w:t xml:space="preserve">Recover “bamboo sheets full” to 11 or better and “bamboo sheets queen” to 30 or better.</w:t>
      </w:r>
    </w:p>
    <w:p>
      <w:pPr>
        <w:pStyle w:val="ListParagraph"/>
        <w:numPr>
          <w:ilvl w:val="0"/>
          <w:numId w:val="4"/>
        </w:numPr>
        <w:spacing w:after="60"/>
      </w:pPr>
      <w:r>
        <w:t xml:space="preserve">Keep ad orders at 14 a day or more after the deal, the pre-deal level.</w:t>
      </w:r>
    </w:p>
    <w:p>
      <w:pPr>
        <w:pStyle w:val="ListParagraph"/>
        <w:numPr>
          <w:ilvl w:val="0"/>
          <w:numId w:val="4"/>
        </w:numPr>
        <w:spacing w:after="60"/>
      </w:pPr>
      <w:r>
        <w:t xml:space="preserve">Get at least 70% of push-campaign clicks at top of search.</w:t>
      </w:r>
    </w:p>
    <w:p>
      <w:pPr>
        <w:pStyle w:val="Heading1"/>
      </w:pPr>
      <w:r>
        <w:t xml:space="preserve">4. The deal days and the exit: the transition plan</w:t>
      </w:r>
    </w:p>
    <w:p>
      <w:pPr>
        <w:spacing w:after="100"/>
      </w:pPr>
      <w:r>
        <w:t xml:space="preserve">The audit doesn’t know the deal is running, so it has no step for the last deal days, no step for the end of the deal, and no link to the next events.</w:t>
      </w:r>
    </w:p>
    <w:p>
      <w:pPr>
        <w:pStyle w:val="Heading2"/>
      </w:pPr>
      <w:r>
        <w:t xml:space="preserve">Now to 30 September — push while the deal runs</w:t>
      </w:r>
    </w:p>
    <w:p>
      <w:pPr>
        <w:pStyle w:val="ListParagraph"/>
        <w:numPr>
          <w:ilvl w:val="0"/>
          <w:numId w:val="4"/>
        </w:numPr>
        <w:spacing w:after="60"/>
      </w:pPr>
      <w:r>
        <w:t xml:space="preserve">Switch the push campaigns to fixed bidding. Lower their base bids and raise the boosts, so the ads compete at the top instead of on product pages (Section 8).</w:t>
      </w:r>
    </w:p>
    <w:p>
      <w:pPr>
        <w:pStyle w:val="ListParagraph"/>
        <w:numPr>
          <w:ilvl w:val="0"/>
          <w:numId w:val="4"/>
        </w:numPr>
        <w:spacing w:after="60"/>
      </w:pPr>
      <w:r>
        <w:t xml:space="preserve">Write each qualifying focus term’s push price on the deal margin. That is one step now, at most 30% above today, and never above twice break-even (Section 5).</w:t>
      </w:r>
    </w:p>
    <w:p>
      <w:pPr>
        <w:pStyle w:val="ListParagraph"/>
        <w:numPr>
          <w:ilvl w:val="0"/>
          <w:numId w:val="4"/>
        </w:numPr>
        <w:spacing w:after="60"/>
      </w:pPr>
      <w:r>
        <w:t xml:space="preserve">Restart the paused exact campaigns for focus terms, starting with “bamboo sheets full” (Section 7).</w:t>
      </w:r>
    </w:p>
    <w:p>
      <w:pPr>
        <w:pStyle w:val="ListParagraph"/>
        <w:numPr>
          <w:ilvl w:val="0"/>
          <w:numId w:val="4"/>
        </w:numPr>
        <w:spacing w:after="60"/>
      </w:pPr>
      <w:r>
        <w:t xml:space="preserve">Set the push campaigns’ budgets by hand to their required clicks at the push price; the audit’s budget changes are all blocked.</w:t>
      </w:r>
    </w:p>
    <w:p>
      <w:pPr>
        <w:pStyle w:val="ListParagraph"/>
        <w:numPr>
          <w:ilvl w:val="0"/>
          <w:numId w:val="4"/>
        </w:numPr>
        <w:spacing w:after="60"/>
      </w:pPr>
      <w:r>
        <w:t xml:space="preserve">Keep every ranking ad on White: White is in the deal in every size. Hold the new campaigns and the retags until after the deal.</w:t>
      </w:r>
    </w:p>
    <w:p>
      <w:pPr>
        <w:pStyle w:val="Heading2"/>
      </w:pPr>
      <w:r>
        <w:t xml:space="preserve">Day 1 after the deal — 1 October</w:t>
      </w:r>
    </w:p>
    <w:p>
      <w:pPr>
        <w:pStyle w:val="ListParagraph"/>
        <w:numPr>
          <w:ilvl w:val="0"/>
          <w:numId w:val="4"/>
        </w:numPr>
        <w:spacing w:after="60"/>
      </w:pPr>
      <w:r>
        <w:t xml:space="preserve">Confirm the listing is back at its regular price. Break-even rises with the margin ($20.20 per unit), so re-price each push term on the full-price margin. Where that raises the push price, take one step of at most 30%.</w:t>
      </w:r>
    </w:p>
    <w:p>
      <w:pPr>
        <w:pStyle w:val="ListParagraph"/>
        <w:numPr>
          <w:ilvl w:val="0"/>
          <w:numId w:val="4"/>
        </w:numPr>
        <w:spacing w:after="60"/>
      </w:pPr>
      <w:r>
        <w:rPr>
          <w:b/>
          <w:bCs/>
        </w:rPr>
        <w:t xml:space="preserve">Bring spend back inside the limit. </w:t>
      </w:r>
      <w:r>
        <w:t xml:space="preserve">Out-of-focus ranking campaigns come to break-even. Deal budgets come down to each campaign’s required clicks at its new price. Product-page leaks keep getting fixed.</w:t>
      </w:r>
    </w:p>
    <w:p>
      <w:pPr>
        <w:pStyle w:val="ListParagraph"/>
        <w:numPr>
          <w:ilvl w:val="0"/>
          <w:numId w:val="4"/>
        </w:numPr>
        <w:spacing w:after="60"/>
      </w:pPr>
      <w:r>
        <w:t xml:space="preserve">The push on qualifying terms continues. The focus terms must not see a gap between deal traffic ending and the push carrying on.</w:t>
      </w:r>
    </w:p>
    <w:p>
      <w:pPr>
        <w:pStyle w:val="Heading2"/>
      </w:pPr>
      <w:r>
        <w:t xml:space="preserve">1 to 7 October — watch, don’t judge</w:t>
      </w:r>
    </w:p>
    <w:p>
      <w:pPr>
        <w:pStyle w:val="ListParagraph"/>
        <w:numPr>
          <w:ilvl w:val="0"/>
          <w:numId w:val="4"/>
        </w:numPr>
        <w:spacing w:after="60"/>
      </w:pPr>
      <w:r>
        <w:t xml:space="preserve">Sales from deal clicks keep arriving until about 7 October, so no ACoS or conversion from these days judges a campaign.</w:t>
      </w:r>
    </w:p>
    <w:p>
      <w:pPr>
        <w:pStyle w:val="ListParagraph"/>
        <w:numPr>
          <w:ilvl w:val="0"/>
          <w:numId w:val="4"/>
        </w:numPr>
        <w:spacing w:after="60"/>
      </w:pPr>
      <w:r>
        <w:rPr>
          <w:b/>
          <w:bCs/>
        </w:rPr>
        <w:t xml:space="preserve">Check daily: </w:t>
      </w:r>
      <w:r>
        <w:t xml:space="preserve">spend against the limit; ad orders against 14 a day; top-of-search share on the push campaigns; rank on the head terms; and Available stock on Full White (64 units, about 16 days at deal pace) and Queen White (328 units).</w:t>
      </w:r>
    </w:p>
    <w:p>
      <w:pPr>
        <w:pStyle w:val="ListParagraph"/>
        <w:numPr>
          <w:ilvl w:val="0"/>
          <w:numId w:val="4"/>
        </w:numPr>
        <w:spacing w:after="60"/>
      </w:pPr>
      <w:r>
        <w:t xml:space="preserve">If a head term falls more than 10 places, find the cause before touching price (Section 12).</w:t>
      </w:r>
    </w:p>
    <w:p>
      <w:pPr>
        <w:pStyle w:val="Heading2"/>
      </w:pPr>
      <w:r>
        <w:t xml:space="preserve">8 to 14 October — first clean read</w:t>
      </w:r>
    </w:p>
    <w:p>
      <w:pPr>
        <w:pStyle w:val="ListParagraph"/>
        <w:numPr>
          <w:ilvl w:val="0"/>
          <w:numId w:val="4"/>
        </w:numPr>
        <w:spacing w:after="60"/>
      </w:pPr>
      <w:r>
        <w:t xml:space="preserve">Re-run break-even on seven normal days of conversion.</w:t>
      </w:r>
    </w:p>
    <w:p>
      <w:pPr>
        <w:pStyle w:val="ListParagraph"/>
        <w:numPr>
          <w:ilvl w:val="0"/>
          <w:numId w:val="4"/>
        </w:numPr>
        <w:spacing w:after="60"/>
      </w:pPr>
      <w:r>
        <w:t xml:space="preserve">Give push terms whose rank moved their next step (at most +30%, never above twice break-even). Where rank didn’t move after a week of full delivery at the top, stop the premium and find out why.</w:t>
      </w:r>
    </w:p>
    <w:p>
      <w:pPr>
        <w:pStyle w:val="Heading2"/>
      </w:pPr>
      <w:r>
        <w:t xml:space="preserve">Into Prime and Black Friday</w:t>
      </w:r>
    </w:p>
    <w:p>
      <w:pPr>
        <w:pStyle w:val="ListParagraph"/>
        <w:numPr>
          <w:ilvl w:val="0"/>
          <w:numId w:val="4"/>
        </w:numPr>
        <w:spacing w:after="60"/>
      </w:pPr>
      <w:r>
        <w:t xml:space="preserve">At least three weeks before each event, size its push per focus term (price, clicks, budget) and check stock covers it. After each event, repeat Day 1 and Week 1.</w:t>
      </w:r>
    </w:p>
    <w:p>
      <w:pPr>
        <w:pStyle w:val="ListParagraph"/>
        <w:numPr>
          <w:ilvl w:val="0"/>
          <w:numId w:val="4"/>
        </w:numPr>
        <w:spacing w:after="60"/>
      </w:pPr>
      <w:r>
        <w:t xml:space="preserve">Queen White’s next arrival lands about 30 October, in time for the Black Friday / Cyber Monday push (27–30 November).</w:t>
      </w:r>
    </w:p>
    <w:p>
      <w:pPr>
        <w:pStyle w:val="Heading1"/>
      </w:pPr>
      <w:r>
        <w:t xml:space="preserve">5. Ranking prices: push the focus terms at top of search now</w:t>
      </w:r>
    </w:p>
    <w:p>
      <w:pPr>
        <w:pStyle w:val="Heading2"/>
      </w:pPr>
      <w:r>
        <w:t xml:space="preserve">5.1 What the audit does wrong</w:t>
      </w:r>
    </w:p>
    <w:p>
      <w:pPr>
        <w:pStyle w:val="ListParagraph"/>
        <w:numPr>
          <w:ilvl w:val="0"/>
          <w:numId w:val="4"/>
        </w:numPr>
        <w:spacing w:after="60"/>
      </w:pPr>
      <w:r>
        <w:t xml:space="preserve">It doesn’t know the deal is running. It records no deal for the run, and its review says no deal falls in its two-week window. So no price is set on the deal margin, and nothing is timed to the deal’s last days.</w:t>
      </w:r>
    </w:p>
    <w:p>
      <w:pPr>
        <w:pStyle w:val="ListParagraph"/>
        <w:numPr>
          <w:ilvl w:val="0"/>
          <w:numId w:val="4"/>
        </w:numPr>
        <w:spacing w:after="60"/>
      </w:pPr>
      <w:r>
        <w:t xml:space="preserve">It gives 18 campaigns a 75% price jump in one step, several of them to $10–15 a click. Example: Full Size Bamboo Sheets goes from $8.43 to $14.77. The audit’s own notes say this campaign already loses $34.73 per order at $8.43. They put the odds of these jumps working at 20–41%.</w:t>
      </w:r>
    </w:p>
    <w:p>
      <w:pPr>
        <w:pStyle w:val="ListParagraph"/>
        <w:numPr>
          <w:ilvl w:val="0"/>
          <w:numId w:val="4"/>
        </w:numPr>
        <w:spacing w:after="60"/>
      </w:pPr>
      <w:r>
        <w:t xml:space="preserve">It raises prices on campaigns that barely show at the top. Most focus campaigns took 0–12 top-of-search clicks in 90 days. For example, Bamboo Sheets King Size took 390 clicks and only 12 at the top, and Bamboo Sheets Queen (HSV) took 395 clicks and none at the top. When the ad isn’t competing at the top, a higher boost buys little. The causes are a low base bid, down-only bidding and product-page traffic.</w:t>
      </w:r>
    </w:p>
    <w:p>
      <w:pPr>
        <w:pStyle w:val="ListParagraph"/>
        <w:numPr>
          <w:ilvl w:val="0"/>
          <w:numId w:val="4"/>
        </w:numPr>
        <w:spacing w:after="60"/>
      </w:pPr>
      <w:r>
        <w:t xml:space="preserve">On one focus campaign it raises the base bid with the price: Bamboo Sheets King Size goes from $0.50 to $1.40 (+180%). That nearly triples what it pays on product pages as well as at the top.</w:t>
      </w:r>
    </w:p>
    <w:p>
      <w:pPr>
        <w:pStyle w:val="ListParagraph"/>
        <w:numPr>
          <w:ilvl w:val="0"/>
          <w:numId w:val="4"/>
        </w:numPr>
        <w:spacing w:after="60"/>
      </w:pPr>
      <w:r>
        <w:t xml:space="preserve">It leaves every push campaign on down-only bidding.</w:t>
      </w:r>
    </w:p>
    <w:p>
      <w:pPr>
        <w:pStyle w:val="ListParagraph"/>
        <w:numPr>
          <w:ilvl w:val="0"/>
          <w:numId w:val="4"/>
        </w:numPr>
        <w:spacing w:after="60"/>
      </w:pPr>
      <w:r>
        <w:t xml:space="preserve">It tapers “bamboo sheets”, the one term with a solid top-of-search record that qualifies (Section 5.4).</w:t>
      </w:r>
    </w:p>
    <w:p>
      <w:pPr>
        <w:pStyle w:val="Heading2"/>
      </w:pPr>
      <w:r>
        <w:t xml:space="preserve">5.2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50"/>
        <w:gridCol w:w="1100"/>
        <w:gridCol w:w="1000"/>
        <w:gridCol w:w="1500"/>
        <w:gridCol w:w="1350"/>
        <w:gridCol w:w="2572"/>
      </w:tblGrid>
      <w:tr>
        <w:trPr>
          <w:tblHeader/>
        </w:trPr>
        <w:tc>
          <w:tcPr>
            <w:tcW w:type="dxa" w:w="245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Break-even in the deal</w:t>
            </w:r>
          </w:p>
        </w:tc>
        <w:tc>
          <w:tcPr>
            <w:tcW w:type="dxa" w:w="100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Push price</w:t>
            </w:r>
          </w:p>
        </w:tc>
        <w:tc>
          <w:tcPr>
            <w:tcW w:type="dxa" w:w="135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450"/>
            <w:shd w:fill="FFFFFF" w:color="auto" w:val="clear"/>
            <w:tcMar>
              <w:top w:type="dxa" w:w="40"/>
              <w:left w:type="dxa" w:w="70"/>
              <w:bottom w:type="dxa" w:w="40"/>
              <w:right w:type="dxa" w:w="70"/>
            </w:tcMar>
          </w:tcPr>
          <w:p>
            <w:pPr>
              <w:spacing w:after="0"/>
            </w:pPr>
            <w:r>
              <w:rPr>
                <w:sz w:val="17"/>
                <w:szCs w:val="17"/>
              </w:rPr>
              <w:t xml:space="preserve">Bamboo Sheet (VHSV), “bamboo sheets”, King White</w:t>
            </w:r>
          </w:p>
        </w:tc>
        <w:tc>
          <w:tcPr>
            <w:tcW w:type="dxa" w:w="1100"/>
            <w:shd w:fill="FFFFFF" w:color="auto" w:val="clear"/>
            <w:tcMar>
              <w:top w:type="dxa" w:w="40"/>
              <w:left w:type="dxa" w:w="70"/>
              <w:bottom w:type="dxa" w:w="40"/>
              <w:right w:type="dxa" w:w="70"/>
            </w:tcMar>
          </w:tcPr>
          <w:p>
            <w:pPr>
              <w:spacing w:after="0"/>
            </w:pPr>
            <w:r>
              <w:rPr>
                <w:sz w:val="17"/>
                <w:szCs w:val="17"/>
              </w:rPr>
              <w:t xml:space="preserve">$2.93 (17.5% on 275 top-of-search clicks)</w:t>
            </w:r>
          </w:p>
        </w:tc>
        <w:tc>
          <w:tcPr>
            <w:tcW w:type="dxa" w:w="1000"/>
            <w:shd w:fill="FFFFFF" w:color="auto" w:val="clear"/>
            <w:tcMar>
              <w:top w:type="dxa" w:w="40"/>
              <w:left w:type="dxa" w:w="70"/>
              <w:bottom w:type="dxa" w:w="40"/>
              <w:right w:type="dxa" w:w="70"/>
            </w:tcMar>
          </w:tcPr>
          <w:p>
            <w:pPr>
              <w:spacing w:after="0"/>
            </w:pPr>
            <w:r>
              <w:rPr>
                <w:sz w:val="17"/>
                <w:szCs w:val="17"/>
              </w:rPr>
              <w:t xml:space="preserve">29 → 9</w:t>
            </w:r>
          </w:p>
        </w:tc>
        <w:tc>
          <w:tcPr>
            <w:tcW w:type="dxa" w:w="1500"/>
            <w:shd w:fill="FFFFFF" w:color="auto" w:val="clear"/>
            <w:tcMar>
              <w:top w:type="dxa" w:w="40"/>
              <w:left w:type="dxa" w:w="70"/>
              <w:bottom w:type="dxa" w:w="40"/>
              <w:right w:type="dxa" w:w="70"/>
            </w:tcMar>
          </w:tcPr>
          <w:p>
            <w:pPr>
              <w:spacing w:after="0"/>
            </w:pPr>
            <w:r>
              <w:rPr>
                <w:sz w:val="17"/>
                <w:szCs w:val="17"/>
              </w:rPr>
              <w:t xml:space="preserve">$2.93 × 2.11 = $6.18, capped at 2× = $5.86</w:t>
            </w:r>
          </w:p>
        </w:tc>
        <w:tc>
          <w:tcPr>
            <w:tcW w:type="dxa" w:w="1350"/>
            <w:shd w:fill="FFFFFF" w:color="auto" w:val="clear"/>
            <w:tcMar>
              <w:top w:type="dxa" w:w="40"/>
              <w:left w:type="dxa" w:w="70"/>
              <w:bottom w:type="dxa" w:w="40"/>
              <w:right w:type="dxa" w:w="70"/>
            </w:tcMar>
          </w:tcPr>
          <w:p>
            <w:pPr>
              <w:spacing w:after="0"/>
            </w:pPr>
            <w:r>
              <w:rPr>
                <w:sz w:val="17"/>
                <w:szCs w:val="17"/>
              </w:rPr>
              <w:t xml:space="preserve">$6.10 · $6.52</w:t>
            </w:r>
          </w:p>
        </w:tc>
        <w:tc>
          <w:tcPr>
            <w:tcW w:type="dxa" w:w="2572"/>
            <w:shd w:fill="FFFFFF" w:color="auto" w:val="clear"/>
            <w:tcMar>
              <w:top w:type="dxa" w:w="40"/>
              <w:left w:type="dxa" w:w="70"/>
              <w:bottom w:type="dxa" w:w="40"/>
              <w:right w:type="dxa" w:w="70"/>
            </w:tcMar>
          </w:tcPr>
          <w:p>
            <w:pPr>
              <w:spacing w:after="0"/>
            </w:pPr>
            <w:r>
              <w:rPr>
                <w:sz w:val="17"/>
                <w:szCs w:val="17"/>
              </w:rPr>
              <w:t xml:space="preserve">$5.86 now, with the base $1.60 → $0.80 and boost 633%. From 1 October: $7.05 (+20%) on the full-price margin.</w:t>
            </w:r>
          </w:p>
        </w:tc>
      </w:tr>
      <w:tr>
        <w:tc>
          <w:tcPr>
            <w:tcW w:type="dxa" w:w="2450"/>
            <w:shd w:fill="F2F5F9" w:color="auto" w:val="clear"/>
            <w:tcMar>
              <w:top w:type="dxa" w:w="40"/>
              <w:left w:type="dxa" w:w="70"/>
              <w:bottom w:type="dxa" w:w="40"/>
              <w:right w:type="dxa" w:w="70"/>
            </w:tcMar>
          </w:tcPr>
          <w:p>
            <w:pPr>
              <w:spacing w:after="0"/>
            </w:pPr>
            <w:r>
              <w:rPr>
                <w:sz w:val="17"/>
                <w:szCs w:val="17"/>
              </w:rPr>
              <w:t xml:space="preserve">Bamboo Sheets King Size (HSV), King White</w:t>
            </w:r>
          </w:p>
        </w:tc>
        <w:tc>
          <w:tcPr>
            <w:tcW w:type="dxa" w:w="1100"/>
            <w:shd w:fill="F2F5F9" w:color="auto" w:val="clear"/>
            <w:tcMar>
              <w:top w:type="dxa" w:w="40"/>
              <w:left w:type="dxa" w:w="70"/>
              <w:bottom w:type="dxa" w:w="40"/>
              <w:right w:type="dxa" w:w="70"/>
            </w:tcMar>
          </w:tcPr>
          <w:p>
            <w:pPr>
              <w:spacing w:after="0"/>
            </w:pPr>
            <w:r>
              <w:rPr>
                <w:sz w:val="17"/>
                <w:szCs w:val="17"/>
              </w:rPr>
              <w:t xml:space="preserve">$3.01 (17.9%)</w:t>
            </w:r>
          </w:p>
        </w:tc>
        <w:tc>
          <w:tcPr>
            <w:tcW w:type="dxa" w:w="1000"/>
            <w:shd w:fill="F2F5F9" w:color="auto" w:val="clear"/>
            <w:tcMar>
              <w:top w:type="dxa" w:w="40"/>
              <w:left w:type="dxa" w:w="70"/>
              <w:bottom w:type="dxa" w:w="40"/>
              <w:right w:type="dxa" w:w="70"/>
            </w:tcMar>
          </w:tcPr>
          <w:p>
            <w:pPr>
              <w:spacing w:after="0"/>
            </w:pPr>
            <w:r>
              <w:rPr>
                <w:sz w:val="17"/>
                <w:szCs w:val="17"/>
              </w:rPr>
              <w:t xml:space="preserve">27 → 10</w:t>
            </w:r>
          </w:p>
        </w:tc>
        <w:tc>
          <w:tcPr>
            <w:tcW w:type="dxa" w:w="1500"/>
            <w:shd w:fill="F2F5F9" w:color="auto" w:val="clear"/>
            <w:tcMar>
              <w:top w:type="dxa" w:w="40"/>
              <w:left w:type="dxa" w:w="70"/>
              <w:bottom w:type="dxa" w:w="40"/>
              <w:right w:type="dxa" w:w="70"/>
            </w:tcMar>
          </w:tcPr>
          <w:p>
            <w:pPr>
              <w:spacing w:after="0"/>
            </w:pPr>
            <w:r>
              <w:rPr>
                <w:sz w:val="17"/>
                <w:szCs w:val="17"/>
              </w:rPr>
              <w:t xml:space="preserve">$3.01 × 1.85 = $5.57</w:t>
            </w:r>
          </w:p>
        </w:tc>
        <w:tc>
          <w:tcPr>
            <w:tcW w:type="dxa" w:w="1350"/>
            <w:shd w:fill="F2F5F9" w:color="auto" w:val="clear"/>
            <w:tcMar>
              <w:top w:type="dxa" w:w="40"/>
              <w:left w:type="dxa" w:w="70"/>
              <w:bottom w:type="dxa" w:w="40"/>
              <w:right w:type="dxa" w:w="70"/>
            </w:tcMar>
          </w:tcPr>
          <w:p>
            <w:pPr>
              <w:spacing w:after="0"/>
            </w:pPr>
            <w:r>
              <w:rPr>
                <w:sz w:val="17"/>
                <w:szCs w:val="17"/>
              </w:rPr>
              <w:t xml:space="preserve">$4.80 · $8.40</w:t>
            </w:r>
          </w:p>
        </w:tc>
        <w:tc>
          <w:tcPr>
            <w:tcW w:type="dxa" w:w="2572"/>
            <w:shd w:fill="F2F5F9" w:color="auto" w:val="clear"/>
            <w:tcMar>
              <w:top w:type="dxa" w:w="40"/>
              <w:left w:type="dxa" w:w="70"/>
              <w:bottom w:type="dxa" w:w="40"/>
              <w:right w:type="dxa" w:w="70"/>
            </w:tcMar>
          </w:tcPr>
          <w:p>
            <w:pPr>
              <w:spacing w:after="0"/>
            </w:pPr>
            <w:r>
              <w:rPr>
                <w:sz w:val="17"/>
                <w:szCs w:val="17"/>
              </w:rPr>
              <w:t xml:space="preserve">$5.57 with base $0.60 (not $1.40) and boost 828%, on fixed bidding. From 1 October: $6.71.</w:t>
            </w:r>
          </w:p>
        </w:tc>
      </w:tr>
      <w:tr>
        <w:tc>
          <w:tcPr>
            <w:tcW w:type="dxa" w:w="2450"/>
            <w:shd w:fill="FFFFFF" w:color="auto" w:val="clear"/>
            <w:tcMar>
              <w:top w:type="dxa" w:w="40"/>
              <w:left w:type="dxa" w:w="70"/>
              <w:bottom w:type="dxa" w:w="40"/>
              <w:right w:type="dxa" w:w="70"/>
            </w:tcMar>
          </w:tcPr>
          <w:p>
            <w:pPr>
              <w:spacing w:after="0"/>
            </w:pPr>
            <w:r>
              <w:rPr>
                <w:sz w:val="17"/>
                <w:szCs w:val="17"/>
              </w:rPr>
              <w:t xml:space="preserve">Full Size Bamboo Sheets [Full], Full White</w:t>
            </w:r>
          </w:p>
        </w:tc>
        <w:tc>
          <w:tcPr>
            <w:tcW w:type="dxa" w:w="1100"/>
            <w:shd w:fill="FFFFFF" w:color="auto" w:val="clear"/>
            <w:tcMar>
              <w:top w:type="dxa" w:w="40"/>
              <w:left w:type="dxa" w:w="70"/>
              <w:bottom w:type="dxa" w:w="40"/>
              <w:right w:type="dxa" w:w="70"/>
            </w:tcMar>
          </w:tcPr>
          <w:p>
            <w:pPr>
              <w:spacing w:after="0"/>
            </w:pPr>
            <w:r>
              <w:rPr>
                <w:sz w:val="17"/>
                <w:szCs w:val="17"/>
              </w:rPr>
              <w:t xml:space="preserve">$2.16 (13.6%)</w:t>
            </w:r>
          </w:p>
        </w:tc>
        <w:tc>
          <w:tcPr>
            <w:tcW w:type="dxa" w:w="1000"/>
            <w:shd w:fill="FFFFFF" w:color="auto" w:val="clear"/>
            <w:tcMar>
              <w:top w:type="dxa" w:w="40"/>
              <w:left w:type="dxa" w:w="70"/>
              <w:bottom w:type="dxa" w:w="40"/>
              <w:right w:type="dxa" w:w="70"/>
            </w:tcMar>
          </w:tcPr>
          <w:p>
            <w:pPr>
              <w:spacing w:after="0"/>
            </w:pPr>
            <w:r>
              <w:rPr>
                <w:sz w:val="17"/>
                <w:szCs w:val="17"/>
              </w:rPr>
              <w:t xml:space="preserve">23 → 10</w:t>
            </w:r>
          </w:p>
        </w:tc>
        <w:tc>
          <w:tcPr>
            <w:tcW w:type="dxa" w:w="1500"/>
            <w:shd w:fill="FFFFFF" w:color="auto" w:val="clear"/>
            <w:tcMar>
              <w:top w:type="dxa" w:w="40"/>
              <w:left w:type="dxa" w:w="70"/>
              <w:bottom w:type="dxa" w:w="40"/>
              <w:right w:type="dxa" w:w="70"/>
            </w:tcMar>
          </w:tcPr>
          <w:p>
            <w:pPr>
              <w:spacing w:after="0"/>
            </w:pPr>
            <w:r>
              <w:rPr>
                <w:sz w:val="17"/>
                <w:szCs w:val="17"/>
              </w:rPr>
              <w:t xml:space="preserve">$2.16 × 1.65 = $3.56</w:t>
            </w:r>
          </w:p>
        </w:tc>
        <w:tc>
          <w:tcPr>
            <w:tcW w:type="dxa" w:w="1350"/>
            <w:shd w:fill="FFFFFF" w:color="auto" w:val="clear"/>
            <w:tcMar>
              <w:top w:type="dxa" w:w="40"/>
              <w:left w:type="dxa" w:w="70"/>
              <w:bottom w:type="dxa" w:w="40"/>
              <w:right w:type="dxa" w:w="70"/>
            </w:tcMar>
          </w:tcPr>
          <w:p>
            <w:pPr>
              <w:spacing w:after="0"/>
            </w:pPr>
            <w:r>
              <w:rPr>
                <w:sz w:val="17"/>
                <w:szCs w:val="17"/>
              </w:rPr>
              <w:t xml:space="preserve">$8.43 · $14.77</w:t>
            </w:r>
          </w:p>
        </w:tc>
        <w:tc>
          <w:tcPr>
            <w:tcW w:type="dxa" w:w="2572"/>
            <w:shd w:fill="FFFFFF" w:color="auto" w:val="clear"/>
            <w:tcMar>
              <w:top w:type="dxa" w:w="40"/>
              <w:left w:type="dxa" w:w="70"/>
              <w:bottom w:type="dxa" w:w="40"/>
              <w:right w:type="dxa" w:w="70"/>
            </w:tcMar>
          </w:tcPr>
          <w:p>
            <w:pPr>
              <w:spacing w:after="0"/>
            </w:pPr>
            <w:r>
              <w:rPr>
                <w:sz w:val="17"/>
                <w:szCs w:val="17"/>
              </w:rPr>
              <w:t xml:space="preserve">$4.22 now (a 50% step down, with the base $1.87 → $0.94 and boost 349%), then $4.52 from 1 October.</w:t>
            </w:r>
          </w:p>
        </w:tc>
      </w:tr>
      <w:tr>
        <w:tc>
          <w:tcPr>
            <w:tcW w:type="dxa" w:w="2450"/>
            <w:shd w:fill="F2F5F9" w:color="auto" w:val="clear"/>
            <w:tcMar>
              <w:top w:type="dxa" w:w="40"/>
              <w:left w:type="dxa" w:w="70"/>
              <w:bottom w:type="dxa" w:w="40"/>
              <w:right w:type="dxa" w:w="70"/>
            </w:tcMar>
          </w:tcPr>
          <w:p>
            <w:pPr>
              <w:spacing w:after="0"/>
            </w:pPr>
            <w:r>
              <w:rPr>
                <w:sz w:val="17"/>
                <w:szCs w:val="17"/>
              </w:rPr>
              <w:t xml:space="preserve">Queen Size Bamboo Sheets Set [Queen], on Queen Olive</w:t>
            </w:r>
          </w:p>
        </w:tc>
        <w:tc>
          <w:tcPr>
            <w:tcW w:type="dxa" w:w="1100"/>
            <w:shd w:fill="F2F5F9" w:color="auto" w:val="clear"/>
            <w:tcMar>
              <w:top w:type="dxa" w:w="40"/>
              <w:left w:type="dxa" w:w="70"/>
              <w:bottom w:type="dxa" w:w="40"/>
              <w:right w:type="dxa" w:w="70"/>
            </w:tcMar>
          </w:tcPr>
          <w:p>
            <w:pPr>
              <w:spacing w:after="0"/>
            </w:pPr>
            <w:r>
              <w:rPr>
                <w:sz w:val="17"/>
                <w:szCs w:val="17"/>
              </w:rPr>
              <w:t xml:space="preserve">$3.79 (18.1%)</w:t>
            </w:r>
          </w:p>
        </w:tc>
        <w:tc>
          <w:tcPr>
            <w:tcW w:type="dxa" w:w="1000"/>
            <w:shd w:fill="F2F5F9" w:color="auto" w:val="clear"/>
            <w:tcMar>
              <w:top w:type="dxa" w:w="40"/>
              <w:left w:type="dxa" w:w="70"/>
              <w:bottom w:type="dxa" w:w="40"/>
              <w:right w:type="dxa" w:w="70"/>
            </w:tcMar>
          </w:tcPr>
          <w:p>
            <w:pPr>
              <w:spacing w:after="0"/>
            </w:pPr>
            <w:r>
              <w:rPr>
                <w:sz w:val="17"/>
                <w:szCs w:val="17"/>
              </w:rPr>
              <w:t xml:space="preserve">25 → 6</w:t>
            </w:r>
          </w:p>
        </w:tc>
        <w:tc>
          <w:tcPr>
            <w:tcW w:type="dxa" w:w="1500"/>
            <w:shd w:fill="F2F5F9" w:color="auto" w:val="clear"/>
            <w:tcMar>
              <w:top w:type="dxa" w:w="40"/>
              <w:left w:type="dxa" w:w="70"/>
              <w:bottom w:type="dxa" w:w="40"/>
              <w:right w:type="dxa" w:w="70"/>
            </w:tcMar>
          </w:tcPr>
          <w:p>
            <w:pPr>
              <w:spacing w:after="0"/>
            </w:pPr>
            <w:r>
              <w:rPr>
                <w:sz w:val="17"/>
                <w:szCs w:val="17"/>
              </w:rPr>
              <w:t xml:space="preserve">$9.79, capped at 2× = $7.58</w:t>
            </w:r>
          </w:p>
        </w:tc>
        <w:tc>
          <w:tcPr>
            <w:tcW w:type="dxa" w:w="1350"/>
            <w:shd w:fill="F2F5F9" w:color="auto" w:val="clear"/>
            <w:tcMar>
              <w:top w:type="dxa" w:w="40"/>
              <w:left w:type="dxa" w:w="70"/>
              <w:bottom w:type="dxa" w:w="40"/>
              <w:right w:type="dxa" w:w="70"/>
            </w:tcMar>
          </w:tcPr>
          <w:p>
            <w:pPr>
              <w:spacing w:after="0"/>
            </w:pPr>
            <w:r>
              <w:rPr>
                <w:sz w:val="17"/>
                <w:szCs w:val="17"/>
              </w:rPr>
              <w:t xml:space="preserve">$7.89 · $13.80</w:t>
            </w:r>
          </w:p>
        </w:tc>
        <w:tc>
          <w:tcPr>
            <w:tcW w:type="dxa" w:w="2572"/>
            <w:shd w:fill="F2F5F9" w:color="auto" w:val="clear"/>
            <w:tcMar>
              <w:top w:type="dxa" w:w="40"/>
              <w:left w:type="dxa" w:w="70"/>
              <w:bottom w:type="dxa" w:w="40"/>
              <w:right w:type="dxa" w:w="70"/>
            </w:tcMar>
          </w:tcPr>
          <w:p>
            <w:pPr>
              <w:spacing w:after="0"/>
            </w:pPr>
            <w:r>
              <w:rPr>
                <w:sz w:val="17"/>
                <w:szCs w:val="17"/>
              </w:rPr>
              <w:t xml:space="preserve">$7.58. Move the ad back to Queen White.</w:t>
            </w:r>
          </w:p>
        </w:tc>
      </w:tr>
      <w:tr>
        <w:tc>
          <w:tcPr>
            <w:tcW w:type="dxa" w:w="2450"/>
            <w:shd w:fill="FFFFFF" w:color="auto" w:val="clear"/>
            <w:tcMar>
              <w:top w:type="dxa" w:w="40"/>
              <w:left w:type="dxa" w:w="70"/>
              <w:bottom w:type="dxa" w:w="40"/>
              <w:right w:type="dxa" w:w="70"/>
            </w:tcMar>
          </w:tcPr>
          <w:p>
            <w:pPr>
              <w:spacing w:after="0"/>
            </w:pPr>
            <w:r>
              <w:rPr>
                <w:sz w:val="17"/>
                <w:szCs w:val="17"/>
              </w:rPr>
              <w:t xml:space="preserve">Bamboo Sheets Queen Size (HSV), Queen White</w:t>
            </w:r>
          </w:p>
        </w:tc>
        <w:tc>
          <w:tcPr>
            <w:tcW w:type="dxa" w:w="1100"/>
            <w:shd w:fill="FFFFFF" w:color="auto" w:val="clear"/>
            <w:tcMar>
              <w:top w:type="dxa" w:w="40"/>
              <w:left w:type="dxa" w:w="70"/>
              <w:bottom w:type="dxa" w:w="40"/>
              <w:right w:type="dxa" w:w="70"/>
            </w:tcMar>
          </w:tcPr>
          <w:p>
            <w:pPr>
              <w:spacing w:after="0"/>
            </w:pPr>
            <w:r>
              <w:rPr>
                <w:sz w:val="17"/>
                <w:szCs w:val="17"/>
              </w:rPr>
              <w:t xml:space="preserve">$2.19 (10.5%)</w:t>
            </w:r>
          </w:p>
        </w:tc>
        <w:tc>
          <w:tcPr>
            <w:tcW w:type="dxa" w:w="1000"/>
            <w:shd w:fill="FFFFFF" w:color="auto" w:val="clear"/>
            <w:tcMar>
              <w:top w:type="dxa" w:w="40"/>
              <w:left w:type="dxa" w:w="70"/>
              <w:bottom w:type="dxa" w:w="40"/>
              <w:right w:type="dxa" w:w="70"/>
            </w:tcMar>
          </w:tcPr>
          <w:p>
            <w:pPr>
              <w:spacing w:after="0"/>
            </w:pPr>
            <w:r>
              <w:rPr>
                <w:sz w:val="17"/>
                <w:szCs w:val="17"/>
              </w:rPr>
              <w:t xml:space="preserve">21 → 5</w:t>
            </w:r>
          </w:p>
        </w:tc>
        <w:tc>
          <w:tcPr>
            <w:tcW w:type="dxa" w:w="1500"/>
            <w:shd w:fill="FFFFFF" w:color="auto" w:val="clear"/>
            <w:tcMar>
              <w:top w:type="dxa" w:w="40"/>
              <w:left w:type="dxa" w:w="70"/>
              <w:bottom w:type="dxa" w:w="40"/>
              <w:right w:type="dxa" w:w="70"/>
            </w:tcMar>
          </w:tcPr>
          <w:p>
            <w:pPr>
              <w:spacing w:after="0"/>
            </w:pPr>
            <w:r>
              <w:rPr>
                <w:sz w:val="17"/>
                <w:szCs w:val="17"/>
              </w:rPr>
              <w:t xml:space="preserve">$5.70, capped at 2× = $4.38</w:t>
            </w:r>
          </w:p>
        </w:tc>
        <w:tc>
          <w:tcPr>
            <w:tcW w:type="dxa" w:w="1350"/>
            <w:shd w:fill="FFFFFF" w:color="auto" w:val="clear"/>
            <w:tcMar>
              <w:top w:type="dxa" w:w="40"/>
              <w:left w:type="dxa" w:w="70"/>
              <w:bottom w:type="dxa" w:w="40"/>
              <w:right w:type="dxa" w:w="70"/>
            </w:tcMar>
          </w:tcPr>
          <w:p>
            <w:pPr>
              <w:spacing w:after="0"/>
            </w:pPr>
            <w:r>
              <w:rPr>
                <w:sz w:val="17"/>
                <w:szCs w:val="17"/>
              </w:rPr>
              <w:t xml:space="preserve">$5.93 · no price change</w:t>
            </w:r>
          </w:p>
        </w:tc>
        <w:tc>
          <w:tcPr>
            <w:tcW w:type="dxa" w:w="2572"/>
            <w:shd w:fill="FFFFFF" w:color="auto" w:val="clear"/>
            <w:tcMar>
              <w:top w:type="dxa" w:w="40"/>
              <w:left w:type="dxa" w:w="70"/>
              <w:bottom w:type="dxa" w:w="40"/>
              <w:right w:type="dxa" w:w="70"/>
            </w:tcMar>
          </w:tcPr>
          <w:p>
            <w:pPr>
              <w:spacing w:after="0"/>
            </w:pPr>
            <w:r>
              <w:rPr>
                <w:sz w:val="17"/>
                <w:szCs w:val="17"/>
              </w:rPr>
              <w:t xml:space="preserve">$4.38 now; stay on White (the audit moves it to Olive).</w:t>
            </w:r>
          </w:p>
        </w:tc>
      </w:tr>
      <w:tr>
        <w:tc>
          <w:tcPr>
            <w:tcW w:type="dxa" w:w="2450"/>
            <w:shd w:fill="F2F5F9" w:color="auto" w:val="clear"/>
            <w:tcMar>
              <w:top w:type="dxa" w:w="40"/>
              <w:left w:type="dxa" w:w="70"/>
              <w:bottom w:type="dxa" w:w="40"/>
              <w:right w:type="dxa" w:w="70"/>
            </w:tcMar>
          </w:tcPr>
          <w:p>
            <w:pPr>
              <w:spacing w:after="0"/>
            </w:pPr>
            <w:r>
              <w:rPr>
                <w:sz w:val="17"/>
                <w:szCs w:val="17"/>
              </w:rPr>
              <w:t xml:space="preserve">Bamboo Cooling Sheets (MSV), on Queen Creme</w:t>
            </w:r>
          </w:p>
        </w:tc>
        <w:tc>
          <w:tcPr>
            <w:tcW w:type="dxa" w:w="1100"/>
            <w:shd w:fill="F2F5F9" w:color="auto" w:val="clear"/>
            <w:tcMar>
              <w:top w:type="dxa" w:w="40"/>
              <w:left w:type="dxa" w:w="70"/>
              <w:bottom w:type="dxa" w:w="40"/>
              <w:right w:type="dxa" w:w="70"/>
            </w:tcMar>
          </w:tcPr>
          <w:p>
            <w:pPr>
              <w:spacing w:after="0"/>
            </w:pPr>
            <w:r>
              <w:rPr>
                <w:sz w:val="17"/>
                <w:szCs w:val="17"/>
              </w:rPr>
              <w:t xml:space="preserve">$2.40 (11.5%)</w:t>
            </w:r>
          </w:p>
        </w:tc>
        <w:tc>
          <w:tcPr>
            <w:tcW w:type="dxa" w:w="1000"/>
            <w:shd w:fill="F2F5F9" w:color="auto" w:val="clear"/>
            <w:tcMar>
              <w:top w:type="dxa" w:w="40"/>
              <w:left w:type="dxa" w:w="70"/>
              <w:bottom w:type="dxa" w:w="40"/>
              <w:right w:type="dxa" w:w="70"/>
            </w:tcMar>
          </w:tcPr>
          <w:p>
            <w:pPr>
              <w:spacing w:after="0"/>
            </w:pPr>
            <w:r>
              <w:rPr>
                <w:sz w:val="17"/>
                <w:szCs w:val="17"/>
              </w:rPr>
              <w:t xml:space="preserve">20 → 5</w:t>
            </w:r>
          </w:p>
        </w:tc>
        <w:tc>
          <w:tcPr>
            <w:tcW w:type="dxa" w:w="1500"/>
            <w:shd w:fill="F2F5F9" w:color="auto" w:val="clear"/>
            <w:tcMar>
              <w:top w:type="dxa" w:w="40"/>
              <w:left w:type="dxa" w:w="70"/>
              <w:bottom w:type="dxa" w:w="40"/>
              <w:right w:type="dxa" w:w="70"/>
            </w:tcMar>
          </w:tcPr>
          <w:p>
            <w:pPr>
              <w:spacing w:after="0"/>
            </w:pPr>
            <w:r>
              <w:rPr>
                <w:sz w:val="17"/>
                <w:szCs w:val="17"/>
              </w:rPr>
              <w:t xml:space="preserve">$6.00, capped at 2× = $4.80</w:t>
            </w:r>
          </w:p>
        </w:tc>
        <w:tc>
          <w:tcPr>
            <w:tcW w:type="dxa" w:w="1350"/>
            <w:shd w:fill="F2F5F9" w:color="auto" w:val="clear"/>
            <w:tcMar>
              <w:top w:type="dxa" w:w="40"/>
              <w:left w:type="dxa" w:w="70"/>
              <w:bottom w:type="dxa" w:w="40"/>
              <w:right w:type="dxa" w:w="70"/>
            </w:tcMar>
          </w:tcPr>
          <w:p>
            <w:pPr>
              <w:spacing w:after="0"/>
            </w:pPr>
            <w:r>
              <w:rPr>
                <w:sz w:val="17"/>
                <w:szCs w:val="17"/>
              </w:rPr>
              <w:t xml:space="preserve">$3.16 · $5.53</w:t>
            </w:r>
          </w:p>
        </w:tc>
        <w:tc>
          <w:tcPr>
            <w:tcW w:type="dxa" w:w="2572"/>
            <w:shd w:fill="F2F5F9" w:color="auto" w:val="clear"/>
            <w:tcMar>
              <w:top w:type="dxa" w:w="40"/>
              <w:left w:type="dxa" w:w="70"/>
              <w:bottom w:type="dxa" w:w="40"/>
              <w:right w:type="dxa" w:w="70"/>
            </w:tcMar>
          </w:tcPr>
          <w:p>
            <w:pPr>
              <w:spacing w:after="0"/>
            </w:pPr>
            <w:r>
              <w:rPr>
                <w:sz w:val="17"/>
                <w:szCs w:val="17"/>
              </w:rPr>
              <w:t xml:space="preserve">$4.11 now (+30%), $4.80 at the next step. Move the ad to Queen White.</w:t>
            </w:r>
          </w:p>
        </w:tc>
      </w:tr>
    </w:tbl>
    <w:p>
      <w:pPr>
        <w:spacing w:after="120"/>
      </w:pPr>
      <w:r>
        <w:rPr>
          <w:i/>
          <w:iCs/>
          <w:color w:val="555555"/>
          <w:sz w:val="17"/>
          <w:szCs w:val="17"/>
        </w:rPr>
        <w:t xml:space="preserve">Premium = (rank now ÷ target − 1) × 50%, or +25% when the ratio is 1.5 or less; the push price never exceeds twice break-even. Deal margin per unit (Sellerboard, 26–27 September, before refunds and storage post): King White $16.79, Queen White $20.92, Full White $15.87. From 1 October: $20.20. Ranks: our daily organic rank crawl, 28 September. “Now · audit” = today’s top-of-search price and what the audit writes.</w:t>
      </w:r>
    </w:p>
    <w:p>
      <w:pPr>
        <w:pStyle w:val="Heading2"/>
      </w:pPr>
      <w:r>
        <w:t xml:space="preserve">5.3 Every focus campaign gets a move this week</w:t>
      </w:r>
    </w:p>
    <w:p>
      <w:pPr>
        <w:spacing w:after="100"/>
      </w:pPr>
      <w:r>
        <w:t xml:space="preserve">No focus campaign is held for review. Each gets one of these moves:</w:t>
      </w:r>
    </w:p>
    <w:p>
      <w:pPr>
        <w:pStyle w:val="ListParagraph"/>
        <w:numPr>
          <w:ilvl w:val="0"/>
          <w:numId w:val="4"/>
        </w:numPr>
        <w:spacing w:after="60"/>
      </w:pPr>
      <w:r>
        <w:rPr>
          <w:b/>
          <w:bCs/>
        </w:rPr>
        <w:t xml:space="preserve">Push </w:t>
      </w:r>
      <w:r>
        <w:t xml:space="preserve">where it qualifies: fixed bidding, the push price, the mix fixed, and a budget for its required clicks.</w:t>
      </w:r>
    </w:p>
    <w:p>
      <w:pPr>
        <w:pStyle w:val="ListParagraph"/>
        <w:numPr>
          <w:ilvl w:val="0"/>
          <w:numId w:val="4"/>
        </w:numPr>
        <w:spacing w:after="60"/>
      </w:pPr>
      <w:r>
        <w:rPr>
          <w:b/>
          <w:bCs/>
        </w:rPr>
        <w:t xml:space="preserve">Fix what stops it qualifying, </w:t>
      </w:r>
      <w:r>
        <w:t xml:space="preserve">at break-even in the meantime: restart a paused keyword (Section 7), move the ad to White (Section 6), or fix the mix (Section 8).</w:t>
      </w:r>
    </w:p>
    <w:p>
      <w:pPr>
        <w:pStyle w:val="ListParagraph"/>
        <w:numPr>
          <w:ilvl w:val="0"/>
          <w:numId w:val="4"/>
        </w:numPr>
        <w:spacing w:after="60"/>
      </w:pPr>
      <w:r>
        <w:rPr>
          <w:b/>
          <w:bCs/>
        </w:rPr>
        <w:t xml:space="preserve">Too few clicks to judge: </w:t>
      </w:r>
      <w:r>
        <w:t xml:space="preserve">break-even until the campaign has 15 clicks, on fixed bidding so it can collect them.</w:t>
      </w:r>
    </w:p>
    <w:p>
      <w:pPr>
        <w:pStyle w:val="Heading2"/>
      </w:pPr>
      <w:r>
        <w:t xml:space="preserve">5.4 “bamboo sheets”</w:t>
      </w:r>
    </w:p>
    <w:p>
      <w:pPr>
        <w:spacing w:after="100"/>
      </w:pPr>
      <w:r>
        <w:t xml:space="preserve">It is B6’s largest term (the audit’s plan puts it at 116 units a week at rank 9). Its exact campaign is the product’s biggest ad account line: 2,938 clicks and 406 orders in 90 days. It is also the one term with a real top-of-search record. On 275 top-of-search clicks it beats the market on click-through (3.15% against 1.77%) and on conversion (17.5% against 5.7%), and King White has 1,405 units Available. It meets every push condition, but the audit marks it out of focus and tapers it.</w:t>
      </w:r>
    </w:p>
    <w:p>
      <w:pPr>
        <w:spacing w:after="100"/>
      </w:pPr>
      <w:r>
        <w:t xml:space="preserve">It also buys almost nothing at the top: only 9% of its clicks and 2.4% of the top-of-search impressions. The fix is the mix, not a higher price. Set the base at $0.80, the boost at 633% and fixed bidding, which puts it at $5.86 at the top. Also exclude “bamboo sheets” from the five broad discovery campaigns that took 47 clicks and 1 order on it in 30 days.</w:t>
      </w:r>
    </w:p>
    <w:p>
      <w:pPr>
        <w:spacing w:after="100"/>
      </w:pPr>
      <w:r>
        <w:rPr>
          <w:b/>
          <w:bCs/>
          <w:color w:val="1F3A5F"/>
        </w:rPr>
        <w:t xml:space="preserve">Your decision. </w:t>
      </w:r>
      <w:r>
        <w:t xml:space="preserve">Whether “bamboo sheets” joins the push. At the requirement scaled to what B6 really sells (Section 11), that is about 39 top-of-search clicks a day, roughly $230 a day at $5.86. Today the campaign spends about $42 a day.</w:t>
      </w:r>
    </w:p>
    <w:p>
      <w:pPr>
        <w:pStyle w:val="Heading2"/>
      </w:pPr>
      <w:r>
        <w:t xml:space="preserve">5.5 How the push is paid for</w:t>
      </w:r>
    </w:p>
    <w:p>
      <w:pPr>
        <w:spacing w:after="100"/>
      </w:pPr>
      <w:r>
        <w:t xml:space="preserve">The money moves rather than grows. It comes from:</w:t>
      </w:r>
    </w:p>
    <w:p>
      <w:pPr>
        <w:pStyle w:val="ListParagraph"/>
        <w:numPr>
          <w:ilvl w:val="0"/>
          <w:numId w:val="4"/>
        </w:numPr>
        <w:spacing w:after="60"/>
      </w:pPr>
      <w:r>
        <w:t xml:space="preserve">Product-page clicks on ranking campaigns: 52% of all clicks, at about $2 each.</w:t>
      </w:r>
    </w:p>
    <w:p>
      <w:pPr>
        <w:pStyle w:val="ListParagraph"/>
        <w:numPr>
          <w:ilvl w:val="0"/>
          <w:numId w:val="4"/>
        </w:numPr>
        <w:spacing w:after="60"/>
      </w:pPr>
      <w:r>
        <w:t xml:space="preserve">Out-of-focus ranking campaigns coming down to break-even.</w:t>
      </w:r>
    </w:p>
    <w:p>
      <w:pPr>
        <w:pStyle w:val="ListParagraph"/>
        <w:numPr>
          <w:ilvl w:val="0"/>
          <w:numId w:val="4"/>
        </w:numPr>
        <w:spacing w:after="60"/>
      </w:pPr>
      <w:r>
        <w:t xml:space="preserve">The 15 new campaigns and the retags not launched mid-deal (about $590 a day in the audit’s forecast).</w:t>
      </w:r>
    </w:p>
    <w:p>
      <w:pPr>
        <w:pStyle w:val="ListParagraph"/>
        <w:numPr>
          <w:ilvl w:val="0"/>
          <w:numId w:val="4"/>
        </w:numPr>
        <w:spacing w:after="60"/>
      </w:pPr>
      <w:r>
        <w:t xml:space="preserve">No 75% jumps.</w:t>
      </w:r>
    </w:p>
    <w:p>
      <w:pPr>
        <w:pStyle w:val="Heading1"/>
      </w:pPr>
      <w:r>
        <w:t xml:space="preserve">6. Which colour each campaign advertises</w:t>
      </w:r>
    </w:p>
    <w:p>
      <w:pPr>
        <w:spacing w:after="100"/>
      </w:pPr>
      <w:r>
        <w:t xml:space="preserve">The rule is White, the best seller in every size and part of the deal. Move to the next-best seller only when White’s Available stock can’t last until its next arrival:</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400"/>
        <w:gridCol w:w="3700"/>
        <w:gridCol w:w="2000"/>
        <w:gridCol w:w="2872"/>
      </w:tblGrid>
      <w:tr>
        <w:trPr>
          <w:tblHeader/>
        </w:trPr>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700"/>
            <w:shd w:fill="1F3A5F" w:color="auto" w:val="clear"/>
            <w:tcMar>
              <w:top w:type="dxa" w:w="40"/>
              <w:left w:type="dxa" w:w="70"/>
              <w:bottom w:type="dxa" w:w="40"/>
              <w:right w:type="dxa" w:w="70"/>
            </w:tcMar>
          </w:tcPr>
          <w:p>
            <w:pPr>
              <w:spacing w:after="0"/>
            </w:pPr>
            <w:r>
              <w:rPr>
                <w:b/>
                <w:bCs/>
                <w:color w:val="FFFFFF"/>
                <w:sz w:val="17"/>
                <w:szCs w:val="17"/>
              </w:rPr>
              <w:t xml:space="preserve">White: 28-day sales · Available stock</w:t>
            </w:r>
          </w:p>
        </w:tc>
        <w:tc>
          <w:tcPr>
            <w:tcW w:type="dxa" w:w="20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8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400"/>
            <w:shd w:fill="FFFFFF" w:color="auto" w:val="clear"/>
            <w:tcMar>
              <w:top w:type="dxa" w:w="40"/>
              <w:left w:type="dxa" w:w="70"/>
              <w:bottom w:type="dxa" w:w="40"/>
              <w:right w:type="dxa" w:w="70"/>
            </w:tcMar>
          </w:tcPr>
          <w:p>
            <w:pPr>
              <w:spacing w:after="0"/>
            </w:pPr>
            <w:r>
              <w:rPr>
                <w:sz w:val="17"/>
                <w:szCs w:val="17"/>
              </w:rPr>
              <w:t xml:space="preserve">King</w:t>
            </w:r>
          </w:p>
        </w:tc>
        <w:tc>
          <w:tcPr>
            <w:tcW w:type="dxa" w:w="3700"/>
            <w:shd w:fill="FFFFFF" w:color="auto" w:val="clear"/>
            <w:tcMar>
              <w:top w:type="dxa" w:w="40"/>
              <w:left w:type="dxa" w:w="70"/>
              <w:bottom w:type="dxa" w:w="40"/>
              <w:right w:type="dxa" w:w="70"/>
            </w:tcMar>
          </w:tcPr>
          <w:p>
            <w:pPr>
              <w:spacing w:after="0"/>
            </w:pPr>
            <w:r>
              <w:rPr>
                <w:sz w:val="17"/>
                <w:szCs w:val="17"/>
              </w:rPr>
              <w:t xml:space="preserve">184 units (#1 in the size) · 1,405 = 136 days</w:t>
            </w:r>
          </w:p>
        </w:tc>
        <w:tc>
          <w:tcPr>
            <w:tcW w:type="dxa" w:w="2000"/>
            <w:shd w:fill="FFFFFF" w:color="auto" w:val="clear"/>
            <w:tcMar>
              <w:top w:type="dxa" w:w="40"/>
              <w:left w:type="dxa" w:w="70"/>
              <w:bottom w:type="dxa" w:w="40"/>
              <w:right w:type="dxa" w:w="70"/>
            </w:tcMar>
          </w:tcPr>
          <w:p>
            <w:pPr>
              <w:spacing w:after="0"/>
            </w:pPr>
            <w:r>
              <w:rPr>
                <w:sz w:val="17"/>
                <w:szCs w:val="17"/>
              </w:rPr>
              <w:t xml:space="preserve">White (moves 8 campaigns to White)</w:t>
            </w:r>
          </w:p>
        </w:tc>
        <w:tc>
          <w:tcPr>
            <w:tcW w:type="dxa" w:w="28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400"/>
            <w:shd w:fill="F2F5F9" w:color="auto" w:val="clear"/>
            <w:tcMar>
              <w:top w:type="dxa" w:w="40"/>
              <w:left w:type="dxa" w:w="70"/>
              <w:bottom w:type="dxa" w:w="40"/>
              <w:right w:type="dxa" w:w="70"/>
            </w:tcMar>
          </w:tcPr>
          <w:p>
            <w:pPr>
              <w:spacing w:after="0"/>
            </w:pPr>
            <w:r>
              <w:rPr>
                <w:sz w:val="17"/>
                <w:szCs w:val="17"/>
              </w:rPr>
              <w:t xml:space="preserve">Queen</w:t>
            </w:r>
          </w:p>
        </w:tc>
        <w:tc>
          <w:tcPr>
            <w:tcW w:type="dxa" w:w="3700"/>
            <w:shd w:fill="F2F5F9" w:color="auto" w:val="clear"/>
            <w:tcMar>
              <w:top w:type="dxa" w:w="40"/>
              <w:left w:type="dxa" w:w="70"/>
              <w:bottom w:type="dxa" w:w="40"/>
              <w:right w:type="dxa" w:w="70"/>
            </w:tcMar>
          </w:tcPr>
          <w:p>
            <w:pPr>
              <w:spacing w:after="0"/>
            </w:pPr>
            <w:r>
              <w:rPr>
                <w:sz w:val="17"/>
                <w:szCs w:val="17"/>
              </w:rPr>
              <w:t xml:space="preserve">133 units (#1) · 328 = 43 days; next arrival about 30 Oct (32 days away)</w:t>
            </w:r>
          </w:p>
        </w:tc>
        <w:tc>
          <w:tcPr>
            <w:tcW w:type="dxa" w:w="2000"/>
            <w:shd w:fill="F2F5F9" w:color="auto" w:val="clear"/>
            <w:tcMar>
              <w:top w:type="dxa" w:w="40"/>
              <w:left w:type="dxa" w:w="70"/>
              <w:bottom w:type="dxa" w:w="40"/>
              <w:right w:type="dxa" w:w="70"/>
            </w:tcMar>
          </w:tcPr>
          <w:p>
            <w:pPr>
              <w:spacing w:after="0"/>
            </w:pPr>
            <w:r>
              <w:rPr>
                <w:sz w:val="17"/>
                <w:szCs w:val="17"/>
              </w:rPr>
              <w:t xml:space="preserve">Olive (75 campaigns)</w:t>
            </w:r>
          </w:p>
        </w:tc>
        <w:tc>
          <w:tcPr>
            <w:tcW w:type="dxa" w:w="2872"/>
            <w:shd w:fill="F2F5F9" w:color="auto" w:val="clear"/>
            <w:tcMar>
              <w:top w:type="dxa" w:w="40"/>
              <w:left w:type="dxa" w:w="70"/>
              <w:bottom w:type="dxa" w:w="40"/>
              <w:right w:type="dxa" w:w="70"/>
            </w:tcMar>
          </w:tcPr>
          <w:p>
            <w:pPr>
              <w:spacing w:after="0"/>
            </w:pPr>
            <w:r>
              <w:rPr>
                <w:sz w:val="17"/>
                <w:szCs w:val="17"/>
              </w:rPr>
              <w:t xml:space="preserve">White. Move to Light Blue (52 units, same price) only if White’s cover drops below the days left to the arrival.</w:t>
            </w:r>
          </w:p>
        </w:tc>
      </w:tr>
      <w:tr>
        <w:tc>
          <w:tcPr>
            <w:tcW w:type="dxa" w:w="1400"/>
            <w:shd w:fill="FFFFFF" w:color="auto" w:val="clear"/>
            <w:tcMar>
              <w:top w:type="dxa" w:w="40"/>
              <w:left w:type="dxa" w:w="70"/>
              <w:bottom w:type="dxa" w:w="40"/>
              <w:right w:type="dxa" w:w="70"/>
            </w:tcMar>
          </w:tcPr>
          <w:p>
            <w:pPr>
              <w:spacing w:after="0"/>
            </w:pPr>
            <w:r>
              <w:rPr>
                <w:sz w:val="17"/>
                <w:szCs w:val="17"/>
              </w:rPr>
              <w:t xml:space="preserve">Full</w:t>
            </w:r>
          </w:p>
        </w:tc>
        <w:tc>
          <w:tcPr>
            <w:tcW w:type="dxa" w:w="3700"/>
            <w:shd w:fill="FFFFFF" w:color="auto" w:val="clear"/>
            <w:tcMar>
              <w:top w:type="dxa" w:w="40"/>
              <w:left w:type="dxa" w:w="70"/>
              <w:bottom w:type="dxa" w:w="40"/>
              <w:right w:type="dxa" w:w="70"/>
            </w:tcMar>
          </w:tcPr>
          <w:p>
            <w:pPr>
              <w:spacing w:after="0"/>
            </w:pPr>
            <w:r>
              <w:rPr>
                <w:sz w:val="17"/>
                <w:szCs w:val="17"/>
              </w:rPr>
              <w:t xml:space="preserve">39 units (#1) · 64 = 35 days, about 16 at deal pace</w:t>
            </w:r>
          </w:p>
        </w:tc>
        <w:tc>
          <w:tcPr>
            <w:tcW w:type="dxa" w:w="2000"/>
            <w:shd w:fill="FFFFFF" w:color="auto" w:val="clear"/>
            <w:tcMar>
              <w:top w:type="dxa" w:w="40"/>
              <w:left w:type="dxa" w:w="70"/>
              <w:bottom w:type="dxa" w:w="40"/>
              <w:right w:type="dxa" w:w="70"/>
            </w:tcMar>
          </w:tcPr>
          <w:p>
            <w:pPr>
              <w:spacing w:after="0"/>
            </w:pPr>
            <w:r>
              <w:rPr>
                <w:sz w:val="17"/>
                <w:szCs w:val="17"/>
              </w:rPr>
              <w:t xml:space="preserve">White (1 from Creme)</w:t>
            </w:r>
          </w:p>
        </w:tc>
        <w:tc>
          <w:tcPr>
            <w:tcW w:type="dxa" w:w="2872"/>
            <w:shd w:fill="FFFFFF" w:color="auto" w:val="clear"/>
            <w:tcMar>
              <w:top w:type="dxa" w:w="40"/>
              <w:left w:type="dxa" w:w="70"/>
              <w:bottom w:type="dxa" w:w="40"/>
              <w:right w:type="dxa" w:w="70"/>
            </w:tcMar>
          </w:tcPr>
          <w:p>
            <w:pPr>
              <w:spacing w:after="0"/>
            </w:pPr>
            <w:r>
              <w:rPr>
                <w:sz w:val="17"/>
                <w:szCs w:val="17"/>
              </w:rPr>
              <w:t xml:space="preserve">White. Watch daily; below 7 days, move to the next-best seller with healthy stock (Midgrey, 16 units).</w:t>
            </w:r>
          </w:p>
        </w:tc>
      </w:tr>
      <w:tr>
        <w:tc>
          <w:tcPr>
            <w:tcW w:type="dxa" w:w="1400"/>
            <w:shd w:fill="F2F5F9" w:color="auto" w:val="clear"/>
            <w:tcMar>
              <w:top w:type="dxa" w:w="40"/>
              <w:left w:type="dxa" w:w="70"/>
              <w:bottom w:type="dxa" w:w="40"/>
              <w:right w:type="dxa" w:w="70"/>
            </w:tcMar>
          </w:tcPr>
          <w:p>
            <w:pPr>
              <w:spacing w:after="0"/>
            </w:pPr>
            <w:r>
              <w:rPr>
                <w:sz w:val="17"/>
                <w:szCs w:val="17"/>
              </w:rPr>
              <w:t xml:space="preserve">California King</w:t>
            </w:r>
          </w:p>
        </w:tc>
        <w:tc>
          <w:tcPr>
            <w:tcW w:type="dxa" w:w="3700"/>
            <w:shd w:fill="F2F5F9" w:color="auto" w:val="clear"/>
            <w:tcMar>
              <w:top w:type="dxa" w:w="40"/>
              <w:left w:type="dxa" w:w="70"/>
              <w:bottom w:type="dxa" w:w="40"/>
              <w:right w:type="dxa" w:w="70"/>
            </w:tcMar>
          </w:tcPr>
          <w:p>
            <w:pPr>
              <w:spacing w:after="0"/>
            </w:pPr>
            <w:r>
              <w:rPr>
                <w:sz w:val="17"/>
                <w:szCs w:val="17"/>
              </w:rPr>
              <w:t xml:space="preserve">22 units (#1) · 55 = 37 days</w:t>
            </w:r>
          </w:p>
        </w:tc>
        <w:tc>
          <w:tcPr>
            <w:tcW w:type="dxa" w:w="2000"/>
            <w:shd w:fill="F2F5F9" w:color="auto" w:val="clear"/>
            <w:tcMar>
              <w:top w:type="dxa" w:w="40"/>
              <w:left w:type="dxa" w:w="70"/>
              <w:bottom w:type="dxa" w:w="40"/>
              <w:right w:type="dxa" w:w="70"/>
            </w:tcMar>
          </w:tcPr>
          <w:p>
            <w:pPr>
              <w:spacing w:after="0"/>
            </w:pPr>
            <w:r>
              <w:rPr>
                <w:sz w:val="17"/>
                <w:szCs w:val="17"/>
              </w:rPr>
              <w:t xml:space="preserve">White (3 from Sage Green)</w:t>
            </w:r>
          </w:p>
        </w:tc>
        <w:tc>
          <w:tcPr>
            <w:tcW w:type="dxa" w:w="2872"/>
            <w:shd w:fill="F2F5F9" w:color="auto" w:val="clear"/>
            <w:tcMar>
              <w:top w:type="dxa" w:w="40"/>
              <w:left w:type="dxa" w:w="70"/>
              <w:bottom w:type="dxa" w:w="40"/>
              <w:right w:type="dxa" w:w="70"/>
            </w:tcMar>
          </w:tcPr>
          <w:p>
            <w:pPr>
              <w:spacing w:after="0"/>
            </w:pPr>
            <w:r>
              <w:rPr>
                <w:sz w:val="17"/>
                <w:szCs w:val="17"/>
              </w:rPr>
              <w:t xml:space="preserve">White</w:t>
            </w:r>
          </w:p>
        </w:tc>
      </w:tr>
      <w:tr>
        <w:tc>
          <w:tcPr>
            <w:tcW w:type="dxa" w:w="1400"/>
            <w:shd w:fill="FFFFFF" w:color="auto" w:val="clear"/>
            <w:tcMar>
              <w:top w:type="dxa" w:w="40"/>
              <w:left w:type="dxa" w:w="70"/>
              <w:bottom w:type="dxa" w:w="40"/>
              <w:right w:type="dxa" w:w="70"/>
            </w:tcMar>
          </w:tcPr>
          <w:p>
            <w:pPr>
              <w:spacing w:after="0"/>
            </w:pPr>
            <w:r>
              <w:rPr>
                <w:sz w:val="17"/>
                <w:szCs w:val="17"/>
              </w:rPr>
              <w:t xml:space="preserve">Twin</w:t>
            </w:r>
          </w:p>
        </w:tc>
        <w:tc>
          <w:tcPr>
            <w:tcW w:type="dxa" w:w="3700"/>
            <w:shd w:fill="FFFFFF" w:color="auto" w:val="clear"/>
            <w:tcMar>
              <w:top w:type="dxa" w:w="40"/>
              <w:left w:type="dxa" w:w="70"/>
              <w:bottom w:type="dxa" w:w="40"/>
              <w:right w:type="dxa" w:w="70"/>
            </w:tcMar>
          </w:tcPr>
          <w:p>
            <w:pPr>
              <w:spacing w:after="0"/>
            </w:pPr>
            <w:r>
              <w:rPr>
                <w:sz w:val="17"/>
                <w:szCs w:val="17"/>
              </w:rPr>
              <w:t xml:space="preserve">0 Available; arrival about 16 Oct</w:t>
            </w:r>
          </w:p>
        </w:tc>
        <w:tc>
          <w:tcPr>
            <w:tcW w:type="dxa" w:w="2000"/>
            <w:shd w:fill="FFFFFF" w:color="auto" w:val="clear"/>
            <w:tcMar>
              <w:top w:type="dxa" w:w="40"/>
              <w:left w:type="dxa" w:w="70"/>
              <w:bottom w:type="dxa" w:w="40"/>
              <w:right w:type="dxa" w:w="70"/>
            </w:tcMar>
          </w:tcPr>
          <w:p>
            <w:pPr>
              <w:spacing w:after="0"/>
            </w:pPr>
            <w:r>
              <w:rPr>
                <w:sz w:val="17"/>
                <w:szCs w:val="17"/>
              </w:rPr>
              <w:t xml:space="preserve">—</w:t>
            </w:r>
          </w:p>
        </w:tc>
        <w:tc>
          <w:tcPr>
            <w:tcW w:type="dxa" w:w="2872"/>
            <w:shd w:fill="FFFFFF" w:color="auto" w:val="clear"/>
            <w:tcMar>
              <w:top w:type="dxa" w:w="40"/>
              <w:left w:type="dxa" w:w="70"/>
              <w:bottom w:type="dxa" w:w="40"/>
              <w:right w:type="dxa" w:w="70"/>
            </w:tcMar>
          </w:tcPr>
          <w:p>
            <w:pPr>
              <w:spacing w:after="0"/>
            </w:pPr>
            <w:r>
              <w:rPr>
                <w:sz w:val="17"/>
                <w:szCs w:val="17"/>
              </w:rPr>
              <w:t xml:space="preserve">Sage Green until White lands</w:t>
            </w:r>
          </w:p>
        </w:tc>
      </w:tr>
    </w:tbl>
    <w:p>
      <w:pPr>
        <w:spacing w:after="120"/>
      </w:pPr>
      <w:r>
        <w:rPr>
          <w:i/>
          <w:iCs/>
          <w:color w:val="555555"/>
          <w:sz w:val="17"/>
          <w:szCs w:val="17"/>
        </w:rPr>
        <w:t xml:space="preserve">Command Center, 28-day units by colour; Available stock as the audit read it.</w:t>
      </w:r>
    </w:p>
    <w:p>
      <w:pPr>
        <w:pStyle w:val="ListParagraph"/>
        <w:numPr>
          <w:ilvl w:val="0"/>
          <w:numId w:val="4"/>
        </w:numPr>
        <w:spacing w:after="60"/>
      </w:pPr>
      <w:r>
        <w:rPr>
          <w:b/>
          <w:bCs/>
        </w:rPr>
        <w:t xml:space="preserve">Why not Queen Olive: </w:t>
      </w:r>
      <w:r>
        <w:t xml:space="preserve">Olive sold 48 units in 28 days with 487 Available, about ten months of stock. That makes it a clearance colour: right for discovery campaigns, wrong for ranking. The audit’s reason is that White would run out at its push pace. But the push pace is what the audit forecasts, and that forecast is about ten times too high (Section 11). At the real pace, White lasts until its arrival.</w:t>
      </w:r>
    </w:p>
    <w:p>
      <w:pPr>
        <w:pStyle w:val="ListParagraph"/>
        <w:numPr>
          <w:ilvl w:val="0"/>
          <w:numId w:val="4"/>
        </w:numPr>
        <w:spacing w:after="60"/>
      </w:pPr>
      <w:r>
        <w:rPr>
          <w:b/>
          <w:bCs/>
        </w:rPr>
        <w:t xml:space="preserve">Discovery campaigns advertise the clearance colour, </w:t>
      </w:r>
      <w:r>
        <w:t xml:space="preserve">such as Queen Olive or Full Creme (15 units in 28 days, 271 Available), never White.</w:t>
      </w:r>
    </w:p>
    <w:p>
      <w:pPr>
        <w:pStyle w:val="ListParagraph"/>
        <w:numPr>
          <w:ilvl w:val="0"/>
          <w:numId w:val="4"/>
        </w:numPr>
        <w:spacing w:after="60"/>
      </w:pPr>
      <w:r>
        <w:rPr>
          <w:b/>
          <w:bCs/>
        </w:rPr>
        <w:t xml:space="preserve">All 88 colour switches skip on upload, </w:t>
      </w:r>
      <w:r>
        <w:t xml:space="preserve">so none of them happens unless someone makes it by hand. Make the 12 that move ads to White. Don’t make the 75 that move Queen to Olive, or the one that moves a King campaign to California King Black.</w:t>
      </w:r>
    </w:p>
    <w:p>
      <w:pPr>
        <w:pStyle w:val="Heading1"/>
      </w:pPr>
      <w:r>
        <w:t xml:space="preserve">7. Focus campaigns that can’t serve</w:t>
      </w:r>
    </w:p>
    <w:p>
      <w:pPr>
        <w:spacing w:after="100"/>
      </w:pPr>
      <w:r>
        <w:t xml:space="preserve">Several focus terms have their main exact campaign or keyword switched off. The audit changes their prices or builds a duplicate instead of turning them back 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9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 (target rank)</w:t>
            </w:r>
          </w:p>
        </w:tc>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What is wrong</w:t>
            </w:r>
          </w:p>
        </w:tc>
        <w:tc>
          <w:tcPr>
            <w:tcW w:type="dxa" w:w="39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full” (2)</w:t>
            </w:r>
          </w:p>
        </w:tc>
        <w:tc>
          <w:tcPr>
            <w:tcW w:type="dxa" w:w="3400"/>
            <w:shd w:fill="FFFFFF" w:color="auto" w:val="clear"/>
            <w:tcMar>
              <w:top w:type="dxa" w:w="40"/>
              <w:left w:type="dxa" w:w="70"/>
              <w:bottom w:type="dxa" w:w="40"/>
              <w:right w:type="dxa" w:w="70"/>
            </w:tcMar>
          </w:tcPr>
          <w:p>
            <w:pPr>
              <w:spacing w:after="0"/>
            </w:pPr>
            <w:r>
              <w:rPr>
                <w:sz w:val="17"/>
                <w:szCs w:val="17"/>
              </w:rPr>
              <w:t xml:space="preserve">Its exact campaign is paused (keyword live, 27 clicks). Rank fell from 11 to 18 today. The audit builds a new exact campaign for the same term.</w:t>
            </w:r>
          </w:p>
        </w:tc>
        <w:tc>
          <w:tcPr>
            <w:tcW w:type="dxa" w:w="3972"/>
            <w:shd w:fill="FFFFFF" w:color="auto" w:val="clear"/>
            <w:tcMar>
              <w:top w:type="dxa" w:w="40"/>
              <w:left w:type="dxa" w:w="70"/>
              <w:bottom w:type="dxa" w:w="40"/>
              <w:right w:type="dxa" w:w="70"/>
            </w:tcMar>
          </w:tcPr>
          <w:p>
            <w:pPr>
              <w:spacing w:after="0"/>
            </w:pPr>
            <w:r>
              <w:rPr>
                <w:sz w:val="17"/>
                <w:szCs w:val="17"/>
              </w:rPr>
              <w:t xml:space="preserve">Restart the existing campaign on Full White at the push price and fixed bidding. Drop the new campaign.</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“bamboo king sheets” (9)</w:t>
            </w:r>
          </w:p>
        </w:tc>
        <w:tc>
          <w:tcPr>
            <w:tcW w:type="dxa" w:w="3400"/>
            <w:shd w:fill="F2F5F9" w:color="auto" w:val="clear"/>
            <w:tcMar>
              <w:top w:type="dxa" w:w="40"/>
              <w:left w:type="dxa" w:w="70"/>
              <w:bottom w:type="dxa" w:w="40"/>
              <w:right w:type="dxa" w:w="70"/>
            </w:tcMar>
          </w:tcPr>
          <w:p>
            <w:pPr>
              <w:spacing w:after="0"/>
            </w:pPr>
            <w:r>
              <w:rPr>
                <w:sz w:val="17"/>
                <w:szCs w:val="17"/>
              </w:rPr>
              <w:t xml:space="preserve">Its exact campaign is paused (15 clicks). The audit raises its price while paused (+16%) and builds a new campaign for the same term.</w:t>
            </w:r>
          </w:p>
        </w:tc>
        <w:tc>
          <w:tcPr>
            <w:tcW w:type="dxa" w:w="3972"/>
            <w:shd w:fill="F2F5F9" w:color="auto" w:val="clear"/>
            <w:tcMar>
              <w:top w:type="dxa" w:w="40"/>
              <w:left w:type="dxa" w:w="70"/>
              <w:bottom w:type="dxa" w:w="40"/>
              <w:right w:type="dxa" w:w="70"/>
            </w:tcMar>
          </w:tcPr>
          <w:p>
            <w:pPr>
              <w:spacing w:after="0"/>
            </w:pPr>
            <w:r>
              <w:rPr>
                <w:sz w:val="17"/>
                <w:szCs w:val="17"/>
              </w:rPr>
              <w:t xml:space="preserve">Restart the existing campaign; drop the new one.</w:t>
            </w:r>
          </w:p>
        </w:tc>
      </w:tr>
      <w:tr>
        <w:tc>
          <w:tcPr>
            <w:tcW w:type="dxa" w:w="2600"/>
            <w:shd w:fill="FFFFFF" w:color="auto" w:val="clear"/>
            <w:tcMar>
              <w:top w:type="dxa" w:w="40"/>
              <w:left w:type="dxa" w:w="70"/>
              <w:bottom w:type="dxa" w:w="40"/>
              <w:right w:type="dxa" w:w="70"/>
            </w:tcMar>
          </w:tcPr>
          <w:p>
            <w:pPr>
              <w:spacing w:after="0"/>
            </w:pPr>
            <w:r>
              <w:rPr>
                <w:sz w:val="17"/>
                <w:szCs w:val="17"/>
              </w:rPr>
              <w:t xml:space="preserve">“bamboo sheets queen” (5)</w:t>
            </w:r>
          </w:p>
        </w:tc>
        <w:tc>
          <w:tcPr>
            <w:tcW w:type="dxa" w:w="3400"/>
            <w:shd w:fill="FFFFFF" w:color="auto" w:val="clear"/>
            <w:tcMar>
              <w:top w:type="dxa" w:w="40"/>
              <w:left w:type="dxa" w:w="70"/>
              <w:bottom w:type="dxa" w:w="40"/>
              <w:right w:type="dxa" w:w="70"/>
            </w:tcMar>
          </w:tcPr>
          <w:p>
            <w:pPr>
              <w:spacing w:after="0"/>
            </w:pPr>
            <w:r>
              <w:rPr>
                <w:sz w:val="17"/>
                <w:szCs w:val="17"/>
              </w:rPr>
              <w:t xml:space="preserve">The keyword in Bamboo Sheets Queen (HSV) is paused, so the campaign serves only on product targeting. The audit raises its boost and forecasts 0 → 32 top-of-search clicks a week.</w:t>
            </w:r>
          </w:p>
        </w:tc>
        <w:tc>
          <w:tcPr>
            <w:tcW w:type="dxa" w:w="3972"/>
            <w:shd w:fill="FFFFFF" w:color="auto" w:val="clear"/>
            <w:tcMar>
              <w:top w:type="dxa" w:w="40"/>
              <w:left w:type="dxa" w:w="70"/>
              <w:bottom w:type="dxa" w:w="40"/>
              <w:right w:type="dxa" w:w="70"/>
            </w:tcMar>
          </w:tcPr>
          <w:p>
            <w:pPr>
              <w:spacing w:after="0"/>
            </w:pPr>
            <w:r>
              <w:rPr>
                <w:sz w:val="17"/>
                <w:szCs w:val="17"/>
              </w:rPr>
              <w:t xml:space="preserve">See Section 12. One campaign for the term, on Queen White. Drop the forecast.</w:t>
            </w:r>
          </w:p>
        </w:tc>
      </w:tr>
      <w:tr>
        <w:tc>
          <w:tcPr>
            <w:tcW w:type="dxa" w:w="2600"/>
            <w:shd w:fill="F2F5F9" w:color="auto" w:val="clear"/>
            <w:tcMar>
              <w:top w:type="dxa" w:w="40"/>
              <w:left w:type="dxa" w:w="70"/>
              <w:bottom w:type="dxa" w:w="40"/>
              <w:right w:type="dxa" w:w="70"/>
            </w:tcMar>
          </w:tcPr>
          <w:p>
            <w:pPr>
              <w:spacing w:after="0"/>
            </w:pPr>
            <w:r>
              <w:rPr>
                <w:sz w:val="17"/>
                <w:szCs w:val="17"/>
              </w:rPr>
              <w:t xml:space="preserve">“king bamboo sheets” (10)</w:t>
            </w:r>
          </w:p>
        </w:tc>
        <w:tc>
          <w:tcPr>
            <w:tcW w:type="dxa" w:w="3400"/>
            <w:shd w:fill="F2F5F9" w:color="auto" w:val="clear"/>
            <w:tcMar>
              <w:top w:type="dxa" w:w="40"/>
              <w:left w:type="dxa" w:w="70"/>
              <w:bottom w:type="dxa" w:w="40"/>
              <w:right w:type="dxa" w:w="70"/>
            </w:tcMar>
          </w:tcPr>
          <w:p>
            <w:pPr>
              <w:spacing w:after="0"/>
            </w:pPr>
            <w:r>
              <w:rPr>
                <w:sz w:val="17"/>
                <w:szCs w:val="17"/>
              </w:rPr>
              <w:t xml:space="preserve">Both keywords in King Bamboo Sheets (MSV) are paused. The audit forecasts 0 → 32 top-of-search clicks a week.</w:t>
            </w:r>
          </w:p>
        </w:tc>
        <w:tc>
          <w:tcPr>
            <w:tcW w:type="dxa" w:w="3972"/>
            <w:shd w:fill="F2F5F9" w:color="auto" w:val="clear"/>
            <w:tcMar>
              <w:top w:type="dxa" w:w="40"/>
              <w:left w:type="dxa" w:w="70"/>
              <w:bottom w:type="dxa" w:w="40"/>
              <w:right w:type="dxa" w:w="70"/>
            </w:tcMar>
          </w:tcPr>
          <w:p>
            <w:pPr>
              <w:spacing w:after="0"/>
            </w:pPr>
            <w:r>
              <w:rPr>
                <w:sz w:val="17"/>
                <w:szCs w:val="17"/>
              </w:rPr>
              <w:t xml:space="preserve">Restart one keyword at break-even or leave it off. Drop the forecast.</w:t>
            </w:r>
          </w:p>
        </w:tc>
      </w:tr>
    </w:tbl>
    <w:p>
      <w:pPr>
        <w:spacing w:after="40"/>
      </w:pPr>
    </w:p>
    <w:p>
      <w:pPr>
        <w:spacing w:after="100"/>
      </w:pPr>
      <w:r>
        <w:t xml:space="preserve">In all, 10 changes sit on paused campaigns. Three of them are boost raises that can’t do anything while the campaign is off.</w:t>
      </w:r>
    </w:p>
    <w:p>
      <w:pPr>
        <w:pStyle w:val="Heading1"/>
      </w:pPr>
      <w:r>
        <w:t xml:space="preserve">8. Where the clicks land</w:t>
      </w:r>
    </w:p>
    <w:p>
      <w:pPr>
        <w:spacing w:after="100"/>
      </w:pPr>
      <w:r>
        <w:t xml:space="preserve">Across B6, product pages took 51–52% of ad clicks before and during the deal, and top of search only 33–34%. Top-of-search clicks cost about $5 and product-page clicks about $2, but the product-page clicks do little for rank. The audit’s own “distribution fix” trims base bids by about 10% while holding the top-of-search price, which is too small a move. On Bamboo Sheets King Size it goes the other way.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400"/>
        <w:gridCol w:w="1300"/>
        <w:gridCol w:w="1600"/>
        <w:gridCol w:w="1800"/>
        <w:gridCol w:w="1872"/>
      </w:tblGrid>
      <w:tr>
        <w:trPr>
          <w:tblHeader/>
        </w:trPr>
        <w:tc>
          <w:tcPr>
            <w:tcW w:type="dxa" w:w="34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Clicks (90 days)</w:t>
            </w:r>
          </w:p>
        </w:tc>
        <w:tc>
          <w:tcPr>
            <w:tcW w:type="dxa" w:w="1600"/>
            <w:shd w:fill="1F3A5F" w:color="auto" w:val="clear"/>
            <w:tcMar>
              <w:top w:type="dxa" w:w="40"/>
              <w:left w:type="dxa" w:w="70"/>
              <w:bottom w:type="dxa" w:w="40"/>
              <w:right w:type="dxa" w:w="70"/>
            </w:tcMar>
          </w:tcPr>
          <w:p>
            <w:pPr>
              <w:spacing w:after="0"/>
            </w:pPr>
            <w:r>
              <w:rPr>
                <w:b/>
                <w:bCs/>
                <w:color w:val="FFFFFF"/>
                <w:sz w:val="17"/>
                <w:szCs w:val="17"/>
              </w:rPr>
              <w:t xml:space="preserve">Of which at top of search</w:t>
            </w:r>
          </w:p>
        </w:tc>
        <w:tc>
          <w:tcPr>
            <w:tcW w:type="dxa" w:w="1800"/>
            <w:shd w:fill="1F3A5F" w:color="auto" w:val="clear"/>
            <w:tcMar>
              <w:top w:type="dxa" w:w="40"/>
              <w:left w:type="dxa" w:w="70"/>
              <w:bottom w:type="dxa" w:w="40"/>
              <w:right w:type="dxa" w:w="70"/>
            </w:tcMar>
          </w:tcPr>
          <w:p>
            <w:pPr>
              <w:spacing w:after="0"/>
            </w:pPr>
            <w:r>
              <w:rPr>
                <w:b/>
                <w:bCs/>
                <w:color w:val="FFFFFF"/>
                <w:sz w:val="17"/>
                <w:szCs w:val="17"/>
              </w:rPr>
              <w:t xml:space="preserve">Base bid now → correct (audit)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w:t>
            </w:r>
          </w:p>
        </w:tc>
      </w:tr>
      <w:tr>
        <w:tc>
          <w:tcPr>
            <w:tcW w:type="dxa" w:w="3400"/>
            <w:shd w:fill="FFFFFF" w:color="auto" w:val="clear"/>
            <w:tcMar>
              <w:top w:type="dxa" w:w="40"/>
              <w:left w:type="dxa" w:w="70"/>
              <w:bottom w:type="dxa" w:w="40"/>
              <w:right w:type="dxa" w:w="70"/>
            </w:tcMar>
          </w:tcPr>
          <w:p>
            <w:pPr>
              <w:spacing w:after="0"/>
            </w:pPr>
            <w:r>
              <w:rPr>
                <w:sz w:val="17"/>
                <w:szCs w:val="17"/>
              </w:rPr>
              <w:t xml:space="preserve">Bamboo Sheet (VHSV), “bamboo sheets”</w:t>
            </w:r>
          </w:p>
        </w:tc>
        <w:tc>
          <w:tcPr>
            <w:tcW w:type="dxa" w:w="1300"/>
            <w:shd w:fill="FFFFFF" w:color="auto" w:val="clear"/>
            <w:tcMar>
              <w:top w:type="dxa" w:w="40"/>
              <w:left w:type="dxa" w:w="70"/>
              <w:bottom w:type="dxa" w:w="40"/>
              <w:right w:type="dxa" w:w="70"/>
            </w:tcMar>
          </w:tcPr>
          <w:p>
            <w:pPr>
              <w:spacing w:after="0"/>
            </w:pPr>
            <w:r>
              <w:rPr>
                <w:sz w:val="17"/>
                <w:szCs w:val="17"/>
              </w:rPr>
              <w:t xml:space="preserve">2,938</w:t>
            </w:r>
          </w:p>
        </w:tc>
        <w:tc>
          <w:tcPr>
            <w:tcW w:type="dxa" w:w="1600"/>
            <w:shd w:fill="FFFFFF" w:color="auto" w:val="clear"/>
            <w:tcMar>
              <w:top w:type="dxa" w:w="40"/>
              <w:left w:type="dxa" w:w="70"/>
              <w:bottom w:type="dxa" w:w="40"/>
              <w:right w:type="dxa" w:w="70"/>
            </w:tcMar>
          </w:tcPr>
          <w:p>
            <w:pPr>
              <w:spacing w:after="0"/>
            </w:pPr>
            <w:r>
              <w:rPr>
                <w:sz w:val="17"/>
                <w:szCs w:val="17"/>
              </w:rPr>
              <w:t xml:space="preserve">275 (9%)</w:t>
            </w:r>
          </w:p>
        </w:tc>
        <w:tc>
          <w:tcPr>
            <w:tcW w:type="dxa" w:w="1800"/>
            <w:shd w:fill="FFFFFF" w:color="auto" w:val="clear"/>
            <w:tcMar>
              <w:top w:type="dxa" w:w="40"/>
              <w:left w:type="dxa" w:w="70"/>
              <w:bottom w:type="dxa" w:w="40"/>
              <w:right w:type="dxa" w:w="70"/>
            </w:tcMar>
          </w:tcPr>
          <w:p>
            <w:pPr>
              <w:spacing w:after="0"/>
            </w:pPr>
            <w:r>
              <w:rPr>
                <w:sz w:val="17"/>
                <w:szCs w:val="17"/>
              </w:rPr>
              <w:t xml:space="preserve">$1.60 → $0.80 ($1.39)</w:t>
            </w:r>
          </w:p>
        </w:tc>
        <w:tc>
          <w:tcPr>
            <w:tcW w:type="dxa" w:w="1872"/>
            <w:shd w:fill="FFFFFF" w:color="auto" w:val="clear"/>
            <w:tcMar>
              <w:top w:type="dxa" w:w="40"/>
              <w:left w:type="dxa" w:w="70"/>
              <w:bottom w:type="dxa" w:w="40"/>
              <w:right w:type="dxa" w:w="70"/>
            </w:tcMar>
          </w:tcPr>
          <w:p>
            <w:pPr>
              <w:spacing w:after="0"/>
            </w:pPr>
            <w:r>
              <w:rPr>
                <w:sz w:val="17"/>
                <w:szCs w:val="17"/>
              </w:rPr>
              <w:t xml:space="preserve">$5.86</w:t>
            </w:r>
          </w:p>
        </w:tc>
      </w:tr>
      <w:tr>
        <w:tc>
          <w:tcPr>
            <w:tcW w:type="dxa" w:w="3400"/>
            <w:shd w:fill="F2F5F9" w:color="auto" w:val="clear"/>
            <w:tcMar>
              <w:top w:type="dxa" w:w="40"/>
              <w:left w:type="dxa" w:w="70"/>
              <w:bottom w:type="dxa" w:w="40"/>
              <w:right w:type="dxa" w:w="70"/>
            </w:tcMar>
          </w:tcPr>
          <w:p>
            <w:pPr>
              <w:spacing w:after="0"/>
            </w:pPr>
            <w:r>
              <w:rPr>
                <w:sz w:val="17"/>
                <w:szCs w:val="17"/>
              </w:rPr>
              <w:t xml:space="preserve">Bamboo Sheets King Size (HSV)</w:t>
            </w:r>
          </w:p>
        </w:tc>
        <w:tc>
          <w:tcPr>
            <w:tcW w:type="dxa" w:w="1300"/>
            <w:shd w:fill="F2F5F9" w:color="auto" w:val="clear"/>
            <w:tcMar>
              <w:top w:type="dxa" w:w="40"/>
              <w:left w:type="dxa" w:w="70"/>
              <w:bottom w:type="dxa" w:w="40"/>
              <w:right w:type="dxa" w:w="70"/>
            </w:tcMar>
          </w:tcPr>
          <w:p>
            <w:pPr>
              <w:spacing w:after="0"/>
            </w:pPr>
            <w:r>
              <w:rPr>
                <w:sz w:val="17"/>
                <w:szCs w:val="17"/>
              </w:rPr>
              <w:t xml:space="preserve">390</w:t>
            </w:r>
          </w:p>
        </w:tc>
        <w:tc>
          <w:tcPr>
            <w:tcW w:type="dxa" w:w="1600"/>
            <w:shd w:fill="F2F5F9" w:color="auto" w:val="clear"/>
            <w:tcMar>
              <w:top w:type="dxa" w:w="40"/>
              <w:left w:type="dxa" w:w="70"/>
              <w:bottom w:type="dxa" w:w="40"/>
              <w:right w:type="dxa" w:w="70"/>
            </w:tcMar>
          </w:tcPr>
          <w:p>
            <w:pPr>
              <w:spacing w:after="0"/>
            </w:pPr>
            <w:r>
              <w:rPr>
                <w:sz w:val="17"/>
                <w:szCs w:val="17"/>
              </w:rPr>
              <w:t xml:space="preserve">12 (3%)</w:t>
            </w:r>
          </w:p>
        </w:tc>
        <w:tc>
          <w:tcPr>
            <w:tcW w:type="dxa" w:w="1800"/>
            <w:shd w:fill="F2F5F9" w:color="auto" w:val="clear"/>
            <w:tcMar>
              <w:top w:type="dxa" w:w="40"/>
              <w:left w:type="dxa" w:w="70"/>
              <w:bottom w:type="dxa" w:w="40"/>
              <w:right w:type="dxa" w:w="70"/>
            </w:tcMar>
          </w:tcPr>
          <w:p>
            <w:pPr>
              <w:spacing w:after="0"/>
            </w:pPr>
            <w:r>
              <w:rPr>
                <w:sz w:val="17"/>
                <w:szCs w:val="17"/>
              </w:rPr>
              <w:t xml:space="preserve">$0.50 → $0.60 ($1.40)</w:t>
            </w:r>
          </w:p>
        </w:tc>
        <w:tc>
          <w:tcPr>
            <w:tcW w:type="dxa" w:w="1872"/>
            <w:shd w:fill="F2F5F9" w:color="auto" w:val="clear"/>
            <w:tcMar>
              <w:top w:type="dxa" w:w="40"/>
              <w:left w:type="dxa" w:w="70"/>
              <w:bottom w:type="dxa" w:w="40"/>
              <w:right w:type="dxa" w:w="70"/>
            </w:tcMar>
          </w:tcPr>
          <w:p>
            <w:pPr>
              <w:spacing w:after="0"/>
            </w:pPr>
            <w:r>
              <w:rPr>
                <w:sz w:val="17"/>
                <w:szCs w:val="17"/>
              </w:rPr>
              <w:t xml:space="preserve">$5.57</w:t>
            </w:r>
          </w:p>
        </w:tc>
      </w:tr>
      <w:tr>
        <w:tc>
          <w:tcPr>
            <w:tcW w:type="dxa" w:w="3400"/>
            <w:shd w:fill="FFFFFF" w:color="auto" w:val="clear"/>
            <w:tcMar>
              <w:top w:type="dxa" w:w="40"/>
              <w:left w:type="dxa" w:w="70"/>
              <w:bottom w:type="dxa" w:w="40"/>
              <w:right w:type="dxa" w:w="70"/>
            </w:tcMar>
          </w:tcPr>
          <w:p>
            <w:pPr>
              <w:spacing w:after="0"/>
            </w:pPr>
            <w:r>
              <w:rPr>
                <w:sz w:val="17"/>
                <w:szCs w:val="17"/>
              </w:rPr>
              <w:t xml:space="preserve">Full Size Bamboo Sheets [Full]</w:t>
            </w:r>
          </w:p>
        </w:tc>
        <w:tc>
          <w:tcPr>
            <w:tcW w:type="dxa" w:w="1300"/>
            <w:shd w:fill="FFFFFF" w:color="auto" w:val="clear"/>
            <w:tcMar>
              <w:top w:type="dxa" w:w="40"/>
              <w:left w:type="dxa" w:w="70"/>
              <w:bottom w:type="dxa" w:w="40"/>
              <w:right w:type="dxa" w:w="70"/>
            </w:tcMar>
          </w:tcPr>
          <w:p>
            <w:pPr>
              <w:spacing w:after="0"/>
            </w:pPr>
            <w:r>
              <w:rPr>
                <w:sz w:val="17"/>
                <w:szCs w:val="17"/>
              </w:rPr>
              <w:t xml:space="preserve">221</w:t>
            </w:r>
          </w:p>
        </w:tc>
        <w:tc>
          <w:tcPr>
            <w:tcW w:type="dxa" w:w="1600"/>
            <w:shd w:fill="FFFFFF" w:color="auto" w:val="clear"/>
            <w:tcMar>
              <w:top w:type="dxa" w:w="40"/>
              <w:left w:type="dxa" w:w="70"/>
              <w:bottom w:type="dxa" w:w="40"/>
              <w:right w:type="dxa" w:w="70"/>
            </w:tcMar>
          </w:tcPr>
          <w:p>
            <w:pPr>
              <w:spacing w:after="0"/>
            </w:pPr>
            <w:r>
              <w:rPr>
                <w:sz w:val="17"/>
                <w:szCs w:val="17"/>
              </w:rPr>
              <w:t xml:space="preserve">29 (13%)</w:t>
            </w:r>
          </w:p>
        </w:tc>
        <w:tc>
          <w:tcPr>
            <w:tcW w:type="dxa" w:w="1800"/>
            <w:shd w:fill="FFFFFF" w:color="auto" w:val="clear"/>
            <w:tcMar>
              <w:top w:type="dxa" w:w="40"/>
              <w:left w:type="dxa" w:w="70"/>
              <w:bottom w:type="dxa" w:w="40"/>
              <w:right w:type="dxa" w:w="70"/>
            </w:tcMar>
          </w:tcPr>
          <w:p>
            <w:pPr>
              <w:spacing w:after="0"/>
            </w:pPr>
            <w:r>
              <w:rPr>
                <w:sz w:val="17"/>
                <w:szCs w:val="17"/>
              </w:rPr>
              <w:t xml:space="preserve">$1.87 → $0.94 ($1.68)</w:t>
            </w:r>
          </w:p>
        </w:tc>
        <w:tc>
          <w:tcPr>
            <w:tcW w:type="dxa" w:w="1872"/>
            <w:shd w:fill="FFFFFF" w:color="auto" w:val="clear"/>
            <w:tcMar>
              <w:top w:type="dxa" w:w="40"/>
              <w:left w:type="dxa" w:w="70"/>
              <w:bottom w:type="dxa" w:w="40"/>
              <w:right w:type="dxa" w:w="70"/>
            </w:tcMar>
          </w:tcPr>
          <w:p>
            <w:pPr>
              <w:spacing w:after="0"/>
            </w:pPr>
            <w:r>
              <w:rPr>
                <w:sz w:val="17"/>
                <w:szCs w:val="17"/>
              </w:rPr>
              <w:t xml:space="preserve">$4.22</w:t>
            </w:r>
          </w:p>
        </w:tc>
      </w:tr>
    </w:tbl>
    <w:p>
      <w:pPr>
        <w:spacing w:after="40"/>
      </w:pPr>
    </w:p>
    <w:p>
      <w:pPr>
        <w:spacing w:after="100"/>
      </w:pPr>
      <w:r>
        <w:t xml:space="preserve">Check the mix after 7 days. Where product pages still take more than 20%, cut the base bid again.</w:t>
      </w:r>
    </w:p>
    <w:p>
      <w:pPr>
        <w:pStyle w:val="Heading1"/>
      </w:pPr>
      <w:r>
        <w:t xml:space="preserve">9. Campaign objectives</w:t>
      </w:r>
    </w:p>
    <w:p>
      <w:pPr>
        <w:spacing w:after="100"/>
      </w:pPr>
      <w:r>
        <w:t xml:space="preserve">The audit retags 49 exact campaigns as ranking. None of them is in its own campaign list, and each gets a flat forecast of 15 extra top-of-search clicks a week. The generic bamboo terms are right to be ranking. About 12 are not, and conversions is right for those:</w:t>
      </w:r>
    </w:p>
    <w:p>
      <w:pPr>
        <w:pStyle w:val="ListParagraph"/>
        <w:numPr>
          <w:ilvl w:val="0"/>
          <w:numId w:val="4"/>
        </w:numPr>
        <w:spacing w:after="60"/>
      </w:pPr>
      <w:r>
        <w:t xml:space="preserve">Colour terms: burgundy, purple, green, olive green, sage green, blue and black bamboo sheets.</w:t>
      </w:r>
    </w:p>
    <w:p>
      <w:pPr>
        <w:pStyle w:val="ListParagraph"/>
        <w:numPr>
          <w:ilvl w:val="0"/>
          <w:numId w:val="4"/>
        </w:numPr>
        <w:spacing w:after="60"/>
      </w:pPr>
      <w:r>
        <w:t xml:space="preserve">A competitor brand: Bella sheets bamboo.</w:t>
      </w:r>
    </w:p>
    <w:p>
      <w:pPr>
        <w:pStyle w:val="ListParagraph"/>
        <w:numPr>
          <w:ilvl w:val="0"/>
          <w:numId w:val="4"/>
        </w:numPr>
        <w:spacing w:after="60"/>
      </w:pPr>
      <w:r>
        <w:t xml:space="preserve">Spanish-language terms: sábanas de bamboo king and queen.</w:t>
      </w:r>
    </w:p>
    <w:p>
      <w:pPr>
        <w:pStyle w:val="ListParagraph"/>
        <w:numPr>
          <w:ilvl w:val="0"/>
          <w:numId w:val="4"/>
        </w:numPr>
        <w:spacing w:after="60"/>
      </w:pPr>
      <w:r>
        <w:t xml:space="preserve">Misspellings and odd terms: bboo sheets, bamboo spandex sheets.</w:t>
      </w:r>
    </w:p>
    <w:p>
      <w:pPr>
        <w:spacing w:after="100"/>
      </w:pPr>
      <w:r>
        <w:t xml:space="preserve">Nobody builds organic rank on another brand’s name or a colour. Check each retag before it loads.</w:t>
      </w:r>
    </w:p>
    <w:p>
      <w:pPr>
        <w:pStyle w:val="Heading1"/>
      </w:pPr>
      <w:r>
        <w:t xml:space="preserve">10. One campaign per search term</w:t>
      </w:r>
    </w:p>
    <w:p>
      <w:pPr>
        <w:pStyle w:val="ListParagraph"/>
        <w:numPr>
          <w:ilvl w:val="0"/>
          <w:numId w:val="4"/>
        </w:numPr>
        <w:spacing w:after="60"/>
      </w:pPr>
      <w:r>
        <w:t xml:space="preserve">“bamboo sheets”: five broad discovery campaigns took 47 clicks and 1 order on it in 30 days ($141). Exclude it (negative exact) from all of them.</w:t>
      </w:r>
    </w:p>
    <w:p>
      <w:pPr>
        <w:pStyle w:val="ListParagraph"/>
        <w:numPr>
          <w:ilvl w:val="0"/>
          <w:numId w:val="4"/>
        </w:numPr>
        <w:spacing w:after="60"/>
      </w:pPr>
      <w:r>
        <w:t xml:space="preserve">New exact campaigns for “bamboo sheets full” and “bamboo king sheets” would sit beside the paused ones that already own those terms (Section 7).</w:t>
      </w:r>
    </w:p>
    <w:p>
      <w:pPr>
        <w:pStyle w:val="ListParagraph"/>
        <w:numPr>
          <w:ilvl w:val="0"/>
          <w:numId w:val="4"/>
        </w:numPr>
        <w:spacing w:after="60"/>
      </w:pPr>
      <w:r>
        <w:t xml:space="preserve">“bamboo sheets queen” is in two exact campaigns: one with the keyword paused, one advertising Queen Creme. Keep one, on Queen White.</w:t>
      </w:r>
    </w:p>
    <w:p>
      <w:pPr>
        <w:pStyle w:val="Heading1"/>
      </w:pPr>
      <w:r>
        <w:t xml:space="preserve">11. Required clicks and the forecast</w:t>
      </w:r>
    </w:p>
    <w:p>
      <w:pPr>
        <w:spacing w:after="100"/>
      </w:pPr>
      <w:r>
        <w:t xml:space="preserve">Required top-of-search clicks = what the market sells at the target rank ÷ the campaign’s conversion rate. They set each push’s volume and budget, never its price. Two corrections:</w:t>
      </w:r>
    </w:p>
    <w:p>
      <w:pPr>
        <w:pStyle w:val="ListParagraph"/>
        <w:numPr>
          <w:ilvl w:val="0"/>
          <w:numId w:val="4"/>
        </w:numPr>
        <w:spacing w:after="60"/>
      </w:pPr>
      <w:r>
        <w:rPr>
          <w:b/>
          <w:bCs/>
        </w:rPr>
        <w:t xml:space="preserve">Check the total against the product. </w:t>
      </w:r>
      <w:r>
        <w:t xml:space="preserve">The audit’s 40 target terms add up to 843 units a week, against about 480 a week B6 actually sells, so every requirement is scaled down to about 57%.</w:t>
      </w:r>
    </w:p>
    <w:p>
      <w:pPr>
        <w:pStyle w:val="ListParagraph"/>
        <w:numPr>
          <w:ilvl w:val="0"/>
          <w:numId w:val="4"/>
        </w:numPr>
        <w:spacing w:after="60"/>
      </w:pPr>
      <w:r>
        <w:rPr>
          <w:b/>
          <w:bCs/>
        </w:rPr>
        <w:t xml:space="preserve">Use real ranks. </w:t>
      </w:r>
      <w:r>
        <w:t xml:space="preserve">38 of the 40 targets carry no current rank in the audit, although the rank tracker has them (for example “bamboo sheets” at 29). “cooling sheets” is a target at rank 10 for 93 units a week, but B6 ranks 142 there. Take it out of the requirement until it is within reach.</w:t>
      </w:r>
    </w:p>
    <w:p>
      <w:pPr>
        <w:spacing w:after="100"/>
      </w:pPr>
      <w:r>
        <w:t xml:space="preserve">The forecast promises top-of-search clicks going from 69 to 884 a week. Of the extra 815:</w:t>
      </w:r>
    </w:p>
    <w:p>
      <w:pPr>
        <w:pStyle w:val="ListParagraph"/>
        <w:numPr>
          <w:ilvl w:val="0"/>
          <w:numId w:val="4"/>
        </w:numPr>
        <w:spacing w:after="60"/>
      </w:pPr>
      <w:r>
        <w:t xml:space="preserve">435 come from 29 retagged campaigns that aren’t in the audit’s list, at a flat 15 clicks a week each.</w:t>
      </w:r>
    </w:p>
    <w:p>
      <w:pPr>
        <w:pStyle w:val="ListParagraph"/>
        <w:numPr>
          <w:ilvl w:val="0"/>
          <w:numId w:val="4"/>
        </w:numPr>
        <w:spacing w:after="60"/>
      </w:pPr>
      <w:r>
        <w:t xml:space="preserve">196 come from boost raises, including 96 from three campaigns whose keywords are paused.</w:t>
      </w:r>
    </w:p>
    <w:p>
      <w:pPr>
        <w:pStyle w:val="ListParagraph"/>
        <w:numPr>
          <w:ilvl w:val="0"/>
          <w:numId w:val="4"/>
        </w:numPr>
        <w:spacing w:after="60"/>
      </w:pPr>
      <w:r>
        <w:t xml:space="preserve">109 come from the 75% jumps.</w:t>
      </w:r>
    </w:p>
    <w:p>
      <w:pPr>
        <w:pStyle w:val="ListParagraph"/>
        <w:numPr>
          <w:ilvl w:val="0"/>
          <w:numId w:val="4"/>
        </w:numPr>
        <w:spacing w:after="60"/>
      </w:pPr>
      <w:r>
        <w:t xml:space="preserve">75 come from new campaigns.</w:t>
      </w:r>
    </w:p>
    <w:p>
      <w:pPr>
        <w:spacing w:after="100"/>
      </w:pPr>
      <w:r>
        <w:t xml:space="preserve">Its spend baseline includes three deal days, so it also overstates normal spend. Rebuild the forecast on the corrected push and the pre-deal baseline.</w:t>
      </w:r>
    </w:p>
    <w:p>
      <w:pPr>
        <w:pStyle w:val="Heading1"/>
      </w:pPr>
      <w:r>
        <w:t xml:space="preserve">12. Rank drops</w:t>
      </w:r>
    </w:p>
    <w:p>
      <w:pPr>
        <w:spacing w:after="100"/>
      </w:pPr>
      <w:r>
        <w:t xml:space="preserve">A keyword that falls more than 10 positions while still getting clicks has a cause other than price. Never answer it with more spend: find the cause first. The audit names no causes, but several are already visible:</w:t>
      </w:r>
    </w:p>
    <w:p>
      <w:pPr>
        <w:pStyle w:val="ListParagraph"/>
        <w:numPr>
          <w:ilvl w:val="0"/>
          <w:numId w:val="4"/>
        </w:numPr>
        <w:spacing w:after="60"/>
      </w:pPr>
      <w:r>
        <w:t xml:space="preserve">“bamboo sheets queen” (27 at the end of August, 58 today, 24 places of it in the last two days): its main exact campaign’s keyword is paused. The only live exact campaign advertises Queen Creme, and the audit gives that one a 75% jump. Put one campaign on Queen White first, then price it.</w:t>
      </w:r>
    </w:p>
    <w:p>
      <w:pPr>
        <w:pStyle w:val="ListParagraph"/>
        <w:numPr>
          <w:ilvl w:val="0"/>
          <w:numId w:val="4"/>
        </w:numPr>
        <w:spacing w:after="60"/>
      </w:pPr>
      <w:r>
        <w:t xml:space="preserve">“bamboo sheets king size” (17 at the end of August, about 40 in mid-September, 27 today): its exact campaign sits at a $0.50 base on down-only bidding, took 3% of its clicks at the top and spent $9.60 in the last 14 days.</w:t>
      </w:r>
    </w:p>
    <w:p>
      <w:pPr>
        <w:pStyle w:val="ListParagraph"/>
        <w:numPr>
          <w:ilvl w:val="0"/>
          <w:numId w:val="4"/>
        </w:numPr>
        <w:spacing w:after="60"/>
      </w:pPr>
      <w:r>
        <w:t xml:space="preserve">“bamboo sheets full” (11 → 18 today): its exact campaign is paused.</w:t>
      </w:r>
    </w:p>
    <w:p>
      <w:pPr>
        <w:pStyle w:val="ListParagraph"/>
        <w:numPr>
          <w:ilvl w:val="0"/>
          <w:numId w:val="4"/>
        </w:numPr>
        <w:spacing w:after="60"/>
      </w:pPr>
      <w:r>
        <w:t xml:space="preserve">“queen size bamboo sheets set” (18 → 40 → 30): its campaign advertises Queen Olive rather than White. Check that first.</w:t>
      </w:r>
    </w:p>
    <w:p>
      <w:pPr>
        <w:pStyle w:val="Heading1"/>
      </w:pPr>
      <w:r>
        <w:t xml:space="preserve">13. Changes that shouldn’t load as written</w:t>
      </w:r>
    </w:p>
    <w:p>
      <w:pPr>
        <w:pStyle w:val="ListParagraph"/>
        <w:numPr>
          <w:ilvl w:val="0"/>
          <w:numId w:val="4"/>
        </w:numPr>
        <w:spacing w:after="60"/>
      </w:pPr>
      <w:r>
        <w:rPr>
          <w:b/>
          <w:bCs/>
        </w:rPr>
        <w:t xml:space="preserve">All 35 budget changes are blocked by an engine error </w:t>
      </w:r>
      <w:r>
        <w:t xml:space="preserve">(they carry no forecast), while the matching price changes go through. A push without the budget to spend it stops by mid-afternoon. Set the push budgets by hand.</w:t>
      </w:r>
    </w:p>
    <w:p>
      <w:pPr>
        <w:pStyle w:val="ListParagraph"/>
        <w:numPr>
          <w:ilvl w:val="0"/>
          <w:numId w:val="4"/>
        </w:numPr>
        <w:spacing w:after="60"/>
      </w:pPr>
      <w:r>
        <w:rPr>
          <w:b/>
          <w:bCs/>
        </w:rPr>
        <w:t xml:space="preserve">All 88 colour switches skip on upload. </w:t>
      </w:r>
      <w:r>
        <w:t xml:space="preserve">Make the 12 to White by hand; don’t make the 75 Queen-to-Olive switches (Section 6).</w:t>
      </w:r>
    </w:p>
    <w:p>
      <w:pPr>
        <w:pStyle w:val="ListParagraph"/>
        <w:numPr>
          <w:ilvl w:val="0"/>
          <w:numId w:val="4"/>
        </w:numPr>
        <w:spacing w:after="60"/>
      </w:pPr>
      <w:r>
        <w:rPr>
          <w:b/>
          <w:bCs/>
        </w:rPr>
        <w:t xml:space="preserve">181 changes on 69 campaigns missing from the audit’s own campaign list, </w:t>
      </w:r>
      <w:r>
        <w:t xml:space="preserve">including the 49 retags and 42 boost changes. Hold every raise until each campaign’s status, colour and keywords are confirmed.</w:t>
      </w:r>
    </w:p>
    <w:p>
      <w:pPr>
        <w:pStyle w:val="ListParagraph"/>
        <w:numPr>
          <w:ilvl w:val="0"/>
          <w:numId w:val="4"/>
        </w:numPr>
        <w:spacing w:after="60"/>
      </w:pPr>
      <w:r>
        <w:rPr>
          <w:b/>
          <w:bCs/>
        </w:rPr>
        <w:t xml:space="preserve">10 changes on paused campaigns, and 7 exact duplicates.</w:t>
      </w:r>
    </w:p>
    <w:p>
      <w:pPr>
        <w:pStyle w:val="ListParagraph"/>
        <w:numPr>
          <w:ilvl w:val="0"/>
          <w:numId w:val="4"/>
        </w:numPr>
        <w:spacing w:after="60"/>
      </w:pPr>
      <w:r>
        <w:rPr>
          <w:b/>
          <w:bCs/>
        </w:rPr>
        <w:t xml:space="preserve">15 new campaigns mid-deal: </w:t>
      </w:r>
      <w:r>
        <w:t xml:space="preserve">8 Sponsored Brands and video “probes”, one Sponsored Display defence campaign, one competitor-targeting campaign and five Sponsored Products campaigns. Two of the Sponsored Products campaigns duplicate paused campaigns. The engine’s one failed check is on two of the probes, and its review holds five of them. New campaigns launched in the last deal days would learn on deal traffic. Hold all 15 until after the deal and decide each one again.</w:t>
      </w:r>
    </w:p>
    <w:p>
      <w:pPr>
        <w:pStyle w:val="ListParagraph"/>
        <w:numPr>
          <w:ilvl w:val="0"/>
          <w:numId w:val="4"/>
        </w:numPr>
        <w:spacing w:after="60"/>
      </w:pPr>
      <w:r>
        <w:rPr>
          <w:b/>
          <w:bCs/>
        </w:rPr>
        <w:t xml:space="preserve">Its review endorses the run </w:t>
      </w:r>
      <w:r>
        <w:t xml:space="preserve">at $1,295 a day and says no deal falls in the window, while the Best Deal is running.</w:t>
      </w:r>
    </w:p>
    <w:p>
      <w:pPr>
        <w:pStyle w:val="Heading1"/>
      </w:pPr>
      <w:r>
        <w:t xml:space="preserve">14. Next steps</w:t>
      </w:r>
    </w:p>
    <w:p>
      <w:pPr>
        <w:pStyle w:val="ListParagraph"/>
        <w:numPr>
          <w:ilvl w:val="0"/>
          <w:numId w:val="5"/>
        </w:numPr>
        <w:spacing w:after="60"/>
      </w:pPr>
      <w:r>
        <w:t xml:space="preserve">Today: agree the goals for the deal days and after, and decide on “bamboo sheets”.</w:t>
      </w:r>
    </w:p>
    <w:p>
      <w:pPr>
        <w:pStyle w:val="ListParagraph"/>
        <w:numPr>
          <w:ilvl w:val="0"/>
          <w:numId w:val="5"/>
        </w:numPr>
        <w:spacing w:after="60"/>
      </w:pPr>
      <w:r>
        <w:t xml:space="preserve">Today to 30 September: fixed bidding and the mix fix on push campaigns, and push prices on the deal margin. Restart “bamboo sheets full” and set push budgets by hand. Keep every ranking ad on White. Hold the new campaigns and retags.</w:t>
      </w:r>
    </w:p>
    <w:p>
      <w:pPr>
        <w:pStyle w:val="ListParagraph"/>
        <w:numPr>
          <w:ilvl w:val="0"/>
          <w:numId w:val="5"/>
        </w:numPr>
        <w:spacing w:after="60"/>
      </w:pPr>
      <w:r>
        <w:t xml:space="preserve">1 October: back to full-price break-even, spend inside the limit, and the push continuing on qualifying terms.</w:t>
      </w:r>
    </w:p>
    <w:p>
      <w:pPr>
        <w:pStyle w:val="ListParagraph"/>
        <w:numPr>
          <w:ilvl w:val="0"/>
          <w:numId w:val="5"/>
        </w:numPr>
        <w:spacing w:after="60"/>
      </w:pPr>
      <w:r>
        <w:t xml:space="preserve">Daily until 7 October: watch spend, orders, top-of-search share, head-term ranks, and Full and Queen White stock. Judge nothing on deal data.</w:t>
      </w:r>
    </w:p>
    <w:p>
      <w:pPr>
        <w:pStyle w:val="ListParagraph"/>
        <w:numPr>
          <w:ilvl w:val="0"/>
          <w:numId w:val="5"/>
        </w:numPr>
        <w:spacing w:after="60"/>
      </w:pPr>
      <w:r>
        <w:t xml:space="preserve">This week: exclude “bamboo sheets” from the broad campaigns, fix the retags (Section 9), and make the 12 colour switches to White by hand.</w:t>
      </w:r>
    </w:p>
    <w:p>
      <w:pPr>
        <w:pStyle w:val="ListParagraph"/>
        <w:numPr>
          <w:ilvl w:val="0"/>
          <w:numId w:val="5"/>
        </w:numPr>
        <w:spacing w:after="60"/>
      </w:pPr>
      <w:r>
        <w:t xml:space="preserve">8–14 October: first clean read, and the next push steps where rank moved.</w:t>
      </w:r>
    </w:p>
    <w:p>
      <w:pPr>
        <w:pStyle w:val="ListParagraph"/>
        <w:numPr>
          <w:ilvl w:val="0"/>
          <w:numId w:val="5"/>
        </w:numPr>
        <w:spacing w:after="60"/>
      </w:pPr>
      <w:r>
        <w:t xml:space="preserve">At least three weeks before each event: its push sized, funded and stock-checked, running into Black Friday / Cyber Monday from early November.</w:t>
      </w:r>
    </w:p>
    <w:p>
      <w:pPr>
        <w:pStyle w:val="Heading1"/>
      </w:pPr>
      <w:r>
        <w:t xml:space="preserve">Appendix: fixes for the engine</w:t>
      </w:r>
    </w:p>
    <w:p>
      <w:pPr>
        <w:pStyle w:val="ListParagraph"/>
        <w:numPr>
          <w:ilvl w:val="0"/>
          <w:numId w:val="4"/>
        </w:numPr>
        <w:spacing w:after="60"/>
      </w:pPr>
      <w:r>
        <w:t xml:space="preserve">It doesn’t see a Best Deal that is on the calendar and running. Its review states there is no deal in the window.</w:t>
      </w:r>
    </w:p>
    <w:p>
      <w:pPr>
        <w:pStyle w:val="ListParagraph"/>
        <w:numPr>
          <w:ilvl w:val="0"/>
          <w:numId w:val="4"/>
        </w:numPr>
        <w:spacing w:after="60"/>
      </w:pPr>
      <w:r>
        <w:t xml:space="preserve">It sets no spend target, TACoS goal or product goal, and it builds its baseline on deal days.</w:t>
      </w:r>
    </w:p>
    <w:p>
      <w:pPr>
        <w:pStyle w:val="ListParagraph"/>
        <w:numPr>
          <w:ilvl w:val="0"/>
          <w:numId w:val="4"/>
        </w:numPr>
        <w:spacing w:after="60"/>
      </w:pPr>
      <w:r>
        <w:t xml:space="preserve">It prices on $26.88 profit per unit instead of real margin from Sellerboard, and ignores the deal price.</w:t>
      </w:r>
    </w:p>
    <w:p>
      <w:pPr>
        <w:pStyle w:val="ListParagraph"/>
        <w:numPr>
          <w:ilvl w:val="0"/>
          <w:numId w:val="4"/>
        </w:numPr>
        <w:spacing w:after="60"/>
      </w:pPr>
      <w:r>
        <w:t xml:space="preserve">Its “dose” jumps skip the rank-gap size, the twice-break-even ceiling and the 30% step limit.</w:t>
      </w:r>
    </w:p>
    <w:p>
      <w:pPr>
        <w:pStyle w:val="ListParagraph"/>
        <w:numPr>
          <w:ilvl w:val="0"/>
          <w:numId w:val="4"/>
        </w:numPr>
        <w:spacing w:after="60"/>
      </w:pPr>
      <w:r>
        <w:t xml:space="preserve">It raises prices on campaigns that barely show at the top, and leaves push campaigns on down-only bidding.</w:t>
      </w:r>
    </w:p>
    <w:p>
      <w:pPr>
        <w:pStyle w:val="ListParagraph"/>
        <w:numPr>
          <w:ilvl w:val="0"/>
          <w:numId w:val="4"/>
        </w:numPr>
        <w:spacing w:after="60"/>
      </w:pPr>
      <w:r>
        <w:t xml:space="preserve">It raises boosts and forecasts clicks on campaigns whose keywords are paused, and builds new campaigns beside paused ones instead of restarting them.</w:t>
      </w:r>
    </w:p>
    <w:p>
      <w:pPr>
        <w:pStyle w:val="ListParagraph"/>
        <w:numPr>
          <w:ilvl w:val="0"/>
          <w:numId w:val="4"/>
        </w:numPr>
        <w:spacing w:after="60"/>
      </w:pPr>
      <w:r>
        <w:t xml:space="preserve">It moves Queen ranking ads to a clearance colour on a push pace that its own forecast inflates.</w:t>
      </w:r>
    </w:p>
    <w:p>
      <w:pPr>
        <w:pStyle w:val="ListParagraph"/>
        <w:numPr>
          <w:ilvl w:val="0"/>
          <w:numId w:val="4"/>
        </w:numPr>
        <w:spacing w:after="60"/>
      </w:pPr>
      <w:r>
        <w:t xml:space="preserve">It retags colour, competitor and Spanish-language terms as ranking.</w:t>
      </w:r>
    </w:p>
    <w:p>
      <w:pPr>
        <w:pStyle w:val="ListParagraph"/>
        <w:numPr>
          <w:ilvl w:val="0"/>
          <w:numId w:val="4"/>
        </w:numPr>
        <w:spacing w:after="60"/>
      </w:pPr>
      <w:r>
        <w:t xml:space="preserve">It blocks every budget change by mistake while the price changes go live.</w:t>
      </w:r>
    </w:p>
    <w:p>
      <w:pPr>
        <w:pStyle w:val="ListParagraph"/>
        <w:numPr>
          <w:ilvl w:val="0"/>
          <w:numId w:val="4"/>
        </w:numPr>
        <w:spacing w:after="60"/>
      </w:pPr>
      <w:r>
        <w:t xml:space="preserve">Its colour switches can’t be uploaded.</w:t>
      </w:r>
    </w:p>
    <w:p>
      <w:pPr>
        <w:pStyle w:val="ListParagraph"/>
        <w:numPr>
          <w:ilvl w:val="0"/>
          <w:numId w:val="4"/>
        </w:numPr>
        <w:spacing w:after="60"/>
      </w:pPr>
      <w:r>
        <w:t xml:space="preserve">It leaves 69 campaigns with changes out of its own campaign list.</w:t>
      </w:r>
    </w:p>
    <w:p>
      <w:pPr>
        <w:pStyle w:val="ListParagraph"/>
        <w:numPr>
          <w:ilvl w:val="0"/>
          <w:numId w:val="4"/>
        </w:numPr>
        <w:spacing w:after="60"/>
      </w:pPr>
      <w:r>
        <w:t xml:space="preserve">It has no current rank for 38 of its 40 target terms.</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d64f8fb442758ce11dd5b021949c115a23daae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DBS6 audit corrections — 28 September 2026</dc:title>
  <dc:creator>Claude</dc:creator>
  <cp:lastModifiedBy>Un-named</cp:lastModifiedBy>
  <cp:revision>1</cp:revision>
  <dcterms:created xsi:type="dcterms:W3CDTF">2026-09-28T22:32:21.458Z</dcterms:created>
  <dcterms:modified xsi:type="dcterms:W3CDTF">2026-09-28T22:32:21.467Z</dcterms:modified>
</cp:coreProperties>
</file>

<file path=docProps/custom.xml><?xml version="1.0" encoding="utf-8"?>
<Properties xmlns="http://schemas.openxmlformats.org/officeDocument/2006/custom-properties" xmlns:vt="http://schemas.openxmlformats.org/officeDocument/2006/docPropsVTypes"/>
</file>