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PPC Engine Feedback: Corrections Before Sending to Joseph</w:t>
      </w:r>
    </w:p>
    <w:p>
      <w:r>
        <w:rPr>
          <w:color w:val="4E5A64"/>
        </w:rPr>
        <w:t>2 October 2026 · Review of the 2 Oct drafts (feedback doc and register) against the final B4 and B6 ranking plans</w:t>
      </w:r>
    </w:p>
    <w:p>
      <w:pPr>
        <w:pStyle w:val="Heading1"/>
      </w:pPr>
      <w:r>
        <w:t>Summary</w:t>
      </w:r>
    </w:p>
    <w:p>
      <w:r>
        <w:t>The 2 Oct drafts can go to Joseph after seven corrections; most of the register stands as written. The seven corrections all touch rules where the register and our final B4 and B6 ranking plans now say different things. If both go to Joseph unchanged, Joseph gets two answers on the same questions.</w:t>
      </w:r>
    </w:p>
    <w:tbl>
      <w:tblPr>
        <w:tblStyle w:val="TableGrid"/>
        <w:tblW w:type="auto" w:w="0"/>
        <w:tblLayout w:type="fixed"/>
        <w:tblLook w:firstColumn="1" w:firstRow="1" w:lastColumn="0" w:lastRow="0" w:noHBand="0" w:noVBand="1" w:val="04A0"/>
      </w:tblPr>
      <w:tblGrid>
        <w:gridCol w:w="432"/>
        <w:gridCol w:w="2736"/>
        <w:gridCol w:w="2016"/>
        <w:gridCol w:w="4752"/>
      </w:tblGrid>
      <w:tr>
        <w:tc>
          <w:tcPr>
            <w:tcW w:type="dxa" w:w="432"/>
            <w:shd w:val="clear" w:color="auto" w:fill="E8EDF1"/>
          </w:tcPr>
          <w:p>
            <w:r/>
            <w:r>
              <w:rPr>
                <w:b/>
                <w:sz w:val="19"/>
              </w:rPr>
              <w:t>#</w:t>
            </w:r>
          </w:p>
        </w:tc>
        <w:tc>
          <w:tcPr>
            <w:tcW w:type="dxa" w:w="2736"/>
            <w:shd w:val="clear" w:color="auto" w:fill="E8EDF1"/>
          </w:tcPr>
          <w:p>
            <w:r/>
            <w:r>
              <w:rPr>
                <w:b/>
                <w:sz w:val="19"/>
              </w:rPr>
              <w:t>Correction</w:t>
            </w:r>
          </w:p>
        </w:tc>
        <w:tc>
          <w:tcPr>
            <w:tcW w:type="dxa" w:w="2016"/>
            <w:shd w:val="clear" w:color="auto" w:fill="E8EDF1"/>
          </w:tcPr>
          <w:p>
            <w:r/>
            <w:r>
              <w:rPr>
                <w:b/>
                <w:sz w:val="19"/>
              </w:rPr>
              <w:t>Register IDs</w:t>
            </w:r>
          </w:p>
        </w:tc>
        <w:tc>
          <w:tcPr>
            <w:tcW w:type="dxa" w:w="4752"/>
            <w:shd w:val="clear" w:color="auto" w:fill="E8EDF1"/>
          </w:tcPr>
          <w:p>
            <w:r/>
            <w:r>
              <w:rPr>
                <w:b/>
                <w:sz w:val="19"/>
              </w:rPr>
              <w:t>Plan impact if left as is</w:t>
            </w:r>
          </w:p>
        </w:tc>
      </w:tr>
      <w:tr>
        <w:tc>
          <w:tcPr>
            <w:tcW w:type="dxa" w:w="432"/>
          </w:tcPr>
          <w:p>
            <w:r/>
            <w:r>
              <w:rPr>
                <w:sz w:val="19"/>
              </w:rPr>
              <w:t>1</w:t>
            </w:r>
          </w:p>
        </w:tc>
        <w:tc>
          <w:tcPr>
            <w:tcW w:type="dxa" w:w="2736"/>
          </w:tcPr>
          <w:p>
            <w:r/>
            <w:r>
              <w:rPr>
                <w:sz w:val="19"/>
              </w:rPr>
              <w:t>Margin used for bid ceilings</w:t>
            </w:r>
          </w:p>
        </w:tc>
        <w:tc>
          <w:tcPr>
            <w:tcW w:type="dxa" w:w="2016"/>
          </w:tcPr>
          <w:p>
            <w:r/>
            <w:r>
              <w:rPr>
                <w:sz w:val="19"/>
              </w:rPr>
              <w:t>A1, X16, P0 bundle 2</w:t>
            </w:r>
          </w:p>
        </w:tc>
        <w:tc>
          <w:tcPr>
            <w:tcW w:type="dxa" w:w="4752"/>
          </w:tcPr>
          <w:p>
            <w:r/>
            <w:r>
              <w:rPr>
                <w:sz w:val="19"/>
              </w:rPr>
              <w:t>B4 and B6 break-evens fall 30–40%; B4 nine-week ad result moves from −$1,975 to roughly −$20K, B6 from +$3,011 to roughly −$15K</w:t>
            </w:r>
          </w:p>
        </w:tc>
      </w:tr>
      <w:tr>
        <w:tc>
          <w:tcPr>
            <w:tcW w:type="dxa" w:w="432"/>
          </w:tcPr>
          <w:p>
            <w:r/>
            <w:r>
              <w:rPr>
                <w:sz w:val="19"/>
              </w:rPr>
              <w:t>2</w:t>
            </w:r>
          </w:p>
        </w:tc>
        <w:tc>
          <w:tcPr>
            <w:tcW w:type="dxa" w:w="2736"/>
          </w:tcPr>
          <w:p>
            <w:r/>
            <w:r>
              <w:rPr>
                <w:sz w:val="19"/>
              </w:rPr>
              <w:t>Deal days: launches, budgets and the 14-day read exclusion</w:t>
            </w:r>
          </w:p>
        </w:tc>
        <w:tc>
          <w:tcPr>
            <w:tcW w:type="dxa" w:w="2016"/>
          </w:tcPr>
          <w:p>
            <w:r/>
            <w:r>
              <w:rPr>
                <w:sz w:val="19"/>
              </w:rPr>
              <w:t>X14, 3 · 5, A6, 7a Check A</w:t>
            </w:r>
          </w:p>
        </w:tc>
        <w:tc>
          <w:tcPr>
            <w:tcW w:type="dxa" w:w="4752"/>
          </w:tcPr>
          <w:p>
            <w:r/>
            <w:r>
              <w:rPr>
                <w:sz w:val="19"/>
              </w:rPr>
              <w:t>B4 head terms cannot start in deal weeks; every read up to December is void</w:t>
            </w:r>
          </w:p>
        </w:tc>
      </w:tr>
      <w:tr>
        <w:tc>
          <w:tcPr>
            <w:tcW w:type="dxa" w:w="432"/>
          </w:tcPr>
          <w:p>
            <w:r/>
            <w:r>
              <w:rPr>
                <w:sz w:val="19"/>
              </w:rPr>
              <w:t>3</w:t>
            </w:r>
          </w:p>
        </w:tc>
        <w:tc>
          <w:tcPr>
            <w:tcW w:type="dxa" w:w="2736"/>
          </w:tcPr>
          <w:p>
            <w:r/>
            <w:r>
              <w:rPr>
                <w:sz w:val="19"/>
              </w:rPr>
              <w:t>"bamboo sheets" role</w:t>
            </w:r>
          </w:p>
        </w:tc>
        <w:tc>
          <w:tcPr>
            <w:tcW w:type="dxa" w:w="2016"/>
          </w:tcPr>
          <w:p>
            <w:r/>
            <w:r>
              <w:rPr>
                <w:sz w:val="19"/>
              </w:rPr>
              <w:t>Q3, B2, H3</w:t>
            </w:r>
          </w:p>
        </w:tc>
        <w:tc>
          <w:tcPr>
            <w:tcW w:type="dxa" w:w="4752"/>
          </w:tcPr>
          <w:p>
            <w:r/>
            <w:r>
              <w:rPr>
                <w:sz w:val="19"/>
              </w:rPr>
              <w:t>Register says push; both plans and Joseph's plan of attack say profit setting</w:t>
            </w:r>
          </w:p>
        </w:tc>
      </w:tr>
      <w:tr>
        <w:tc>
          <w:tcPr>
            <w:tcW w:type="dxa" w:w="432"/>
          </w:tcPr>
          <w:p>
            <w:r/>
            <w:r>
              <w:rPr>
                <w:sz w:val="19"/>
              </w:rPr>
              <w:t>4</w:t>
            </w:r>
          </w:p>
        </w:tc>
        <w:tc>
          <w:tcPr>
            <w:tcW w:type="dxa" w:w="2736"/>
          </w:tcPr>
          <w:p>
            <w:r/>
            <w:r>
              <w:rPr>
                <w:sz w:val="19"/>
              </w:rPr>
              <w:t>Keywords both listings push</w:t>
            </w:r>
          </w:p>
        </w:tc>
        <w:tc>
          <w:tcPr>
            <w:tcW w:type="dxa" w:w="2016"/>
          </w:tcPr>
          <w:p>
            <w:r/>
            <w:r>
              <w:rPr>
                <w:sz w:val="19"/>
              </w:rPr>
              <w:t>Q13, B6</w:t>
            </w:r>
          </w:p>
        </w:tc>
        <w:tc>
          <w:tcPr>
            <w:tcW w:type="dxa" w:w="4752"/>
          </w:tcPr>
          <w:p>
            <w:r/>
            <w:r>
              <w:rPr>
                <w:sz w:val="19"/>
              </w:rPr>
              <w:t>One of B4 or B6 would have to stop pushing the 22 shared keywords</w:t>
            </w:r>
          </w:p>
        </w:tc>
      </w:tr>
      <w:tr>
        <w:tc>
          <w:tcPr>
            <w:tcW w:type="dxa" w:w="432"/>
          </w:tcPr>
          <w:p>
            <w:r/>
            <w:r>
              <w:rPr>
                <w:sz w:val="19"/>
              </w:rPr>
              <w:t>5</w:t>
            </w:r>
          </w:p>
        </w:tc>
        <w:tc>
          <w:tcPr>
            <w:tcW w:type="dxa" w:w="2736"/>
          </w:tcPr>
          <w:p>
            <w:r/>
            <w:r>
              <w:rPr>
                <w:sz w:val="19"/>
              </w:rPr>
              <w:t>Stock cover needed to push</w:t>
            </w:r>
          </w:p>
        </w:tc>
        <w:tc>
          <w:tcPr>
            <w:tcW w:type="dxa" w:w="2016"/>
          </w:tcPr>
          <w:p>
            <w:r/>
            <w:r>
              <w:rPr>
                <w:sz w:val="19"/>
              </w:rPr>
              <w:t>X11, C2, E1, E5</w:t>
            </w:r>
          </w:p>
        </w:tc>
        <w:tc>
          <w:tcPr>
            <w:tcW w:type="dxa" w:w="4752"/>
          </w:tcPr>
          <w:p>
            <w:r/>
            <w:r>
              <w:rPr>
                <w:sz w:val="19"/>
              </w:rPr>
              <w:t>Several B4 and B6 colours, and the Queen White bridge, fail the 60-day line</w:t>
            </w:r>
          </w:p>
        </w:tc>
      </w:tr>
      <w:tr>
        <w:tc>
          <w:tcPr>
            <w:tcW w:type="dxa" w:w="432"/>
          </w:tcPr>
          <w:p>
            <w:r/>
            <w:r>
              <w:rPr>
                <w:sz w:val="19"/>
              </w:rPr>
              <w:t>6</w:t>
            </w:r>
          </w:p>
        </w:tc>
        <w:tc>
          <w:tcPr>
            <w:tcW w:type="dxa" w:w="2736"/>
          </w:tcPr>
          <w:p>
            <w:r/>
            <w:r>
              <w:rPr>
                <w:sz w:val="19"/>
              </w:rPr>
              <w:t>Sample for the conversion gate</w:t>
            </w:r>
          </w:p>
        </w:tc>
        <w:tc>
          <w:tcPr>
            <w:tcW w:type="dxa" w:w="2016"/>
          </w:tcPr>
          <w:p>
            <w:r/>
            <w:r>
              <w:rPr>
                <w:sz w:val="19"/>
              </w:rPr>
              <w:t>X13, C2</w:t>
            </w:r>
          </w:p>
        </w:tc>
        <w:tc>
          <w:tcPr>
            <w:tcW w:type="dxa" w:w="4752"/>
          </w:tcPr>
          <w:p>
            <w:r/>
            <w:r>
              <w:rPr>
                <w:sz w:val="19"/>
              </w:rPr>
              <w:t>15 clicks is about 3 orders; the agreed trial is 60 clicks</w:t>
            </w:r>
          </w:p>
        </w:tc>
      </w:tr>
      <w:tr>
        <w:tc>
          <w:tcPr>
            <w:tcW w:type="dxa" w:w="432"/>
          </w:tcPr>
          <w:p>
            <w:r/>
            <w:r>
              <w:rPr>
                <w:sz w:val="19"/>
              </w:rPr>
              <w:t>7</w:t>
            </w:r>
          </w:p>
        </w:tc>
        <w:tc>
          <w:tcPr>
            <w:tcW w:type="dxa" w:w="2736"/>
          </w:tcPr>
          <w:p>
            <w:r/>
            <w:r>
              <w:rPr>
                <w:sz w:val="19"/>
              </w:rPr>
              <w:t>Top-of-search-only test on wave 1</w:t>
            </w:r>
          </w:p>
        </w:tc>
        <w:tc>
          <w:tcPr>
            <w:tcW w:type="dxa" w:w="2016"/>
          </w:tcPr>
          <w:p>
            <w:r/>
            <w:r>
              <w:rPr>
                <w:sz w:val="19"/>
              </w:rPr>
              <w:t>X1, Q10</w:t>
            </w:r>
          </w:p>
        </w:tc>
        <w:tc>
          <w:tcPr>
            <w:tcW w:type="dxa" w:w="4752"/>
          </w:tcPr>
          <w:p>
            <w:r/>
            <w:r>
              <w:rPr>
                <w:sz w:val="19"/>
              </w:rPr>
              <w:t>Test and B4 Wave 1 push would run on the same campaigns; 16 Oct read falls on a B4 deal day</w:t>
            </w:r>
          </w:p>
        </w:tc>
      </w:tr>
    </w:tbl>
    <w:p/>
    <w:p>
      <w:r>
        <w:t>Three smaller fixes follow in section 4: cut the P0 list to four must-ship items, measure delivery against the costed push set, and fill the Q1 goal numbers from our plans. Two date errors also need fixing.</w:t>
      </w:r>
    </w:p>
    <w:p>
      <w:pPr>
        <w:pStyle w:val="Heading1"/>
      </w:pPr>
      <w:r>
        <w:t>What stays as written</w:t>
      </w:r>
    </w:p>
    <w:p>
      <w:r>
        <w:t>We back these parts unchanged; they match what our B4 and B6 work found.</w:t>
      </w:r>
    </w:p>
    <w:p>
      <w:pPr>
        <w:pStyle w:val="ListBullet"/>
      </w:pPr>
      <w:r>
        <w:rPr>
          <w:b/>
        </w:rPr>
        <w:t xml:space="preserve">Inputs before rules (section 4, themes A and B). </w:t>
      </w:r>
      <w:r>
        <w:t>Most bad output traces to wrong margin, roster, stock, rank and events, and to the missing product goal. Our B4 and B6 analysis found the same.</w:t>
      </w:r>
    </w:p>
    <w:p>
      <w:pPr>
        <w:pStyle w:val="ListBullet"/>
      </w:pPr>
      <w:r>
        <w:rPr>
          <w:b/>
        </w:rPr>
        <w:t xml:space="preserve">The push as a costed object (C1, C3). </w:t>
      </w:r>
      <w:r>
        <w:t>A short list of terms, each with clicks a day, orders a day, budget, price ceiling, dates and a prediction. Both plans are built this way.</w:t>
      </w:r>
    </w:p>
    <w:p>
      <w:pPr>
        <w:pStyle w:val="ListBullet"/>
      </w:pPr>
      <w:r>
        <w:rPr>
          <w:b/>
        </w:rPr>
        <w:t xml:space="preserve">Ceiling at 2× break-even (X5) and a floor of one order a day (X12). </w:t>
      </w:r>
      <w:r>
        <w:t>Same as both plans and Erik's 2 Oct note.</w:t>
      </w:r>
    </w:p>
    <w:p>
      <w:pPr>
        <w:pStyle w:val="ListBullet"/>
      </w:pPr>
      <w:r>
        <w:rPr>
          <w:b/>
        </w:rPr>
        <w:t xml:space="preserve">Rank built mainly from top-of-search orders (X1). </w:t>
      </w:r>
      <w:r>
        <w:t>The basis of our exact-keyword pushes.</w:t>
      </w:r>
    </w:p>
    <w:p>
      <w:pPr>
        <w:pStyle w:val="ListBullet"/>
      </w:pPr>
      <w:r>
        <w:rPr>
          <w:b/>
        </w:rPr>
        <w:t xml:space="preserve">Rival-based targets and stop rules (C6, C8, C5). </w:t>
      </w:r>
      <w:r>
        <w:t>Match our goal rule (best listing we can beat in today's top 10, never above #5) and our day-7, day-14 and 21-day reads.</w:t>
      </w:r>
    </w:p>
    <w:p>
      <w:pPr>
        <w:pStyle w:val="ListBullet"/>
      </w:pPr>
      <w:r>
        <w:rPr>
          <w:b/>
        </w:rPr>
        <w:t xml:space="preserve">The quality bar (section 2), the decision order (section 4) and the acceptance checks. </w:t>
      </w:r>
      <w:r>
        <w:t>Each item can be checked after a re-run, which is what Joseph asked for.</w:t>
      </w:r>
    </w:p>
    <w:p>
      <w:pPr>
        <w:pStyle w:val="ListBullet"/>
      </w:pPr>
      <w:r>
        <w:rPr>
          <w:b/>
        </w:rPr>
        <w:t xml:space="preserve">Not the engine tab. </w:t>
      </w:r>
      <w:r>
        <w:t>Catalogue, inventory and creative items correctly kept out of the engine list.</w:t>
      </w:r>
    </w:p>
    <w:p>
      <w:pPr>
        <w:pStyle w:val="Heading1"/>
      </w:pPr>
      <w:r>
        <w:t>Corrections that conflict with the B4 and B6 plans</w:t>
      </w:r>
    </w:p>
    <w:p>
      <w:r>
        <w:t>Each correction gives what the draft says, why it needs changing, and the wording to use instead.</w:t>
      </w:r>
    </w:p>
    <w:p>
      <w:pPr>
        <w:pStyle w:val="Heading2"/>
      </w:pPr>
      <w:r>
        <w:t>1. Margin used for bid ceilings (A1, X16, P0 bundle 2)</w:t>
      </w:r>
    </w:p>
    <w:p>
      <w:r>
        <w:rPr>
          <w:b/>
        </w:rPr>
        <w:t xml:space="preserve">Draft: </w:t>
      </w:r>
      <w:r>
        <w:t>Sellerboard realised margin per advertised child, one-offs out for ceilings; use the lower figure if Sellerboard and Command Center differ by more than 10%.</w:t>
      </w:r>
    </w:p>
    <w:p>
      <w:r>
        <w:rPr>
          <w:b/>
        </w:rPr>
        <w:t xml:space="preserve">Problem: </w:t>
      </w:r>
      <w:r>
        <w:t>B4 now has four margin figures, and the rule would pick the lowest without saying what belongs in a ceiling.</w:t>
      </w:r>
    </w:p>
    <w:tbl>
      <w:tblPr>
        <w:tblStyle w:val="TableGrid"/>
        <w:tblW w:type="auto" w:w="0"/>
        <w:tblLayout w:type="fixed"/>
        <w:tblLook w:firstColumn="1" w:firstRow="1" w:lastColumn="0" w:lastRow="0" w:noHBand="0" w:noVBand="1" w:val="04A0"/>
      </w:tblPr>
      <w:tblGrid>
        <w:gridCol w:w="3312"/>
        <w:gridCol w:w="3456"/>
        <w:gridCol w:w="3168"/>
      </w:tblGrid>
      <w:tr>
        <w:tc>
          <w:tcPr>
            <w:tcW w:type="dxa" w:w="3312"/>
            <w:shd w:val="clear" w:color="auto" w:fill="E8EDF1"/>
          </w:tcPr>
          <w:p>
            <w:r/>
            <w:r>
              <w:rPr>
                <w:b/>
                <w:sz w:val="19"/>
              </w:rPr>
              <w:t>Source</w:t>
            </w:r>
          </w:p>
        </w:tc>
        <w:tc>
          <w:tcPr>
            <w:tcW w:type="dxa" w:w="3456"/>
            <w:shd w:val="clear" w:color="auto" w:fill="E8EDF1"/>
          </w:tcPr>
          <w:p>
            <w:r/>
            <w:r>
              <w:rPr>
                <w:b/>
                <w:sz w:val="19"/>
              </w:rPr>
              <w:t>B4</w:t>
            </w:r>
          </w:p>
        </w:tc>
        <w:tc>
          <w:tcPr>
            <w:tcW w:type="dxa" w:w="3168"/>
            <w:shd w:val="clear" w:color="auto" w:fill="E8EDF1"/>
          </w:tcPr>
          <w:p>
            <w:r/>
            <w:r>
              <w:rPr>
                <w:b/>
                <w:sz w:val="19"/>
              </w:rPr>
              <w:t>B6</w:t>
            </w:r>
          </w:p>
        </w:tc>
      </w:tr>
      <w:tr>
        <w:tc>
          <w:tcPr>
            <w:tcW w:type="dxa" w:w="3312"/>
          </w:tcPr>
          <w:p>
            <w:r/>
            <w:r>
              <w:rPr>
                <w:sz w:val="19"/>
              </w:rPr>
              <w:t>Sellerboard realised (register)</w:t>
            </w:r>
          </w:p>
        </w:tc>
        <w:tc>
          <w:tcPr>
            <w:tcW w:type="dxa" w:w="3456"/>
          </w:tcPr>
          <w:p>
            <w:r/>
            <w:r>
              <w:rPr>
                <w:sz w:val="19"/>
              </w:rPr>
              <w:t>27.9% (King White $17.88)</w:t>
            </w:r>
          </w:p>
        </w:tc>
        <w:tc>
          <w:tcPr>
            <w:tcW w:type="dxa" w:w="3168"/>
          </w:tcPr>
          <w:p>
            <w:r/>
            <w:r>
              <w:rPr>
                <w:sz w:val="19"/>
              </w:rPr>
              <w:t>23.8%</w:t>
            </w:r>
          </w:p>
        </w:tc>
      </w:tr>
      <w:tr>
        <w:tc>
          <w:tcPr>
            <w:tcW w:type="dxa" w:w="3312"/>
          </w:tcPr>
          <w:p>
            <w:r/>
            <w:r>
              <w:rPr>
                <w:sz w:val="19"/>
              </w:rPr>
              <w:t>Engine today (register)</w:t>
            </w:r>
          </w:p>
        </w:tc>
        <w:tc>
          <w:tcPr>
            <w:tcW w:type="dxa" w:w="3456"/>
          </w:tcPr>
          <w:p>
            <w:r/>
            <w:r>
              <w:rPr>
                <w:sz w:val="19"/>
              </w:rPr>
              <w:t>33–34% (King White $27.86)</w:t>
            </w:r>
          </w:p>
        </w:tc>
        <w:tc>
          <w:tcPr>
            <w:tcW w:type="dxa" w:w="3168"/>
          </w:tcPr>
          <w:p>
            <w:r/>
            <w:r>
              <w:rPr>
                <w:sz w:val="19"/>
              </w:rPr>
              <w:t>34%</w:t>
            </w:r>
          </w:p>
        </w:tc>
      </w:tr>
      <w:tr>
        <w:tc>
          <w:tcPr>
            <w:tcW w:type="dxa" w:w="3312"/>
          </w:tcPr>
          <w:p>
            <w:r/>
            <w:r>
              <w:rPr>
                <w:sz w:val="19"/>
              </w:rPr>
              <w:t>Joseph's 1 Oct keyword plan</w:t>
            </w:r>
          </w:p>
        </w:tc>
        <w:tc>
          <w:tcPr>
            <w:tcW w:type="dxa" w:w="3456"/>
          </w:tcPr>
          <w:p>
            <w:r/>
            <w:r>
              <w:rPr>
                <w:sz w:val="19"/>
              </w:rPr>
              <w:t>36%</w:t>
            </w:r>
          </w:p>
        </w:tc>
        <w:tc>
          <w:tcPr>
            <w:tcW w:type="dxa" w:w="3168"/>
          </w:tcPr>
          <w:p>
            <w:r/>
            <w:r>
              <w:rPr>
                <w:sz w:val="19"/>
              </w:rPr>
              <w:t>—</w:t>
            </w:r>
          </w:p>
        </w:tc>
      </w:tr>
      <w:tr>
        <w:tc>
          <w:tcPr>
            <w:tcW w:type="dxa" w:w="3312"/>
          </w:tcPr>
          <w:p>
            <w:r/>
            <w:r>
              <w:rPr>
                <w:sz w:val="19"/>
              </w:rPr>
              <w:t>Our plans (Command Center, 1 Oct prices)</w:t>
            </w:r>
          </w:p>
        </w:tc>
        <w:tc>
          <w:tcPr>
            <w:tcW w:type="dxa" w:w="3456"/>
          </w:tcPr>
          <w:p>
            <w:r/>
            <w:r>
              <w:rPr>
                <w:sz w:val="19"/>
              </w:rPr>
              <w:t>Queen $37.98 at $79.99 (47%); King $37.26 at $84.99 (44%)</w:t>
            </w:r>
          </w:p>
        </w:tc>
        <w:tc>
          <w:tcPr>
            <w:tcW w:type="dxa" w:w="3168"/>
          </w:tcPr>
          <w:p>
            <w:r/>
            <w:r>
              <w:rPr>
                <w:sz w:val="19"/>
              </w:rPr>
              <w:t>King $30.08 at $84.99 (35%); Queen $35.26 after the $5 rise</w:t>
            </w:r>
          </w:p>
        </w:tc>
      </w:tr>
    </w:tbl>
    <w:p/>
    <w:p>
      <w:r>
        <w:t>On the realised figures, break-even cost per click in both plans falls 30–40%. A rough re-run moves B4's nine-week ad result from −$1,975 to about −$20K and B6's from +$3,011 to about −$15K. These are estimates, not a full re-run.</w:t>
      </w:r>
    </w:p>
    <w:p>
      <w:r>
        <w:t>Realised margin includes storage and long-term storage fees. Those fall when we sell more, so charging them to each extra sale understates what a click is worth, most on the products carrying aged stock.</w:t>
      </w:r>
    </w:p>
    <w:p>
      <w:r>
        <w:rPr>
          <w:b/>
        </w:rPr>
        <w:t xml:space="preserve">Corrected wording (X16): </w:t>
      </w:r>
      <w:r>
        <w:t>"Bid ceilings use margin per extra unit sold for the advertised child: price minus referral and FBA fees, product cost and the refund rate, at today's price. Storage and long-term storage fees are left out of ceilings and reported in profit. Sellerboard realised margin is used for profit reporting and for the reconciliation check. The figure, its date and its source are printed on every run."</w:t>
      </w:r>
    </w:p>
    <w:p>
      <w:r>
        <w:rPr>
          <w:b/>
        </w:rPr>
        <w:t xml:space="preserve">Before sending: </w:t>
      </w:r>
      <w:r>
        <w:t>agree one figure per child with Joseph and Erik, then re-run both plans on it.</w:t>
      </w:r>
    </w:p>
    <w:p>
      <w:pPr>
        <w:pStyle w:val="Heading2"/>
      </w:pPr>
      <w:r>
        <w:t>2. Deal days (X14, board 3 · 5, A6, section 7a Check A)</w:t>
      </w:r>
    </w:p>
    <w:p>
      <w:r>
        <w:rPr>
          <w:b/>
        </w:rPr>
        <w:t xml:space="preserve">Draft: </w:t>
      </w:r>
      <w:r>
        <w:t>default hold on deal days with no raises, revives, launches, tests or grades; deal window plus 14 days excluded from reads and grades.</w:t>
      </w:r>
    </w:p>
    <w:p>
      <w:r>
        <w:rPr>
          <w:b/>
        </w:rPr>
        <w:t xml:space="preserve">Problem 1: </w:t>
      </w:r>
      <w:r>
        <w:t>both plans set deal days to budgets 1.5× with bids held and no reads. B4's head terms start in deal weeks (16 Oct Lightning Deal, Best Deal from 20 Oct), as Joseph's plan of attack sets them. Under the draft both count as banned.</w:t>
      </w:r>
    </w:p>
    <w:p>
      <w:r>
        <w:rPr>
          <w:b/>
        </w:rPr>
        <w:t xml:space="preserve">Problem 2: </w:t>
      </w:r>
      <w:r>
        <w:t>B4 and B6 have deals on 6–7 Oct, 16 Oct, 20–28 Oct and 19–30 Nov. Adding 14 days after each leaves no clean read before December, so the 10–14 Oct reads in both plans are void.</w:t>
      </w:r>
    </w:p>
    <w:p>
      <w:r>
        <w:rPr>
          <w:b/>
        </w:rPr>
        <w:t xml:space="preserve">Corrected wording (X14): </w:t>
      </w:r>
      <w:r>
        <w:t>"Deal-day default: budgets may rise to keep running push campaigns from capping out; bids hold; no revives, tests or grades. A launch on a deal day is a declared exception with a dollar cap, approved by Joseph per deal. Rank and conversion reads skip the deal days themselves. Sales baselines (A3) exclude deal days and the 14 days after."</w:t>
      </w:r>
    </w:p>
    <w:p>
      <w:r>
        <w:rPr>
          <w:b/>
        </w:rPr>
        <w:t xml:space="preserve">3 · 5 number: </w:t>
      </w:r>
      <w:r>
        <w:t>"Deal days excluded from reads and grades; deal days plus 14 days excluded from sales baselines."</w:t>
      </w:r>
    </w:p>
    <w:p>
      <w:pPr>
        <w:pStyle w:val="Heading2"/>
      </w:pPr>
      <w:r>
        <w:t>3. "bamboo sheets" role (Q3, B2, H3)</w:t>
      </w:r>
    </w:p>
    <w:p>
      <w:r>
        <w:rPr>
          <w:b/>
        </w:rPr>
        <w:t xml:space="preserve">Draft: </w:t>
      </w:r>
      <w:r>
        <w:t>yes, a push term; fix the placement mix, then step the price.</w:t>
      </w:r>
    </w:p>
    <w:p>
      <w:r>
        <w:rPr>
          <w:b/>
        </w:rPr>
        <w:t xml:space="preserve">Problem: </w:t>
      </w:r>
      <w:r>
        <w:t>both plans and Joseph's 1 Oct plan of attack keep it at a profit setting. B4: base $2.30, top of search +0%, rest of search +30%. B6: held at today's bid, about $1 an order. Holding #7 needs about 16 sales a day, around $480 a day.</w:t>
      </w:r>
    </w:p>
    <w:p>
      <w:r>
        <w:rPr>
          <w:b/>
        </w:rPr>
        <w:t xml:space="preserve">Corrected wording (Q3): </w:t>
      </w:r>
      <w:r>
        <w:t>"A push candidate, not yet a push term. First fix the placement mix (about half of B4's paid clicks land on product pages). Then run a staged probe once it passes the conversion gate (X13), with a dollar cap. Erik decides whether it joins the push set. Same role on B4 and B6."</w:t>
      </w:r>
    </w:p>
    <w:p>
      <w:pPr>
        <w:pStyle w:val="Heading2"/>
      </w:pPr>
      <w:r>
        <w:t>4. Keywords both listings push (Q13, B6)</w:t>
      </w:r>
    </w:p>
    <w:p>
      <w:r>
        <w:rPr>
          <w:b/>
        </w:rPr>
        <w:t xml:space="preserve">Draft: </w:t>
      </w:r>
      <w:r>
        <w:t>one owning product per root; others hold at their ceiling with no premium.</w:t>
      </w:r>
    </w:p>
    <w:p>
      <w:r>
        <w:rPr>
          <w:b/>
        </w:rPr>
        <w:t xml:space="preserve">Problem: </w:t>
      </w:r>
      <w:r>
        <w:t>B4 and B6 are separate listings with separate organic ranks, and both are set to push the same keywords. Both plans carry a table of which listing steps up first on each of the 22 shared keywords. Under the draft one of them stops.</w:t>
      </w:r>
    </w:p>
    <w:p>
      <w:r>
        <w:rPr>
          <w:b/>
        </w:rPr>
        <w:t xml:space="preserve">Corrected wording (Q13): </w:t>
      </w:r>
      <w:r>
        <w:t>"One owner per root, except sibling listings that each hold their own rank goal on the term. Those may both push, with one stepping up at a time per keyword (owner by margin per order × root conversion × days of cover) and shared negative walls."</w:t>
      </w:r>
    </w:p>
    <w:p>
      <w:pPr>
        <w:pStyle w:val="Heading2"/>
      </w:pPr>
      <w:r>
        <w:t>5. Stock cover needed to push (X11, C2, E1, E5)</w:t>
      </w:r>
    </w:p>
    <w:p>
      <w:r>
        <w:rPr>
          <w:b/>
        </w:rPr>
        <w:t xml:space="preserve">Draft: </w:t>
      </w:r>
      <w:r>
        <w:t>60 days of cover to push, 30 to hold. E5 lists "B4 Queen to Olive, Twin to Burgundy" as a fault.</w:t>
      </w:r>
    </w:p>
    <w:p>
      <w:r>
        <w:rPr>
          <w:b/>
        </w:rPr>
        <w:t xml:space="preserve">Problem: </w:t>
      </w:r>
      <w:r>
        <w:t>both plans use Erik's stock line: at least 21 days of stock 14 days into the push. At 60 days, B6's Queen compounds on Queen Olive (50 days at day 14) fail, and so does the Queen White bridge on both listings. Queen White is the serving child but is out until it lands (B4 27 Oct, B6 30 Oct cautious).</w:t>
      </w:r>
    </w:p>
    <w:p>
      <w:r>
        <w:rPr>
          <w:b/>
        </w:rPr>
        <w:t xml:space="preserve">Corrected wording (X11): </w:t>
      </w:r>
      <w:r>
        <w:t>"Push when the serving child holds 21+ days of cover 14 days into the push (Erik's stock line); hold at 14 days. When the serving child is out, an in-stock bridge colour may carry the push. It is labelled as a bridge and its conversion is read apart from the term's history."</w:t>
      </w:r>
    </w:p>
    <w:p>
      <w:r>
        <w:rPr>
          <w:b/>
        </w:rPr>
        <w:t xml:space="preserve">E5 stands for weak colours. </w:t>
      </w:r>
      <w:r>
        <w:t>Twin Burgundy (7 sold) is a fair catch, and the B4 Twin compound should be reviewed.</w:t>
      </w:r>
    </w:p>
    <w:p>
      <w:pPr>
        <w:pStyle w:val="Heading2"/>
      </w:pPr>
      <w:r>
        <w:t>6. Sample for the conversion gate (X13, C2)</w:t>
      </w:r>
    </w:p>
    <w:p>
      <w:r>
        <w:rPr>
          <w:b/>
        </w:rPr>
        <w:t xml:space="preserve">Draft: </w:t>
      </w:r>
      <w:r>
        <w:t>top-of-search conversion at least 3× the market on 15+ top-of-search clicks.</w:t>
      </w:r>
    </w:p>
    <w:p>
      <w:r>
        <w:rPr>
          <w:b/>
        </w:rPr>
        <w:t xml:space="preserve">Problem: </w:t>
      </w:r>
      <w:r>
        <w:t>at about 20% conversion, 15 clicks is about 3 orders, too few to tell 3× from 2×. Joseph's trial, agreed by Erik and used in both plans, reads the first 60 top-of-search clicks.</w:t>
      </w:r>
    </w:p>
    <w:p>
      <w:r>
        <w:rPr>
          <w:b/>
        </w:rPr>
        <w:t xml:space="preserve">Corrected wording (X13): </w:t>
      </w:r>
      <w:r>
        <w:t>"… TOS CVR at least 3× market SQP on the first 60 top-of-search clicks (the trial); under 60, the group's rate is used and the row says so."</w:t>
      </w:r>
    </w:p>
    <w:p>
      <w:pPr>
        <w:pStyle w:val="Heading2"/>
      </w:pPr>
      <w:r>
        <w:t>7. Top-of-search-only test on wave 1 (X1, Q10)</w:t>
      </w:r>
    </w:p>
    <w:p>
      <w:r>
        <w:rPr>
          <w:b/>
        </w:rPr>
        <w:t xml:space="preserve">Draft: </w:t>
      </w:r>
      <w:r>
        <w:t>the 900% test (base ÷ 10) runs on wave-1 ranking exacts, read 16 Oct.</w:t>
      </w:r>
    </w:p>
    <w:p>
      <w:r>
        <w:rPr>
          <w:b/>
        </w:rPr>
        <w:t xml:space="preserve">Problem: </w:t>
      </w:r>
      <w:r>
        <w:t>B4 Wave 1 campaigns are the push campaigns, with their own placement settings: base at the product-page ceiling, top of search at today's cost per click × 1.06. Running the test on them confounds both. 16 Oct is also a B4 Lightning Deal day.</w:t>
      </w:r>
    </w:p>
    <w:p>
      <w:r>
        <w:rPr>
          <w:b/>
        </w:rPr>
        <w:t xml:space="preserve">Corrected wording (Q10): </w:t>
      </w:r>
      <w:r>
        <w:t>"Test on ranking exacts outside the B4 and B6 push sets, read on the first clean day after 16 Oct; then set one method."</w:t>
      </w:r>
    </w:p>
    <w:p>
      <w:pPr>
        <w:pStyle w:val="Heading1"/>
      </w:pPr>
      <w:r>
        <w:t>Smaller corrections</w:t>
      </w:r>
    </w:p>
    <w:tbl>
      <w:tblPr>
        <w:tblStyle w:val="TableGrid"/>
        <w:tblW w:type="auto" w:w="0"/>
        <w:tblLayout w:type="fixed"/>
        <w:tblLook w:firstColumn="1" w:firstRow="1" w:lastColumn="0" w:lastRow="0" w:noHBand="0" w:noVBand="1" w:val="04A0"/>
      </w:tblPr>
      <w:tblGrid>
        <w:gridCol w:w="2448"/>
        <w:gridCol w:w="2736"/>
        <w:gridCol w:w="4752"/>
      </w:tblGrid>
      <w:tr>
        <w:tc>
          <w:tcPr>
            <w:tcW w:type="dxa" w:w="2448"/>
            <w:shd w:val="clear" w:color="auto" w:fill="E8EDF1"/>
          </w:tcPr>
          <w:p>
            <w:r/>
            <w:r>
              <w:rPr>
                <w:b/>
                <w:sz w:val="19"/>
              </w:rPr>
              <w:t>Item</w:t>
            </w:r>
          </w:p>
        </w:tc>
        <w:tc>
          <w:tcPr>
            <w:tcW w:type="dxa" w:w="2736"/>
            <w:shd w:val="clear" w:color="auto" w:fill="E8EDF1"/>
          </w:tcPr>
          <w:p>
            <w:r/>
            <w:r>
              <w:rPr>
                <w:b/>
                <w:sz w:val="19"/>
              </w:rPr>
              <w:t>Draft</w:t>
            </w:r>
          </w:p>
        </w:tc>
        <w:tc>
          <w:tcPr>
            <w:tcW w:type="dxa" w:w="4752"/>
            <w:shd w:val="clear" w:color="auto" w:fill="E8EDF1"/>
          </w:tcPr>
          <w:p>
            <w:r/>
            <w:r>
              <w:rPr>
                <w:b/>
                <w:sz w:val="19"/>
              </w:rPr>
              <w:t>Correction</w:t>
            </w:r>
          </w:p>
        </w:tc>
      </w:tr>
      <w:tr>
        <w:tc>
          <w:tcPr>
            <w:tcW w:type="dxa" w:w="2448"/>
          </w:tcPr>
          <w:p>
            <w:r/>
            <w:r>
              <w:rPr>
                <w:sz w:val="19"/>
              </w:rPr>
              <w:t>P0 scope (section 5, Read me)</w:t>
            </w:r>
          </w:p>
        </w:tc>
        <w:tc>
          <w:tcPr>
            <w:tcW w:type="dxa" w:w="2736"/>
          </w:tcPr>
          <w:p>
            <w:r/>
            <w:r>
              <w:rPr>
                <w:sz w:val="19"/>
              </w:rPr>
              <w:t>20 P0 items in six bundles before the 5 Oct runs</w:t>
            </w:r>
          </w:p>
        </w:tc>
        <w:tc>
          <w:tcPr>
            <w:tcW w:type="dxa" w:w="4752"/>
          </w:tcPr>
          <w:p>
            <w:r/>
            <w:r>
              <w:rPr>
                <w:sz w:val="19"/>
              </w:rPr>
              <w:t>Name four must-ship items for 5 Oct: F1 "not serving" fault, A1 margin (with correction 1), A6 deal calendar (with correction 2), E2 no cross-size swaps. The other 16 P0 items move to the second run.</w:t>
            </w:r>
          </w:p>
        </w:tc>
      </w:tr>
      <w:tr>
        <w:tc>
          <w:tcPr>
            <w:tcW w:type="dxa" w:w="2448"/>
          </w:tcPr>
          <w:p>
            <w:r/>
            <w:r>
              <w:rPr>
                <w:sz w:val="19"/>
              </w:rPr>
              <w:t>Delivery measure (section 1, quality bar property 4, C3)</w:t>
            </w:r>
          </w:p>
        </w:tc>
        <w:tc>
          <w:tcPr>
            <w:tcW w:type="dxa" w:w="2736"/>
          </w:tcPr>
          <w:p>
            <w:r/>
            <w:r>
              <w:rPr>
                <w:sz w:val="19"/>
              </w:rPr>
              <w:t>B4 7% and B6 2.8% of Target Setting's 1,325 and 1,802 top-of-search clicks a day</w:t>
            </w:r>
          </w:p>
        </w:tc>
        <w:tc>
          <w:tcPr>
            <w:tcW w:type="dxa" w:w="4752"/>
          </w:tcPr>
          <w:p>
            <w:r/>
            <w:r>
              <w:rPr>
                <w:sz w:val="19"/>
              </w:rPr>
              <w:t>Measure delivery against the costed push set, not Target Setting's totals. B6's push set is about 135 top-of-search clicks a day. Keep the Target Setting figures as context only.</w:t>
            </w:r>
          </w:p>
        </w:tc>
      </w:tr>
      <w:tr>
        <w:tc>
          <w:tcPr>
            <w:tcW w:type="dxa" w:w="2448"/>
          </w:tcPr>
          <w:p>
            <w:r/>
            <w:r>
              <w:rPr>
                <w:sz w:val="19"/>
              </w:rPr>
              <w:t>Q1 goal numbers (sections 8 and 9)</w:t>
            </w:r>
          </w:p>
        </w:tc>
        <w:tc>
          <w:tcPr>
            <w:tcW w:type="dxa" w:w="2736"/>
          </w:tcPr>
          <w:p>
            <w:r/>
            <w:r>
              <w:rPr>
                <w:sz w:val="19"/>
              </w:rPr>
              <w:t>"Numbers to be set with Erik's input"</w:t>
            </w:r>
          </w:p>
        </w:tc>
        <w:tc>
          <w:tcPr>
            <w:tcW w:type="dxa" w:w="4752"/>
          </w:tcPr>
          <w:p>
            <w:r/>
            <w:r>
              <w:rPr>
                <w:sz w:val="19"/>
              </w:rPr>
              <w:t>Fill from our plans. B4: ads at 16–25% of sales into Black Friday, above 20% only where a keyword earns it. B6: 12–17%, under its 25% ceiling. Both to be confirmed by Erik.</w:t>
            </w:r>
          </w:p>
        </w:tc>
      </w:tr>
      <w:tr>
        <w:tc>
          <w:tcPr>
            <w:tcW w:type="dxa" w:w="2448"/>
          </w:tcPr>
          <w:p>
            <w:r/>
            <w:r>
              <w:rPr>
                <w:sz w:val="19"/>
              </w:rPr>
              <w:t>Prime Big Deal Days date (section 9)</w:t>
            </w:r>
          </w:p>
        </w:tc>
        <w:tc>
          <w:tcPr>
            <w:tcW w:type="dxa" w:w="2736"/>
          </w:tcPr>
          <w:p>
            <w:r/>
            <w:r>
              <w:rPr>
                <w:sz w:val="19"/>
              </w:rPr>
              <w:t>"Prime Big Deal Days 7 Oct"</w:t>
            </w:r>
          </w:p>
        </w:tc>
        <w:tc>
          <w:tcPr>
            <w:tcW w:type="dxa" w:w="4752"/>
          </w:tcPr>
          <w:p>
            <w:r/>
            <w:r>
              <w:rPr>
                <w:sz w:val="19"/>
              </w:rPr>
              <w:t>6–7 Oct.</w:t>
            </w:r>
          </w:p>
        </w:tc>
      </w:tr>
      <w:tr>
        <w:tc>
          <w:tcPr>
            <w:tcW w:type="dxa" w:w="2448"/>
          </w:tcPr>
          <w:p>
            <w:r/>
            <w:r>
              <w:rPr>
                <w:sz w:val="19"/>
              </w:rPr>
              <w:t>B4 Best Deal dates (register A6)</w:t>
            </w:r>
          </w:p>
        </w:tc>
        <w:tc>
          <w:tcPr>
            <w:tcW w:type="dxa" w:w="2736"/>
          </w:tcPr>
          <w:p>
            <w:r/>
            <w:r>
              <w:rPr>
                <w:sz w:val="19"/>
              </w:rPr>
              <w:t>"22–28 Oct deals"</w:t>
            </w:r>
          </w:p>
        </w:tc>
        <w:tc>
          <w:tcPr>
            <w:tcW w:type="dxa" w:w="4752"/>
          </w:tcPr>
          <w:p>
            <w:r/>
            <w:r>
              <w:rPr>
                <w:sz w:val="19"/>
              </w:rPr>
              <w:t>20–28 Oct, as in the B4 plan.</w:t>
            </w:r>
          </w:p>
        </w:tc>
      </w:tr>
      <w:tr>
        <w:tc>
          <w:tcPr>
            <w:tcW w:type="dxa" w:w="2448"/>
          </w:tcPr>
          <w:p>
            <w:r/>
            <w:r>
              <w:rPr>
                <w:sz w:val="19"/>
              </w:rPr>
              <w:t>Reading of the 33-term check (X1, Sources)</w:t>
            </w:r>
          </w:p>
        </w:tc>
        <w:tc>
          <w:tcPr>
            <w:tcW w:type="dxa" w:w="2736"/>
          </w:tcPr>
          <w:p>
            <w:r/>
            <w:r>
              <w:rPr>
                <w:sz w:val="19"/>
              </w:rPr>
              <w:t>Used to support X1</w:t>
            </w:r>
          </w:p>
        </w:tc>
        <w:tc>
          <w:tcPr>
            <w:tcW w:type="dxa" w:w="4752"/>
          </w:tcPr>
          <w:p>
            <w:r/>
            <w:r>
              <w:rPr>
                <w:sz w:val="19"/>
              </w:rPr>
              <w:t>Keep it, with its limit stated. About 5% better rank per extra top-of-search order a day means one order a day is a floor, not a pace that takes a term from #30 to #5 by Black Friday. It is a correlation across 12 weeks with stock-outs and deals in them. It argues for fewer pushed terms with more orders each, not for ruling on its own.</w:t>
            </w:r>
          </w:p>
        </w:tc>
      </w:tr>
    </w:tbl>
    <w:p/>
    <w:p>
      <w:r>
        <w:t>The last row also bears on our own plans: B4 pushes 29 keywords against Zarlish's earlier suggestion of 15–20. Worth a team look before the first reads.</w:t>
      </w:r>
    </w:p>
    <w:p>
      <w:pPr>
        <w:pStyle w:val="Heading1"/>
      </w:pPr>
      <w:r>
        <w:t>Edit list and sign-off entries</w:t>
      </w:r>
    </w:p>
    <w:p>
      <w:r>
        <w:t>Every place in the two drafts that changes, with the sign-off we propose for the register's "Team sign-off" column. Items not listed: Agree.</w:t>
      </w:r>
    </w:p>
    <w:tbl>
      <w:tblPr>
        <w:tblStyle w:val="TableGrid"/>
        <w:tblW w:type="auto" w:w="0"/>
        <w:tblLayout w:type="fixed"/>
        <w:tblLook w:firstColumn="1" w:firstRow="1" w:lastColumn="0" w:lastRow="0" w:noHBand="0" w:noVBand="1" w:val="04A0"/>
      </w:tblPr>
      <w:tblGrid>
        <w:gridCol w:w="1584"/>
        <w:gridCol w:w="3024"/>
        <w:gridCol w:w="1152"/>
        <w:gridCol w:w="4176"/>
      </w:tblGrid>
      <w:tr>
        <w:tc>
          <w:tcPr>
            <w:tcW w:type="dxa" w:w="1584"/>
            <w:shd w:val="clear" w:color="auto" w:fill="E8EDF1"/>
          </w:tcPr>
          <w:p>
            <w:r/>
            <w:r>
              <w:rPr>
                <w:b/>
                <w:sz w:val="19"/>
              </w:rPr>
              <w:t>ID</w:t>
            </w:r>
          </w:p>
        </w:tc>
        <w:tc>
          <w:tcPr>
            <w:tcW w:type="dxa" w:w="3024"/>
            <w:shd w:val="clear" w:color="auto" w:fill="E8EDF1"/>
          </w:tcPr>
          <w:p>
            <w:r/>
            <w:r>
              <w:rPr>
                <w:b/>
                <w:sz w:val="19"/>
              </w:rPr>
              <w:t>Where</w:t>
            </w:r>
          </w:p>
        </w:tc>
        <w:tc>
          <w:tcPr>
            <w:tcW w:type="dxa" w:w="1152"/>
            <w:shd w:val="clear" w:color="auto" w:fill="E8EDF1"/>
          </w:tcPr>
          <w:p>
            <w:r/>
            <w:r>
              <w:rPr>
                <w:b/>
                <w:sz w:val="19"/>
              </w:rPr>
              <w:t>Sign-off</w:t>
            </w:r>
          </w:p>
        </w:tc>
        <w:tc>
          <w:tcPr>
            <w:tcW w:type="dxa" w:w="4176"/>
            <w:shd w:val="clear" w:color="auto" w:fill="E8EDF1"/>
          </w:tcPr>
          <w:p>
            <w:r/>
            <w:r>
              <w:rPr>
                <w:b/>
                <w:sz w:val="19"/>
              </w:rPr>
              <w:t>Edit</w:t>
            </w:r>
          </w:p>
        </w:tc>
      </w:tr>
      <w:tr>
        <w:tc>
          <w:tcPr>
            <w:tcW w:type="dxa" w:w="1584"/>
          </w:tcPr>
          <w:p>
            <w:r/>
            <w:r>
              <w:rPr>
                <w:sz w:val="19"/>
              </w:rPr>
              <w:t>A1</w:t>
            </w:r>
          </w:p>
        </w:tc>
        <w:tc>
          <w:tcPr>
            <w:tcW w:type="dxa" w:w="3024"/>
          </w:tcPr>
          <w:p>
            <w:r/>
            <w:r>
              <w:rPr>
                <w:sz w:val="19"/>
              </w:rPr>
              <w:t>Engine register</w:t>
            </w:r>
          </w:p>
        </w:tc>
        <w:tc>
          <w:tcPr>
            <w:tcW w:type="dxa" w:w="1152"/>
          </w:tcPr>
          <w:p>
            <w:r/>
            <w:r>
              <w:rPr>
                <w:sz w:val="19"/>
              </w:rPr>
              <w:t>Change</w:t>
            </w:r>
          </w:p>
        </w:tc>
        <w:tc>
          <w:tcPr>
            <w:tcW w:type="dxa" w:w="4176"/>
          </w:tcPr>
          <w:p>
            <w:r/>
            <w:r>
              <w:rPr>
                <w:sz w:val="19"/>
              </w:rPr>
              <w:t>Proposed change: margin per extra unit sold for ceilings; storage and long-term storage fees out (correction 1)</w:t>
            </w:r>
          </w:p>
        </w:tc>
      </w:tr>
      <w:tr>
        <w:tc>
          <w:tcPr>
            <w:tcW w:type="dxa" w:w="1584"/>
          </w:tcPr>
          <w:p>
            <w:r/>
            <w:r>
              <w:rPr>
                <w:sz w:val="19"/>
              </w:rPr>
              <w:t>X16</w:t>
            </w:r>
          </w:p>
        </w:tc>
        <w:tc>
          <w:tcPr>
            <w:tcW w:type="dxa" w:w="3024"/>
          </w:tcPr>
          <w:p>
            <w:r/>
            <w:r>
              <w:rPr>
                <w:sz w:val="19"/>
              </w:rPr>
              <w:t>Team conflicts; doc section 7</w:t>
            </w:r>
          </w:p>
        </w:tc>
        <w:tc>
          <w:tcPr>
            <w:tcW w:type="dxa" w:w="1152"/>
          </w:tcPr>
          <w:p>
            <w:r/>
            <w:r>
              <w:rPr>
                <w:sz w:val="19"/>
              </w:rPr>
              <w:t>Change</w:t>
            </w:r>
          </w:p>
        </w:tc>
        <w:tc>
          <w:tcPr>
            <w:tcW w:type="dxa" w:w="4176"/>
          </w:tcPr>
          <w:p>
            <w:r/>
            <w:r>
              <w:rPr>
                <w:sz w:val="19"/>
              </w:rPr>
              <w:t>Replace with the corrected X16 wording</w:t>
            </w:r>
          </w:p>
        </w:tc>
      </w:tr>
      <w:tr>
        <w:tc>
          <w:tcPr>
            <w:tcW w:type="dxa" w:w="1584"/>
          </w:tcPr>
          <w:p>
            <w:r/>
            <w:r>
              <w:rPr>
                <w:sz w:val="19"/>
              </w:rPr>
              <w:t>P0 bundle 2</w:t>
            </w:r>
          </w:p>
        </w:tc>
        <w:tc>
          <w:tcPr>
            <w:tcW w:type="dxa" w:w="3024"/>
          </w:tcPr>
          <w:p>
            <w:r/>
            <w:r>
              <w:rPr>
                <w:sz w:val="19"/>
              </w:rPr>
              <w:t>Doc section 5</w:t>
            </w:r>
          </w:p>
        </w:tc>
        <w:tc>
          <w:tcPr>
            <w:tcW w:type="dxa" w:w="1152"/>
          </w:tcPr>
          <w:p>
            <w:r/>
            <w:r>
              <w:rPr>
                <w:sz w:val="19"/>
              </w:rPr>
              <w:t>Change</w:t>
            </w:r>
          </w:p>
        </w:tc>
        <w:tc>
          <w:tcPr>
            <w:tcW w:type="dxa" w:w="4176"/>
          </w:tcPr>
          <w:p>
            <w:r/>
            <w:r>
              <w:rPr>
                <w:sz w:val="19"/>
              </w:rPr>
              <w:t>Acceptance check names the agreed per-child figure, not Sellerboard alone</w:t>
            </w:r>
          </w:p>
        </w:tc>
      </w:tr>
      <w:tr>
        <w:tc>
          <w:tcPr>
            <w:tcW w:type="dxa" w:w="1584"/>
          </w:tcPr>
          <w:p>
            <w:r/>
            <w:r>
              <w:rPr>
                <w:sz w:val="19"/>
              </w:rPr>
              <w:t>X14</w:t>
            </w:r>
          </w:p>
        </w:tc>
        <w:tc>
          <w:tcPr>
            <w:tcW w:type="dxa" w:w="3024"/>
          </w:tcPr>
          <w:p>
            <w:r/>
            <w:r>
              <w:rPr>
                <w:sz w:val="19"/>
              </w:rPr>
              <w:t>Team conflicts; doc section 7; 7a Check A</w:t>
            </w:r>
          </w:p>
        </w:tc>
        <w:tc>
          <w:tcPr>
            <w:tcW w:type="dxa" w:w="1152"/>
          </w:tcPr>
          <w:p>
            <w:r/>
            <w:r>
              <w:rPr>
                <w:sz w:val="19"/>
              </w:rPr>
              <w:t>Change</w:t>
            </w:r>
          </w:p>
        </w:tc>
        <w:tc>
          <w:tcPr>
            <w:tcW w:type="dxa" w:w="4176"/>
          </w:tcPr>
          <w:p>
            <w:r/>
            <w:r>
              <w:rPr>
                <w:sz w:val="19"/>
              </w:rPr>
              <w:t>Replace with the corrected X14 wording (correction 2)</w:t>
            </w:r>
          </w:p>
        </w:tc>
      </w:tr>
      <w:tr>
        <w:tc>
          <w:tcPr>
            <w:tcW w:type="dxa" w:w="1584"/>
          </w:tcPr>
          <w:p>
            <w:r/>
            <w:r>
              <w:rPr>
                <w:sz w:val="19"/>
              </w:rPr>
              <w:t>3 · 5</w:t>
            </w:r>
          </w:p>
        </w:tc>
        <w:tc>
          <w:tcPr>
            <w:tcW w:type="dxa" w:w="3024"/>
          </w:tcPr>
          <w:p>
            <w:r/>
            <w:r>
              <w:rPr>
                <w:sz w:val="19"/>
              </w:rPr>
              <w:t>Board 15 answers; doc section 8</w:t>
            </w:r>
          </w:p>
        </w:tc>
        <w:tc>
          <w:tcPr>
            <w:tcW w:type="dxa" w:w="1152"/>
          </w:tcPr>
          <w:p>
            <w:r/>
            <w:r>
              <w:rPr>
                <w:sz w:val="19"/>
              </w:rPr>
              <w:t>Change</w:t>
            </w:r>
          </w:p>
        </w:tc>
        <w:tc>
          <w:tcPr>
            <w:tcW w:type="dxa" w:w="4176"/>
          </w:tcPr>
          <w:p>
            <w:r/>
            <w:r>
              <w:rPr>
                <w:sz w:val="19"/>
              </w:rPr>
              <w:t>Deal days out of reads and grades; deal days + 14 out of sales baselines only</w:t>
            </w:r>
          </w:p>
        </w:tc>
      </w:tr>
      <w:tr>
        <w:tc>
          <w:tcPr>
            <w:tcW w:type="dxa" w:w="1584"/>
          </w:tcPr>
          <w:p>
            <w:r/>
            <w:r>
              <w:rPr>
                <w:sz w:val="19"/>
              </w:rPr>
              <w:t>A6</w:t>
            </w:r>
          </w:p>
        </w:tc>
        <w:tc>
          <w:tcPr>
            <w:tcW w:type="dxa" w:w="3024"/>
          </w:tcPr>
          <w:p>
            <w:r/>
            <w:r>
              <w:rPr>
                <w:sz w:val="19"/>
              </w:rPr>
              <w:t>Engine register</w:t>
            </w:r>
          </w:p>
        </w:tc>
        <w:tc>
          <w:tcPr>
            <w:tcW w:type="dxa" w:w="1152"/>
          </w:tcPr>
          <w:p>
            <w:r/>
            <w:r>
              <w:rPr>
                <w:sz w:val="19"/>
              </w:rPr>
              <w:t>Change</w:t>
            </w:r>
          </w:p>
        </w:tc>
        <w:tc>
          <w:tcPr>
            <w:tcW w:type="dxa" w:w="4176"/>
          </w:tcPr>
          <w:p>
            <w:r/>
            <w:r>
              <w:rPr>
                <w:sz w:val="19"/>
              </w:rPr>
              <w:t>Same split as 3 · 5; acceptance check reads "20–28 Oct"</w:t>
            </w:r>
          </w:p>
        </w:tc>
      </w:tr>
      <w:tr>
        <w:tc>
          <w:tcPr>
            <w:tcW w:type="dxa" w:w="1584"/>
          </w:tcPr>
          <w:p>
            <w:r/>
            <w:r>
              <w:rPr>
                <w:sz w:val="19"/>
              </w:rPr>
              <w:t>Q3</w:t>
            </w:r>
          </w:p>
        </w:tc>
        <w:tc>
          <w:tcPr>
            <w:tcW w:type="dxa" w:w="3024"/>
          </w:tcPr>
          <w:p>
            <w:r/>
            <w:r>
              <w:rPr>
                <w:sz w:val="19"/>
              </w:rPr>
              <w:t>Decisions; doc sections 8 and 9</w:t>
            </w:r>
          </w:p>
        </w:tc>
        <w:tc>
          <w:tcPr>
            <w:tcW w:type="dxa" w:w="1152"/>
          </w:tcPr>
          <w:p>
            <w:r/>
            <w:r>
              <w:rPr>
                <w:sz w:val="19"/>
              </w:rPr>
              <w:t>Change</w:t>
            </w:r>
          </w:p>
        </w:tc>
        <w:tc>
          <w:tcPr>
            <w:tcW w:type="dxa" w:w="4176"/>
          </w:tcPr>
          <w:p>
            <w:r/>
            <w:r>
              <w:rPr>
                <w:sz w:val="19"/>
              </w:rPr>
              <w:t>Push candidate with a staged probe; Erik decides (correction 3)</w:t>
            </w:r>
          </w:p>
        </w:tc>
      </w:tr>
      <w:tr>
        <w:tc>
          <w:tcPr>
            <w:tcW w:type="dxa" w:w="1584"/>
          </w:tcPr>
          <w:p>
            <w:r/>
            <w:r>
              <w:rPr>
                <w:sz w:val="19"/>
              </w:rPr>
              <w:t>Q13, B6</w:t>
            </w:r>
          </w:p>
        </w:tc>
        <w:tc>
          <w:tcPr>
            <w:tcW w:type="dxa" w:w="3024"/>
          </w:tcPr>
          <w:p>
            <w:r/>
            <w:r>
              <w:rPr>
                <w:sz w:val="19"/>
              </w:rPr>
              <w:t>Decisions; engine register; doc section 6</w:t>
            </w:r>
          </w:p>
        </w:tc>
        <w:tc>
          <w:tcPr>
            <w:tcW w:type="dxa" w:w="1152"/>
          </w:tcPr>
          <w:p>
            <w:r/>
            <w:r>
              <w:rPr>
                <w:sz w:val="19"/>
              </w:rPr>
              <w:t>Change</w:t>
            </w:r>
          </w:p>
        </w:tc>
        <w:tc>
          <w:tcPr>
            <w:tcW w:type="dxa" w:w="4176"/>
          </w:tcPr>
          <w:p>
            <w:r/>
            <w:r>
              <w:rPr>
                <w:sz w:val="19"/>
              </w:rPr>
              <w:t>Add the sibling-listing carve-out (correction 4)</w:t>
            </w:r>
          </w:p>
        </w:tc>
      </w:tr>
      <w:tr>
        <w:tc>
          <w:tcPr>
            <w:tcW w:type="dxa" w:w="1584"/>
          </w:tcPr>
          <w:p>
            <w:r/>
            <w:r>
              <w:rPr>
                <w:sz w:val="19"/>
              </w:rPr>
              <w:t>X11, C2, E1</w:t>
            </w:r>
          </w:p>
        </w:tc>
        <w:tc>
          <w:tcPr>
            <w:tcW w:type="dxa" w:w="3024"/>
          </w:tcPr>
          <w:p>
            <w:r/>
            <w:r>
              <w:rPr>
                <w:sz w:val="19"/>
              </w:rPr>
              <w:t>Team conflicts; engine register; doc sections 6 and 7</w:t>
            </w:r>
          </w:p>
        </w:tc>
        <w:tc>
          <w:tcPr>
            <w:tcW w:type="dxa" w:w="1152"/>
          </w:tcPr>
          <w:p>
            <w:r/>
            <w:r>
              <w:rPr>
                <w:sz w:val="19"/>
              </w:rPr>
              <w:t>Change</w:t>
            </w:r>
          </w:p>
        </w:tc>
        <w:tc>
          <w:tcPr>
            <w:tcW w:type="dxa" w:w="4176"/>
          </w:tcPr>
          <w:p>
            <w:r/>
            <w:r>
              <w:rPr>
                <w:sz w:val="19"/>
              </w:rPr>
              <w:t>21 days at day 14 to push; bridge colour allowed and read apart (correction 5)</w:t>
            </w:r>
          </w:p>
        </w:tc>
      </w:tr>
      <w:tr>
        <w:tc>
          <w:tcPr>
            <w:tcW w:type="dxa" w:w="1584"/>
          </w:tcPr>
          <w:p>
            <w:r/>
            <w:r>
              <w:rPr>
                <w:sz w:val="19"/>
              </w:rPr>
              <w:t>E5</w:t>
            </w:r>
          </w:p>
        </w:tc>
        <w:tc>
          <w:tcPr>
            <w:tcW w:type="dxa" w:w="3024"/>
          </w:tcPr>
          <w:p>
            <w:r/>
            <w:r>
              <w:rPr>
                <w:sz w:val="19"/>
              </w:rPr>
              <w:t>Engine register</w:t>
            </w:r>
          </w:p>
        </w:tc>
        <w:tc>
          <w:tcPr>
            <w:tcW w:type="dxa" w:w="1152"/>
          </w:tcPr>
          <w:p>
            <w:r/>
            <w:r>
              <w:rPr>
                <w:sz w:val="19"/>
              </w:rPr>
              <w:t>Agree</w:t>
            </w:r>
          </w:p>
        </w:tc>
        <w:tc>
          <w:tcPr>
            <w:tcW w:type="dxa" w:w="4176"/>
          </w:tcPr>
          <w:p>
            <w:r/>
            <w:r>
              <w:rPr>
                <w:sz w:val="19"/>
              </w:rPr>
              <w:t>Keep; the Twin Burgundy example stands</w:t>
            </w:r>
          </w:p>
        </w:tc>
      </w:tr>
      <w:tr>
        <w:tc>
          <w:tcPr>
            <w:tcW w:type="dxa" w:w="1584"/>
          </w:tcPr>
          <w:p>
            <w:r/>
            <w:r>
              <w:rPr>
                <w:sz w:val="19"/>
              </w:rPr>
              <w:t>X13, C2</w:t>
            </w:r>
          </w:p>
        </w:tc>
        <w:tc>
          <w:tcPr>
            <w:tcW w:type="dxa" w:w="3024"/>
          </w:tcPr>
          <w:p>
            <w:r/>
            <w:r>
              <w:rPr>
                <w:sz w:val="19"/>
              </w:rPr>
              <w:t>Team conflicts; engine register; doc section 7</w:t>
            </w:r>
          </w:p>
        </w:tc>
        <w:tc>
          <w:tcPr>
            <w:tcW w:type="dxa" w:w="1152"/>
          </w:tcPr>
          <w:p>
            <w:r/>
            <w:r>
              <w:rPr>
                <w:sz w:val="19"/>
              </w:rPr>
              <w:t>Change</w:t>
            </w:r>
          </w:p>
        </w:tc>
        <w:tc>
          <w:tcPr>
            <w:tcW w:type="dxa" w:w="4176"/>
          </w:tcPr>
          <w:p>
            <w:r/>
            <w:r>
              <w:rPr>
                <w:sz w:val="19"/>
              </w:rPr>
              <w:t>60-click trial instead of 15 clicks (correction 6)</w:t>
            </w:r>
          </w:p>
        </w:tc>
      </w:tr>
      <w:tr>
        <w:tc>
          <w:tcPr>
            <w:tcW w:type="dxa" w:w="1584"/>
          </w:tcPr>
          <w:p>
            <w:r/>
            <w:r>
              <w:rPr>
                <w:sz w:val="19"/>
              </w:rPr>
              <w:t>X1, Q10</w:t>
            </w:r>
          </w:p>
        </w:tc>
        <w:tc>
          <w:tcPr>
            <w:tcW w:type="dxa" w:w="3024"/>
          </w:tcPr>
          <w:p>
            <w:r/>
            <w:r>
              <w:rPr>
                <w:sz w:val="19"/>
              </w:rPr>
              <w:t>Team conflicts; doc sections 7, 8 and 9</w:t>
            </w:r>
          </w:p>
        </w:tc>
        <w:tc>
          <w:tcPr>
            <w:tcW w:type="dxa" w:w="1152"/>
          </w:tcPr>
          <w:p>
            <w:r/>
            <w:r>
              <w:rPr>
                <w:sz w:val="19"/>
              </w:rPr>
              <w:t>Change</w:t>
            </w:r>
          </w:p>
        </w:tc>
        <w:tc>
          <w:tcPr>
            <w:tcW w:type="dxa" w:w="4176"/>
          </w:tcPr>
          <w:p>
            <w:r/>
            <w:r>
              <w:rPr>
                <w:sz w:val="19"/>
              </w:rPr>
              <w:t>Test outside the B4 and B6 push sets, read on the first clean day after 16 Oct (correction 7)</w:t>
            </w:r>
          </w:p>
        </w:tc>
      </w:tr>
      <w:tr>
        <w:tc>
          <w:tcPr>
            <w:tcW w:type="dxa" w:w="1584"/>
          </w:tcPr>
          <w:p>
            <w:r/>
            <w:r>
              <w:rPr>
                <w:sz w:val="19"/>
              </w:rPr>
              <w:t>P0 list</w:t>
            </w:r>
          </w:p>
        </w:tc>
        <w:tc>
          <w:tcPr>
            <w:tcW w:type="dxa" w:w="3024"/>
          </w:tcPr>
          <w:p>
            <w:r/>
            <w:r>
              <w:rPr>
                <w:sz w:val="19"/>
              </w:rPr>
              <w:t>Doc section 5; Read me</w:t>
            </w:r>
          </w:p>
        </w:tc>
        <w:tc>
          <w:tcPr>
            <w:tcW w:type="dxa" w:w="1152"/>
          </w:tcPr>
          <w:p>
            <w:r/>
            <w:r>
              <w:rPr>
                <w:sz w:val="19"/>
              </w:rPr>
              <w:t>Change</w:t>
            </w:r>
          </w:p>
        </w:tc>
        <w:tc>
          <w:tcPr>
            <w:tcW w:type="dxa" w:w="4176"/>
          </w:tcPr>
          <w:p>
            <w:r/>
            <w:r>
              <w:rPr>
                <w:sz w:val="19"/>
              </w:rPr>
              <w:t>Four must-ship items for 5 Oct; the other 16 move to the second run</w:t>
            </w:r>
          </w:p>
        </w:tc>
      </w:tr>
      <w:tr>
        <w:tc>
          <w:tcPr>
            <w:tcW w:type="dxa" w:w="1584"/>
          </w:tcPr>
          <w:p>
            <w:r/>
            <w:r>
              <w:rPr>
                <w:sz w:val="19"/>
              </w:rPr>
              <w:t>Delivery measure</w:t>
            </w:r>
          </w:p>
        </w:tc>
        <w:tc>
          <w:tcPr>
            <w:tcW w:type="dxa" w:w="3024"/>
          </w:tcPr>
          <w:p>
            <w:r/>
            <w:r>
              <w:rPr>
                <w:sz w:val="19"/>
              </w:rPr>
              <w:t>Doc section 1; section 2 property 4; C3</w:t>
            </w:r>
          </w:p>
        </w:tc>
        <w:tc>
          <w:tcPr>
            <w:tcW w:type="dxa" w:w="1152"/>
          </w:tcPr>
          <w:p>
            <w:r/>
            <w:r>
              <w:rPr>
                <w:sz w:val="19"/>
              </w:rPr>
              <w:t>Change</w:t>
            </w:r>
          </w:p>
        </w:tc>
        <w:tc>
          <w:tcPr>
            <w:tcW w:type="dxa" w:w="4176"/>
          </w:tcPr>
          <w:p>
            <w:r/>
            <w:r>
              <w:rPr>
                <w:sz w:val="19"/>
              </w:rPr>
              <w:t>Measure against the costed push set</w:t>
            </w:r>
          </w:p>
        </w:tc>
      </w:tr>
      <w:tr>
        <w:tc>
          <w:tcPr>
            <w:tcW w:type="dxa" w:w="1584"/>
          </w:tcPr>
          <w:p>
            <w:r/>
            <w:r>
              <w:rPr>
                <w:sz w:val="19"/>
              </w:rPr>
              <w:t>Q1</w:t>
            </w:r>
          </w:p>
        </w:tc>
        <w:tc>
          <w:tcPr>
            <w:tcW w:type="dxa" w:w="3024"/>
          </w:tcPr>
          <w:p>
            <w:r/>
            <w:r>
              <w:rPr>
                <w:sz w:val="19"/>
              </w:rPr>
              <w:t>Decisions; doc sections 8 and 9</w:t>
            </w:r>
          </w:p>
        </w:tc>
        <w:tc>
          <w:tcPr>
            <w:tcW w:type="dxa" w:w="1152"/>
          </w:tcPr>
          <w:p>
            <w:r/>
            <w:r>
              <w:rPr>
                <w:sz w:val="19"/>
              </w:rPr>
              <w:t>Change</w:t>
            </w:r>
          </w:p>
        </w:tc>
        <w:tc>
          <w:tcPr>
            <w:tcW w:type="dxa" w:w="4176"/>
          </w:tcPr>
          <w:p>
            <w:r/>
            <w:r>
              <w:rPr>
                <w:sz w:val="19"/>
              </w:rPr>
              <w:t>Add B4 16–25% and B6 12–17%, Erik to confirm</w:t>
            </w:r>
          </w:p>
        </w:tc>
      </w:tr>
      <w:tr>
        <w:tc>
          <w:tcPr>
            <w:tcW w:type="dxa" w:w="1584"/>
          </w:tcPr>
          <w:p>
            <w:r/>
            <w:r>
              <w:rPr>
                <w:sz w:val="19"/>
              </w:rPr>
              <w:t>Section 9 date</w:t>
            </w:r>
          </w:p>
        </w:tc>
        <w:tc>
          <w:tcPr>
            <w:tcW w:type="dxa" w:w="3024"/>
          </w:tcPr>
          <w:p>
            <w:r/>
            <w:r>
              <w:rPr>
                <w:sz w:val="19"/>
              </w:rPr>
              <w:t>Doc section 9</w:t>
            </w:r>
          </w:p>
        </w:tc>
        <w:tc>
          <w:tcPr>
            <w:tcW w:type="dxa" w:w="1152"/>
          </w:tcPr>
          <w:p>
            <w:r/>
            <w:r>
              <w:rPr>
                <w:sz w:val="19"/>
              </w:rPr>
              <w:t>Change</w:t>
            </w:r>
          </w:p>
        </w:tc>
        <w:tc>
          <w:tcPr>
            <w:tcW w:type="dxa" w:w="4176"/>
          </w:tcPr>
          <w:p>
            <w:r/>
            <w:r>
              <w:rPr>
                <w:sz w:val="19"/>
              </w:rPr>
              <w:t>Prime Big Deal Days 6–7 Oct</w:t>
            </w:r>
          </w:p>
        </w:tc>
      </w:tr>
      <w:tr>
        <w:tc>
          <w:tcPr>
            <w:tcW w:type="dxa" w:w="1584"/>
          </w:tcPr>
          <w:p>
            <w:r/>
            <w:r>
              <w:rPr>
                <w:sz w:val="19"/>
              </w:rPr>
              <w:t>33-term check</w:t>
            </w:r>
          </w:p>
        </w:tc>
        <w:tc>
          <w:tcPr>
            <w:tcW w:type="dxa" w:w="3024"/>
          </w:tcPr>
          <w:p>
            <w:r/>
            <w:r>
              <w:rPr>
                <w:sz w:val="19"/>
              </w:rPr>
              <w:t>Sources; X1</w:t>
            </w:r>
          </w:p>
        </w:tc>
        <w:tc>
          <w:tcPr>
            <w:tcW w:type="dxa" w:w="1152"/>
          </w:tcPr>
          <w:p>
            <w:r/>
            <w:r>
              <w:rPr>
                <w:sz w:val="19"/>
              </w:rPr>
              <w:t>Change</w:t>
            </w:r>
          </w:p>
        </w:tc>
        <w:tc>
          <w:tcPr>
            <w:tcW w:type="dxa" w:w="4176"/>
          </w:tcPr>
          <w:p>
            <w:r/>
            <w:r>
              <w:rPr>
                <w:sz w:val="19"/>
              </w:rPr>
              <w:t>State the limit: a floor, a correlation, not a ruling</w:t>
            </w:r>
          </w:p>
        </w:tc>
      </w:tr>
      <w:tr>
        <w:tc>
          <w:tcPr>
            <w:tcW w:type="dxa" w:w="1584"/>
          </w:tcPr>
          <w:p>
            <w:r/>
            <w:r>
              <w:rPr>
                <w:sz w:val="19"/>
              </w:rPr>
              <w:t>All other IDs</w:t>
            </w:r>
          </w:p>
        </w:tc>
        <w:tc>
          <w:tcPr>
            <w:tcW w:type="dxa" w:w="3024"/>
          </w:tcPr>
          <w:p>
            <w:r/>
            <w:r>
              <w:rPr>
                <w:sz w:val="19"/>
              </w:rPr>
              <w:t>Both drafts</w:t>
            </w:r>
          </w:p>
        </w:tc>
        <w:tc>
          <w:tcPr>
            <w:tcW w:type="dxa" w:w="1152"/>
          </w:tcPr>
          <w:p>
            <w:r/>
            <w:r>
              <w:rPr>
                <w:sz w:val="19"/>
              </w:rPr>
              <w:t>Agree</w:t>
            </w:r>
          </w:p>
        </w:tc>
        <w:tc>
          <w:tcPr>
            <w:tcW w:type="dxa" w:w="4176"/>
          </w:tcPr>
          <w:p>
            <w:r/>
            <w:r>
              <w:rPr>
                <w:sz w:val="19"/>
              </w:rPr>
              <w:t>No change</w:t>
            </w:r>
          </w:p>
        </w:tc>
      </w:tr>
    </w:tbl>
    <w:p/>
    <w:p>
      <w:pPr>
        <w:pStyle w:val="Heading1"/>
      </w:pPr>
      <w:r>
        <w:t>Decisions needed before sending</w:t>
      </w:r>
    </w:p>
    <w:p>
      <w:r>
        <w:t>The drafts go to Joseph once corrections 1–5 are agreed inside the team; 6 and 7 can be settled in the same pass.</w:t>
      </w:r>
    </w:p>
    <w:tbl>
      <w:tblPr>
        <w:tblStyle w:val="TableGrid"/>
        <w:tblW w:type="auto" w:w="0"/>
        <w:tblLayout w:type="fixed"/>
        <w:tblLook w:firstColumn="1" w:firstRow="1" w:lastColumn="0" w:lastRow="0" w:noHBand="0" w:noVBand="1" w:val="04A0"/>
      </w:tblPr>
      <w:tblGrid>
        <w:gridCol w:w="5472"/>
        <w:gridCol w:w="3168"/>
        <w:gridCol w:w="1296"/>
      </w:tblGrid>
      <w:tr>
        <w:tc>
          <w:tcPr>
            <w:tcW w:type="dxa" w:w="5472"/>
            <w:shd w:val="clear" w:color="auto" w:fill="E8EDF1"/>
          </w:tcPr>
          <w:p>
            <w:r/>
            <w:r>
              <w:rPr>
                <w:b/>
                <w:sz w:val="19"/>
              </w:rPr>
              <w:t>Decision</w:t>
            </w:r>
          </w:p>
        </w:tc>
        <w:tc>
          <w:tcPr>
            <w:tcW w:type="dxa" w:w="3168"/>
            <w:shd w:val="clear" w:color="auto" w:fill="E8EDF1"/>
          </w:tcPr>
          <w:p>
            <w:r/>
            <w:r>
              <w:rPr>
                <w:b/>
                <w:sz w:val="19"/>
              </w:rPr>
              <w:t>Who</w:t>
            </w:r>
          </w:p>
        </w:tc>
        <w:tc>
          <w:tcPr>
            <w:tcW w:type="dxa" w:w="1296"/>
            <w:shd w:val="clear" w:color="auto" w:fill="E8EDF1"/>
          </w:tcPr>
          <w:p>
            <w:r/>
            <w:r>
              <w:rPr>
                <w:b/>
                <w:sz w:val="19"/>
              </w:rPr>
              <w:t>By</w:t>
            </w:r>
          </w:p>
        </w:tc>
      </w:tr>
      <w:tr>
        <w:tc>
          <w:tcPr>
            <w:tcW w:type="dxa" w:w="5472"/>
          </w:tcPr>
          <w:p>
            <w:r/>
            <w:r>
              <w:rPr>
                <w:sz w:val="19"/>
              </w:rPr>
              <w:t>One margin figure per child for ceilings (correction 1)</w:t>
            </w:r>
          </w:p>
        </w:tc>
        <w:tc>
          <w:tcPr>
            <w:tcW w:type="dxa" w:w="3168"/>
          </w:tcPr>
          <w:p>
            <w:r/>
            <w:r>
              <w:rPr>
                <w:sz w:val="19"/>
              </w:rPr>
              <w:t>Joseph and Erik, team proposes</w:t>
            </w:r>
          </w:p>
        </w:tc>
        <w:tc>
          <w:tcPr>
            <w:tcW w:type="dxa" w:w="1296"/>
          </w:tcPr>
          <w:p>
            <w:r/>
            <w:r>
              <w:rPr>
                <w:sz w:val="19"/>
              </w:rPr>
              <w:t>5 Oct</w:t>
            </w:r>
          </w:p>
        </w:tc>
      </w:tr>
      <w:tr>
        <w:tc>
          <w:tcPr>
            <w:tcW w:type="dxa" w:w="5472"/>
          </w:tcPr>
          <w:p>
            <w:r/>
            <w:r>
              <w:rPr>
                <w:sz w:val="19"/>
              </w:rPr>
              <w:t>Deal-day stance and the read exclusion (correction 2)</w:t>
            </w:r>
          </w:p>
        </w:tc>
        <w:tc>
          <w:tcPr>
            <w:tcW w:type="dxa" w:w="3168"/>
          </w:tcPr>
          <w:p>
            <w:r/>
            <w:r>
              <w:rPr>
                <w:sz w:val="19"/>
              </w:rPr>
              <w:t>Team, then Joseph</w:t>
            </w:r>
          </w:p>
        </w:tc>
        <w:tc>
          <w:tcPr>
            <w:tcW w:type="dxa" w:w="1296"/>
          </w:tcPr>
          <w:p>
            <w:r/>
            <w:r>
              <w:rPr>
                <w:sz w:val="19"/>
              </w:rPr>
              <w:t>3 Oct</w:t>
            </w:r>
          </w:p>
        </w:tc>
      </w:tr>
      <w:tr>
        <w:tc>
          <w:tcPr>
            <w:tcW w:type="dxa" w:w="5472"/>
          </w:tcPr>
          <w:p>
            <w:r/>
            <w:r>
              <w:rPr>
                <w:sz w:val="19"/>
              </w:rPr>
              <w:t>"bamboo sheets" role (correction 3)</w:t>
            </w:r>
          </w:p>
        </w:tc>
        <w:tc>
          <w:tcPr>
            <w:tcW w:type="dxa" w:w="3168"/>
          </w:tcPr>
          <w:p>
            <w:r/>
            <w:r>
              <w:rPr>
                <w:sz w:val="19"/>
              </w:rPr>
              <w:t>Erik</w:t>
            </w:r>
          </w:p>
        </w:tc>
        <w:tc>
          <w:tcPr>
            <w:tcW w:type="dxa" w:w="1296"/>
          </w:tcPr>
          <w:p>
            <w:r/>
            <w:r>
              <w:rPr>
                <w:sz w:val="19"/>
              </w:rPr>
              <w:t>5 Oct</w:t>
            </w:r>
          </w:p>
        </w:tc>
      </w:tr>
      <w:tr>
        <w:tc>
          <w:tcPr>
            <w:tcW w:type="dxa" w:w="5472"/>
          </w:tcPr>
          <w:p>
            <w:r/>
            <w:r>
              <w:rPr>
                <w:sz w:val="19"/>
              </w:rPr>
              <w:t>Sibling-listing carve-out for shared keywords (correction 4)</w:t>
            </w:r>
          </w:p>
        </w:tc>
        <w:tc>
          <w:tcPr>
            <w:tcW w:type="dxa" w:w="3168"/>
          </w:tcPr>
          <w:p>
            <w:r/>
            <w:r>
              <w:rPr>
                <w:sz w:val="19"/>
              </w:rPr>
              <w:t>Team, then Joseph</w:t>
            </w:r>
          </w:p>
        </w:tc>
        <w:tc>
          <w:tcPr>
            <w:tcW w:type="dxa" w:w="1296"/>
          </w:tcPr>
          <w:p>
            <w:r/>
            <w:r>
              <w:rPr>
                <w:sz w:val="19"/>
              </w:rPr>
              <w:t>3 Oct</w:t>
            </w:r>
          </w:p>
        </w:tc>
      </w:tr>
      <w:tr>
        <w:tc>
          <w:tcPr>
            <w:tcW w:type="dxa" w:w="5472"/>
          </w:tcPr>
          <w:p>
            <w:r/>
            <w:r>
              <w:rPr>
                <w:sz w:val="19"/>
              </w:rPr>
              <w:t>Stock line to push (correction 5)</w:t>
            </w:r>
          </w:p>
        </w:tc>
        <w:tc>
          <w:tcPr>
            <w:tcW w:type="dxa" w:w="3168"/>
          </w:tcPr>
          <w:p>
            <w:r/>
            <w:r>
              <w:rPr>
                <w:sz w:val="19"/>
              </w:rPr>
              <w:t>Team, from Erik's stock line</w:t>
            </w:r>
          </w:p>
        </w:tc>
        <w:tc>
          <w:tcPr>
            <w:tcW w:type="dxa" w:w="1296"/>
          </w:tcPr>
          <w:p>
            <w:r/>
            <w:r>
              <w:rPr>
                <w:sz w:val="19"/>
              </w:rPr>
              <w:t>3 Oct</w:t>
            </w:r>
          </w:p>
        </w:tc>
      </w:tr>
      <w:tr>
        <w:tc>
          <w:tcPr>
            <w:tcW w:type="dxa" w:w="5472"/>
          </w:tcPr>
          <w:p>
            <w:r/>
            <w:r>
              <w:rPr>
                <w:sz w:val="19"/>
              </w:rPr>
              <w:t>Conversion-gate sample and the wave-1 test campaigns (corrections 6 and 7)</w:t>
            </w:r>
          </w:p>
        </w:tc>
        <w:tc>
          <w:tcPr>
            <w:tcW w:type="dxa" w:w="3168"/>
          </w:tcPr>
          <w:p>
            <w:r/>
            <w:r>
              <w:rPr>
                <w:sz w:val="19"/>
              </w:rPr>
              <w:t>Team, then Joseph</w:t>
            </w:r>
          </w:p>
        </w:tc>
        <w:tc>
          <w:tcPr>
            <w:tcW w:type="dxa" w:w="1296"/>
          </w:tcPr>
          <w:p>
            <w:r/>
            <w:r>
              <w:rPr>
                <w:sz w:val="19"/>
              </w:rPr>
              <w:t>3 Oct</w:t>
            </w:r>
          </w:p>
        </w:tc>
      </w:tr>
    </w:tbl>
    <w:p/>
    <w:p>
      <w:r>
        <w:t>☐ Zarlish and Shayan T sign off the edit list above</w:t>
      </w:r>
    </w:p>
    <w:p>
      <w:r>
        <w:t>☐ Zarlish updates the register and doc, then shares with Joseph</w:t>
      </w:r>
    </w:p>
    <w:p>
      <w:r>
        <w:t>☐ Shayan T re-runs the B4 and B6 plans on the agreed margin figure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