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B6’s own history says the same: once the clicks land, its terms reach the top 10 in a median of 5 days. What’s missing is volume at the top. Ten terms are funded for the rest of the deal within a total B6 budget of $1,300 a day; from 1 October the budget is re-evaluated. Six more wait on a listing check, a price-limit decision or the 1 October audit (Section 5.3). Fixed bidding, the base cut and the push price go in one write.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Budget set: </w:t>
      </w:r>
      <w:r>
        <w:t xml:space="preserve">for the rest of the deal (to 30 September), up to $1,300 a day of B6 ad spend in total. It is $982 a day now, at about 11% margin. The increase goes to top of search on the ranking terms in the push, about $1,060 a day (Section 5.3). From 1 October a separate audit re-evaluates the budget and sets the post-deal prices and goals, keeping margin after ads above 10%.</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on fixed bidding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 Push campaigns run on fixed bidding.</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total B6 ad spend up to $1,300 a day, with the increase going to top of search on the push terms (Section 5.3). Campaigns outside the push keep their current budgets, with no raises.</w:t>
      </w:r>
    </w:p>
    <w:p>
      <w:pPr>
        <w:pStyle w:val="ListParagraph"/>
        <w:numPr>
          <w:ilvl w:val="0"/>
          <w:numId w:val="3"/>
        </w:numPr>
        <w:spacing w:after="60"/>
      </w:pPr>
      <w:r>
        <w:rPr>
          <w:b/>
          <w:bCs/>
        </w:rPr>
        <w:t xml:space="preserve">From 1 October, set in the separate post-deal audit: </w:t>
      </w:r>
      <w:r>
        <w:t xml:space="preserve">a spend limit that keeps B6’s margin after ads above 10%. At the full price that means total ads at or under about 13.8% of sales, since B6 keeps 23.8% before ads. The same audit re-evaluates the push budget inside that limit; the push terms and the weekly tuning below carry over.</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Switch the push campaigns to fixed bidding and cut their base bids in the same write, raising the boosts so the top-of-search price holds (Section 8). Fixed bidding removes Amazon’s down-only trim on product pages. A switch without the base cut would raise product-page cost for a few days on the campaigns that already leak there.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 (the separate post-deal audit)</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terms carry on at the budget the 1 October audit sets. They must not see a gap between deal traffic ending and the push continuing.</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leaves every push campaign on down-only bidding.</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B6’s own history in the audit agrees: across 113 cases in the last year where a term reached the top 10 and held it, that took a median of 5 days, and 75% got there within 19 days once the clicks landed. The late-November dates in the audit are the operator’s targets, not the engine’s forecast.</w:t>
      </w:r>
    </w:p>
    <w:p>
      <w:pPr>
        <w:pStyle w:val="ListParagraph"/>
        <w:numPr>
          <w:ilvl w:val="0"/>
          <w:numId w:val="3"/>
        </w:numPr>
        <w:spacing w:after="60"/>
      </w:pPr>
      <w:r>
        <w:t xml:space="preserve">On most of these terms our click-through and conversion at the top already beat the market (Section 5.4), so volume at the top is the blocker. “bamboo sheets” gets 7 of the 69 top-of-search clicks a day its plan needs, and “bamboo sheets queen size” under 1 of 44. Two terms are the exception: Amazon’s search query data shows below-market click-through and conversion on “bamboo sheets king size” and “bamboo sheets king”, so they get a listing check before any push.</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A term is in the push when four things hold:</w:t>
      </w:r>
    </w:p>
    <w:p>
      <w:pPr>
        <w:pStyle w:val="ListParagraph"/>
        <w:numPr>
          <w:ilvl w:val="0"/>
          <w:numId w:val="3"/>
        </w:numPr>
        <w:spacing w:after="60"/>
      </w:pPr>
      <w:r>
        <w:t xml:space="preserve">It has real demand.</w:t>
      </w:r>
    </w:p>
    <w:p>
      <w:pPr>
        <w:pStyle w:val="ListParagraph"/>
        <w:numPr>
          <w:ilvl w:val="0"/>
          <w:numId w:val="3"/>
        </w:numPr>
        <w:spacing w:after="60"/>
      </w:pPr>
      <w:r>
        <w:t xml:space="preserve">It converts above the market: at the top, or overall where it has barely been shown there.</w:t>
      </w:r>
    </w:p>
    <w:p>
      <w:pPr>
        <w:pStyle w:val="ListParagraph"/>
        <w:numPr>
          <w:ilvl w:val="0"/>
          <w:numId w:val="3"/>
        </w:numPr>
        <w:spacing w:after="60"/>
      </w:pPr>
      <w:r>
        <w:t xml:space="preserve">White is in stock.</w:t>
      </w:r>
    </w:p>
    <w:p>
      <w:pPr>
        <w:pStyle w:val="ListParagraph"/>
        <w:numPr>
          <w:ilvl w:val="0"/>
          <w:numId w:val="3"/>
        </w:numPr>
        <w:spacing w:after="60"/>
      </w:pPr>
      <w:r>
        <w:t xml:space="preserve">It is within reach: we, or True Bamboo, rank inside about 30 places.</w:t>
      </w:r>
    </w:p>
    <w:p>
      <w:pPr>
        <w:spacing w:after="100"/>
      </w:pPr>
      <w:r>
        <w:t xml:space="preserve">Sixteen terms pass. Ten are funded for the rest of the deal within the $1,300 budget. The other six wait for a stated reason. Each funded term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200"/>
        <w:gridCol w:w="900"/>
        <w:gridCol w:w="800"/>
        <w:gridCol w:w="1300"/>
        <w:gridCol w:w="1000"/>
        <w:gridCol w:w="1572"/>
      </w:tblGrid>
      <w:tr>
        <w:trPr>
          <w:tblHeader/>
        </w:trPr>
        <w:tc>
          <w:tcPr>
            <w:tcW w:type="dxa" w:w="22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Orders a day</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Price this week (ceiling)</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Top slot costs now</w:t>
            </w:r>
          </w:p>
        </w:tc>
        <w:tc>
          <w:tcPr>
            <w:tcW w:type="dxa" w:w="15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Funded now</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w:t>
            </w:r>
          </w:p>
        </w:tc>
        <w:tc>
          <w:tcPr>
            <w:tcW w:type="dxa" w:w="1000"/>
            <w:shd w:fill="F2F5F9" w:color="auto" w:val="clear"/>
            <w:tcMar>
              <w:top w:type="dxa" w:w="40"/>
              <w:left w:type="dxa" w:w="70"/>
              <w:bottom w:type="dxa" w:w="40"/>
              <w:right w:type="dxa" w:w="70"/>
            </w:tcMar>
          </w:tcPr>
          <w:p>
            <w:pPr>
              <w:spacing w:after="0"/>
            </w:pPr>
            <w:r>
              <w:rPr>
                <w:sz w:val="17"/>
                <w:szCs w:val="17"/>
              </w:rPr>
              <w:t xml:space="preserve">29 → 9</w:t>
            </w:r>
          </w:p>
        </w:tc>
        <w:tc>
          <w:tcPr>
            <w:tcW w:type="dxa" w:w="1200"/>
            <w:shd w:fill="F2F5F9" w:color="auto" w:val="clear"/>
            <w:tcMar>
              <w:top w:type="dxa" w:w="40"/>
              <w:left w:type="dxa" w:w="70"/>
              <w:bottom w:type="dxa" w:w="40"/>
              <w:right w:type="dxa" w:w="70"/>
            </w:tcMar>
          </w:tcPr>
          <w:p>
            <w:pPr>
              <w:spacing w:after="0"/>
            </w:pPr>
            <w:r>
              <w:rPr>
                <w:sz w:val="17"/>
                <w:szCs w:val="17"/>
              </w:rPr>
              <w:t xml:space="preserve">69 · 7</w:t>
            </w:r>
          </w:p>
        </w:tc>
        <w:tc>
          <w:tcPr>
            <w:tcW w:type="dxa" w:w="900"/>
            <w:shd w:fill="F2F5F9" w:color="auto" w:val="clear"/>
            <w:tcMar>
              <w:top w:type="dxa" w:w="40"/>
              <w:left w:type="dxa" w:w="70"/>
              <w:bottom w:type="dxa" w:w="40"/>
              <w:right w:type="dxa" w:w="70"/>
            </w:tcMar>
          </w:tcPr>
          <w:p>
            <w:pPr>
              <w:spacing w:after="0"/>
            </w:pPr>
            <w:r>
              <w:rPr>
                <w:sz w:val="17"/>
                <w:szCs w:val="17"/>
              </w:rPr>
              <w:t xml:space="preserve">19.3%</w:t>
            </w:r>
          </w:p>
        </w:tc>
        <w:tc>
          <w:tcPr>
            <w:tcW w:type="dxa" w:w="800"/>
            <w:shd w:fill="F2F5F9" w:color="auto" w:val="clear"/>
            <w:tcMar>
              <w:top w:type="dxa" w:w="40"/>
              <w:left w:type="dxa" w:w="70"/>
              <w:bottom w:type="dxa" w:w="40"/>
              <w:right w:type="dxa" w:w="70"/>
            </w:tcMar>
          </w:tcPr>
          <w:p>
            <w:pPr>
              <w:spacing w:after="0"/>
            </w:pPr>
            <w:r>
              <w:rPr>
                <w:sz w:val="17"/>
                <w:szCs w:val="17"/>
              </w:rPr>
              <w:t xml:space="preserve">13.3</w:t>
            </w:r>
          </w:p>
        </w:tc>
        <w:tc>
          <w:tcPr>
            <w:tcW w:type="dxa" w:w="1300"/>
            <w:shd w:fill="F2F5F9" w:color="auto" w:val="clear"/>
            <w:tcMar>
              <w:top w:type="dxa" w:w="40"/>
              <w:left w:type="dxa" w:w="70"/>
              <w:bottom w:type="dxa" w:w="40"/>
              <w:right w:type="dxa" w:w="70"/>
            </w:tcMar>
          </w:tcPr>
          <w:p>
            <w:pPr>
              <w:spacing w:after="0"/>
            </w:pPr>
            <w:r>
              <w:rPr>
                <w:sz w:val="17"/>
                <w:szCs w:val="17"/>
              </w:rPr>
              <w:t xml:space="preserve">$6.16 ($6.16)</w:t>
            </w:r>
          </w:p>
        </w:tc>
        <w:tc>
          <w:tcPr>
            <w:tcW w:type="dxa" w:w="1000"/>
            <w:shd w:fill="F2F5F9" w:color="auto" w:val="clear"/>
            <w:tcMar>
              <w:top w:type="dxa" w:w="40"/>
              <w:left w:type="dxa" w:w="70"/>
              <w:bottom w:type="dxa" w:w="40"/>
              <w:right w:type="dxa" w:w="70"/>
            </w:tcMar>
          </w:tcPr>
          <w:p>
            <w:pPr>
              <w:spacing w:after="0"/>
            </w:pPr>
            <w:r>
              <w:rPr>
                <w:sz w:val="17"/>
                <w:szCs w:val="17"/>
              </w:rPr>
              <w:t xml:space="preserve">$5.67</w:t>
            </w:r>
          </w:p>
        </w:tc>
        <w:tc>
          <w:tcPr>
            <w:tcW w:type="dxa" w:w="1572"/>
            <w:shd w:fill="F2F5F9" w:color="auto" w:val="clear"/>
            <w:tcMar>
              <w:top w:type="dxa" w:w="40"/>
              <w:left w:type="dxa" w:w="70"/>
              <w:bottom w:type="dxa" w:w="40"/>
              <w:right w:type="dxa" w:w="70"/>
            </w:tcMar>
          </w:tcPr>
          <w:p>
            <w:pPr>
              <w:spacing w:after="0"/>
            </w:pPr>
            <w:r>
              <w:rPr>
                <w:sz w:val="17"/>
                <w:szCs w:val="17"/>
              </w:rPr>
              <w:t xml:space="preserve">$425</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queen size</w:t>
            </w:r>
          </w:p>
        </w:tc>
        <w:tc>
          <w:tcPr>
            <w:tcW w:type="dxa" w:w="1000"/>
            <w:shd w:fill="FFFFFF" w:color="auto" w:val="clear"/>
            <w:tcMar>
              <w:top w:type="dxa" w:w="40"/>
              <w:left w:type="dxa" w:w="70"/>
              <w:bottom w:type="dxa" w:w="40"/>
              <w:right w:type="dxa" w:w="70"/>
            </w:tcMar>
          </w:tcPr>
          <w:p>
            <w:pPr>
              <w:spacing w:after="0"/>
            </w:pPr>
            <w:r>
              <w:rPr>
                <w:sz w:val="17"/>
                <w:szCs w:val="17"/>
              </w:rPr>
              <w:t xml:space="preserve">21 → 5</w:t>
            </w:r>
          </w:p>
        </w:tc>
        <w:tc>
          <w:tcPr>
            <w:tcW w:type="dxa" w:w="1200"/>
            <w:shd w:fill="FFFFFF" w:color="auto" w:val="clear"/>
            <w:tcMar>
              <w:top w:type="dxa" w:w="40"/>
              <w:left w:type="dxa" w:w="70"/>
              <w:bottom w:type="dxa" w:w="40"/>
              <w:right w:type="dxa" w:w="70"/>
            </w:tcMar>
          </w:tcPr>
          <w:p>
            <w:pPr>
              <w:spacing w:after="0"/>
            </w:pPr>
            <w:r>
              <w:rPr>
                <w:sz w:val="17"/>
                <w:szCs w:val="17"/>
              </w:rPr>
              <w:t xml:space="preserve">44 · 0.8</w:t>
            </w:r>
          </w:p>
        </w:tc>
        <w:tc>
          <w:tcPr>
            <w:tcW w:type="dxa" w:w="900"/>
            <w:shd w:fill="FFFFFF" w:color="auto" w:val="clear"/>
            <w:tcMar>
              <w:top w:type="dxa" w:w="40"/>
              <w:left w:type="dxa" w:w="70"/>
              <w:bottom w:type="dxa" w:w="40"/>
              <w:right w:type="dxa" w:w="70"/>
            </w:tcMar>
          </w:tcPr>
          <w:p>
            <w:pPr>
              <w:spacing w:after="0"/>
            </w:pPr>
            <w:r>
              <w:rPr>
                <w:sz w:val="17"/>
                <w:szCs w:val="17"/>
              </w:rPr>
              <w:t xml:space="preserve">22.7%</w:t>
            </w:r>
          </w:p>
        </w:tc>
        <w:tc>
          <w:tcPr>
            <w:tcW w:type="dxa" w:w="800"/>
            <w:shd w:fill="FFFFFF" w:color="auto" w:val="clear"/>
            <w:tcMar>
              <w:top w:type="dxa" w:w="40"/>
              <w:left w:type="dxa" w:w="70"/>
              <w:bottom w:type="dxa" w:w="40"/>
              <w:right w:type="dxa" w:w="70"/>
            </w:tcMar>
          </w:tcPr>
          <w:p>
            <w:pPr>
              <w:spacing w:after="0"/>
            </w:pPr>
            <w:r>
              <w:rPr>
                <w:sz w:val="17"/>
                <w:szCs w:val="17"/>
              </w:rPr>
              <w:t xml:space="preserve">10.0</w:t>
            </w:r>
          </w:p>
        </w:tc>
        <w:tc>
          <w:tcPr>
            <w:tcW w:type="dxa" w:w="1300"/>
            <w:shd w:fill="FFFFFF" w:color="auto" w:val="clear"/>
            <w:tcMar>
              <w:top w:type="dxa" w:w="40"/>
              <w:left w:type="dxa" w:w="70"/>
              <w:bottom w:type="dxa" w:w="40"/>
              <w:right w:type="dxa" w:w="70"/>
            </w:tcMar>
          </w:tcPr>
          <w:p>
            <w:pPr>
              <w:spacing w:after="0"/>
            </w:pPr>
            <w:r>
              <w:rPr>
                <w:sz w:val="17"/>
                <w:szCs w:val="17"/>
              </w:rPr>
              <w:t xml:space="preserve">$7.71 ($8.86)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$339</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000"/>
            <w:shd w:fill="F2F5F9" w:color="auto" w:val="clear"/>
            <w:tcMar>
              <w:top w:type="dxa" w:w="40"/>
              <w:left w:type="dxa" w:w="70"/>
              <w:bottom w:type="dxa" w:w="40"/>
              <w:right w:type="dxa" w:w="70"/>
            </w:tcMar>
          </w:tcPr>
          <w:p>
            <w:pPr>
              <w:spacing w:after="0"/>
            </w:pPr>
            <w:r>
              <w:rPr>
                <w:sz w:val="17"/>
                <w:szCs w:val="17"/>
              </w:rPr>
              <w:t xml:space="preserve">18 → 2</w:t>
            </w:r>
          </w:p>
        </w:tc>
        <w:tc>
          <w:tcPr>
            <w:tcW w:type="dxa" w:w="1200"/>
            <w:shd w:fill="F2F5F9" w:color="auto" w:val="clear"/>
            <w:tcMar>
              <w:top w:type="dxa" w:w="40"/>
              <w:left w:type="dxa" w:w="70"/>
              <w:bottom w:type="dxa" w:w="40"/>
              <w:right w:type="dxa" w:w="70"/>
            </w:tcMar>
          </w:tcPr>
          <w:p>
            <w:pPr>
              <w:spacing w:after="0"/>
            </w:pPr>
            <w:r>
              <w:rPr>
                <w:sz w:val="17"/>
                <w:szCs w:val="17"/>
              </w:rPr>
              <w:t xml:space="preserve">22 · 0 (paused)</w:t>
            </w:r>
          </w:p>
        </w:tc>
        <w:tc>
          <w:tcPr>
            <w:tcW w:type="dxa" w:w="900"/>
            <w:shd w:fill="F2F5F9" w:color="auto" w:val="clear"/>
            <w:tcMar>
              <w:top w:type="dxa" w:w="40"/>
              <w:left w:type="dxa" w:w="70"/>
              <w:bottom w:type="dxa" w:w="40"/>
              <w:right w:type="dxa" w:w="70"/>
            </w:tcMar>
          </w:tcPr>
          <w:p>
            <w:pPr>
              <w:spacing w:after="0"/>
            </w:pPr>
            <w:r>
              <w:rPr>
                <w:sz w:val="17"/>
                <w:szCs w:val="17"/>
              </w:rPr>
              <w:t xml:space="preserve">12.5%*</w:t>
            </w:r>
          </w:p>
        </w:tc>
        <w:tc>
          <w:tcPr>
            <w:tcW w:type="dxa" w:w="800"/>
            <w:shd w:fill="F2F5F9" w:color="auto" w:val="clear"/>
            <w:tcMar>
              <w:top w:type="dxa" w:w="40"/>
              <w:left w:type="dxa" w:w="70"/>
              <w:bottom w:type="dxa" w:w="40"/>
              <w:right w:type="dxa" w:w="70"/>
            </w:tcMar>
          </w:tcPr>
          <w:p>
            <w:pPr>
              <w:spacing w:after="0"/>
            </w:pPr>
            <w:r>
              <w:rPr>
                <w:sz w:val="17"/>
                <w:szCs w:val="17"/>
              </w:rPr>
              <w:t xml:space="preserve">2.7</w:t>
            </w:r>
          </w:p>
        </w:tc>
        <w:tc>
          <w:tcPr>
            <w:tcW w:type="dxa" w:w="1300"/>
            <w:shd w:fill="F2F5F9" w:color="auto" w:val="clear"/>
            <w:tcMar>
              <w:top w:type="dxa" w:w="40"/>
              <w:left w:type="dxa" w:w="70"/>
              <w:bottom w:type="dxa" w:w="40"/>
              <w:right w:type="dxa" w:w="70"/>
            </w:tcMar>
          </w:tcPr>
          <w:p>
            <w:pPr>
              <w:spacing w:after="0"/>
            </w:pPr>
            <w:r>
              <w:rPr>
                <w:sz w:val="17"/>
                <w:szCs w:val="17"/>
              </w:rPr>
              <w:t xml:space="preserve">$5.52 ($5.52)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$121</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bed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6</w:t>
            </w:r>
          </w:p>
        </w:tc>
        <w:tc>
          <w:tcPr>
            <w:tcW w:type="dxa" w:w="1200"/>
            <w:shd w:fill="FFFFFF" w:color="auto" w:val="clear"/>
            <w:tcMar>
              <w:top w:type="dxa" w:w="40"/>
              <w:left w:type="dxa" w:w="70"/>
              <w:bottom w:type="dxa" w:w="40"/>
              <w:right w:type="dxa" w:w="70"/>
            </w:tcMar>
          </w:tcPr>
          <w:p>
            <w:pPr>
              <w:spacing w:after="0"/>
            </w:pPr>
            <w:r>
              <w:rPr>
                <w:sz w:val="17"/>
                <w:szCs w:val="17"/>
              </w:rPr>
              <w:t xml:space="preserve">7.7 · 0.9</w:t>
            </w:r>
          </w:p>
        </w:tc>
        <w:tc>
          <w:tcPr>
            <w:tcW w:type="dxa" w:w="900"/>
            <w:shd w:fill="FFFFFF" w:color="auto" w:val="clear"/>
            <w:tcMar>
              <w:top w:type="dxa" w:w="40"/>
              <w:left w:type="dxa" w:w="70"/>
              <w:bottom w:type="dxa" w:w="40"/>
              <w:right w:type="dxa" w:w="70"/>
            </w:tcMar>
          </w:tcPr>
          <w:p>
            <w:pPr>
              <w:spacing w:after="0"/>
            </w:pPr>
            <w:r>
              <w:rPr>
                <w:sz w:val="17"/>
                <w:szCs w:val="17"/>
              </w:rPr>
              <w:t xml:space="preserve">21.7%</w:t>
            </w:r>
          </w:p>
        </w:tc>
        <w:tc>
          <w:tcPr>
            <w:tcW w:type="dxa" w:w="800"/>
            <w:shd w:fill="FFFFFF" w:color="auto" w:val="clear"/>
            <w:tcMar>
              <w:top w:type="dxa" w:w="40"/>
              <w:left w:type="dxa" w:w="70"/>
              <w:bottom w:type="dxa" w:w="40"/>
              <w:right w:type="dxa" w:w="70"/>
            </w:tcMar>
          </w:tcPr>
          <w:p>
            <w:pPr>
              <w:spacing w:after="0"/>
            </w:pPr>
            <w:r>
              <w:rPr>
                <w:sz w:val="17"/>
                <w:szCs w:val="17"/>
              </w:rPr>
              <w:t xml:space="preserve">1.7</w:t>
            </w:r>
          </w:p>
        </w:tc>
        <w:tc>
          <w:tcPr>
            <w:tcW w:type="dxa" w:w="1300"/>
            <w:shd w:fill="FFFFFF" w:color="auto" w:val="clear"/>
            <w:tcMar>
              <w:top w:type="dxa" w:w="40"/>
              <w:left w:type="dxa" w:w="70"/>
              <w:bottom w:type="dxa" w:w="40"/>
              <w:right w:type="dxa" w:w="70"/>
            </w:tcMar>
          </w:tcPr>
          <w:p>
            <w:pPr>
              <w:spacing w:after="0"/>
            </w:pPr>
            <w:r>
              <w:rPr>
                <w:sz w:val="17"/>
                <w:szCs w:val="17"/>
              </w:rPr>
              <w:t xml:space="preserve">$6.93 ($6.93)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$53</w:t>
            </w:r>
          </w:p>
        </w:tc>
      </w:tr>
      <w:tr>
        <w:tc>
          <w:tcPr>
            <w:tcW w:type="dxa" w:w="22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000"/>
            <w:shd w:fill="F2F5F9" w:color="auto" w:val="clear"/>
            <w:tcMar>
              <w:top w:type="dxa" w:w="40"/>
              <w:left w:type="dxa" w:w="70"/>
              <w:bottom w:type="dxa" w:w="40"/>
              <w:right w:type="dxa" w:w="70"/>
            </w:tcMar>
          </w:tcPr>
          <w:p>
            <w:pPr>
              <w:spacing w:after="0"/>
            </w:pPr>
            <w:r>
              <w:rPr>
                <w:sz w:val="17"/>
                <w:szCs w:val="17"/>
              </w:rPr>
              <w:t xml:space="preserve">25 → 6</w:t>
            </w:r>
          </w:p>
        </w:tc>
        <w:tc>
          <w:tcPr>
            <w:tcW w:type="dxa" w:w="1200"/>
            <w:shd w:fill="F2F5F9" w:color="auto" w:val="clear"/>
            <w:tcMar>
              <w:top w:type="dxa" w:w="40"/>
              <w:left w:type="dxa" w:w="70"/>
              <w:bottom w:type="dxa" w:w="40"/>
              <w:right w:type="dxa" w:w="70"/>
            </w:tcMar>
          </w:tcPr>
          <w:p>
            <w:pPr>
              <w:spacing w:after="0"/>
            </w:pPr>
            <w:r>
              <w:rPr>
                <w:sz w:val="17"/>
                <w:szCs w:val="17"/>
              </w:rPr>
              <w:t xml:space="preserve">5 · 0.9</w:t>
            </w:r>
          </w:p>
        </w:tc>
        <w:tc>
          <w:tcPr>
            <w:tcW w:type="dxa" w:w="900"/>
            <w:shd w:fill="F2F5F9" w:color="auto" w:val="clear"/>
            <w:tcMar>
              <w:top w:type="dxa" w:w="40"/>
              <w:left w:type="dxa" w:w="70"/>
              <w:bottom w:type="dxa" w:w="40"/>
              <w:right w:type="dxa" w:w="70"/>
            </w:tcMar>
          </w:tcPr>
          <w:p>
            <w:pPr>
              <w:spacing w:after="0"/>
            </w:pPr>
            <w:r>
              <w:rPr>
                <w:sz w:val="17"/>
                <w:szCs w:val="17"/>
              </w:rPr>
              <w:t xml:space="preserve">21.1%</w:t>
            </w:r>
          </w:p>
        </w:tc>
        <w:tc>
          <w:tcPr>
            <w:tcW w:type="dxa" w:w="800"/>
            <w:shd w:fill="F2F5F9" w:color="auto" w:val="clear"/>
            <w:tcMar>
              <w:top w:type="dxa" w:w="40"/>
              <w:left w:type="dxa" w:w="70"/>
              <w:bottom w:type="dxa" w:w="40"/>
              <w:right w:type="dxa" w:w="70"/>
            </w:tcMar>
          </w:tcPr>
          <w:p>
            <w:pPr>
              <w:spacing w:after="0"/>
            </w:pPr>
            <w:r>
              <w:rPr>
                <w:sz w:val="17"/>
                <w:szCs w:val="17"/>
              </w:rPr>
              <w:t xml:space="preserve">1.1</w:t>
            </w:r>
          </w:p>
        </w:tc>
        <w:tc>
          <w:tcPr>
            <w:tcW w:type="dxa" w:w="1300"/>
            <w:shd w:fill="F2F5F9" w:color="auto" w:val="clear"/>
            <w:tcMar>
              <w:top w:type="dxa" w:w="40"/>
              <w:left w:type="dxa" w:w="70"/>
              <w:bottom w:type="dxa" w:w="40"/>
              <w:right w:type="dxa" w:w="70"/>
            </w:tcMar>
          </w:tcPr>
          <w:p>
            <w:pPr>
              <w:spacing w:after="0"/>
            </w:pPr>
            <w:r>
              <w:rPr>
                <w:sz w:val="17"/>
                <w:szCs w:val="17"/>
              </w:rPr>
              <w:t xml:space="preserve">$7.10 ($7.10)</w:t>
            </w:r>
          </w:p>
        </w:tc>
        <w:tc>
          <w:tcPr>
            <w:tcW w:type="dxa" w:w="1000"/>
            <w:shd w:fill="F2F5F9" w:color="auto" w:val="clear"/>
            <w:tcMar>
              <w:top w:type="dxa" w:w="40"/>
              <w:left w:type="dxa" w:w="70"/>
              <w:bottom w:type="dxa" w:w="40"/>
              <w:right w:type="dxa" w:w="70"/>
            </w:tcMar>
          </w:tcPr>
          <w:p>
            <w:pPr>
              <w:spacing w:after="0"/>
            </w:pPr>
            <w:r>
              <w:rPr>
                <w:sz w:val="17"/>
                <w:szCs w:val="17"/>
              </w:rPr>
              <w:t xml:space="preserve">$6.98</w:t>
            </w:r>
          </w:p>
        </w:tc>
        <w:tc>
          <w:tcPr>
            <w:tcW w:type="dxa" w:w="1572"/>
            <w:shd w:fill="F2F5F9" w:color="auto" w:val="clear"/>
            <w:tcMar>
              <w:top w:type="dxa" w:w="40"/>
              <w:left w:type="dxa" w:w="70"/>
              <w:bottom w:type="dxa" w:w="40"/>
              <w:right w:type="dxa" w:w="70"/>
            </w:tcMar>
          </w:tcPr>
          <w:p>
            <w:pPr>
              <w:spacing w:after="0"/>
            </w:pPr>
            <w:r>
              <w:rPr>
                <w:sz w:val="17"/>
                <w:szCs w:val="17"/>
              </w:rPr>
              <w:t xml:space="preserve">$36</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10</w:t>
            </w:r>
          </w:p>
        </w:tc>
        <w:tc>
          <w:tcPr>
            <w:tcW w:type="dxa" w:w="1200"/>
            <w:shd w:fill="FFFFFF" w:color="auto" w:val="clear"/>
            <w:tcMar>
              <w:top w:type="dxa" w:w="40"/>
              <w:left w:type="dxa" w:w="70"/>
              <w:bottom w:type="dxa" w:w="40"/>
              <w:right w:type="dxa" w:w="70"/>
            </w:tcMar>
          </w:tcPr>
          <w:p>
            <w:pPr>
              <w:spacing w:after="0"/>
            </w:pPr>
            <w:r>
              <w:rPr>
                <w:sz w:val="17"/>
                <w:szCs w:val="17"/>
              </w:rPr>
              <w:t xml:space="preserve">7 · 1.4</w:t>
            </w:r>
          </w:p>
        </w:tc>
        <w:tc>
          <w:tcPr>
            <w:tcW w:type="dxa" w:w="900"/>
            <w:shd w:fill="FFFFFF" w:color="auto" w:val="clear"/>
            <w:tcMar>
              <w:top w:type="dxa" w:w="40"/>
              <w:left w:type="dxa" w:w="70"/>
              <w:bottom w:type="dxa" w:w="40"/>
              <w:right w:type="dxa" w:w="70"/>
            </w:tcMar>
          </w:tcPr>
          <w:p>
            <w:pPr>
              <w:spacing w:after="0"/>
            </w:pPr>
            <w:r>
              <w:rPr>
                <w:sz w:val="17"/>
                <w:szCs w:val="17"/>
              </w:rPr>
              <w:t xml:space="preserve">12.5%</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$5.28 ($6.40)</w:t>
            </w:r>
          </w:p>
        </w:tc>
        <w:tc>
          <w:tcPr>
            <w:tcW w:type="dxa" w:w="1000"/>
            <w:shd w:fill="FFFFFF" w:color="auto" w:val="clear"/>
            <w:tcMar>
              <w:top w:type="dxa" w:w="40"/>
              <w:left w:type="dxa" w:w="70"/>
              <w:bottom w:type="dxa" w:w="40"/>
              <w:right w:type="dxa" w:w="70"/>
            </w:tcMar>
          </w:tcPr>
          <w:p>
            <w:pPr>
              <w:spacing w:after="0"/>
            </w:pPr>
            <w:r>
              <w:rPr>
                <w:sz w:val="17"/>
                <w:szCs w:val="17"/>
              </w:rPr>
              <w:t xml:space="preserve">$6.14</w:t>
            </w:r>
          </w:p>
        </w:tc>
        <w:tc>
          <w:tcPr>
            <w:tcW w:type="dxa" w:w="1572"/>
            <w:shd w:fill="FFFFFF" w:color="auto" w:val="clear"/>
            <w:tcMar>
              <w:top w:type="dxa" w:w="40"/>
              <w:left w:type="dxa" w:w="70"/>
              <w:bottom w:type="dxa" w:w="40"/>
              <w:right w:type="dxa" w:w="70"/>
            </w:tcMar>
          </w:tcPr>
          <w:p>
            <w:pPr>
              <w:spacing w:after="0"/>
            </w:pPr>
            <w:r>
              <w:rPr>
                <w:sz w:val="17"/>
                <w:szCs w:val="17"/>
              </w:rPr>
              <w:t xml:space="preserve">$35</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000"/>
            <w:shd w:fill="F2F5F9" w:color="auto" w:val="clear"/>
            <w:tcMar>
              <w:top w:type="dxa" w:w="40"/>
              <w:left w:type="dxa" w:w="70"/>
              <w:bottom w:type="dxa" w:w="40"/>
              <w:right w:type="dxa" w:w="70"/>
            </w:tcMar>
          </w:tcPr>
          <w:p>
            <w:pPr>
              <w:spacing w:after="0"/>
            </w:pPr>
            <w:r>
              <w:rPr>
                <w:sz w:val="17"/>
                <w:szCs w:val="17"/>
              </w:rPr>
              <w:t xml:space="preserve">7 → 1</w:t>
            </w:r>
          </w:p>
        </w:tc>
        <w:tc>
          <w:tcPr>
            <w:tcW w:type="dxa" w:w="1200"/>
            <w:shd w:fill="F2F5F9" w:color="auto" w:val="clear"/>
            <w:tcMar>
              <w:top w:type="dxa" w:w="40"/>
              <w:left w:type="dxa" w:w="70"/>
              <w:bottom w:type="dxa" w:w="40"/>
              <w:right w:type="dxa" w:w="70"/>
            </w:tcMar>
          </w:tcPr>
          <w:p>
            <w:pPr>
              <w:spacing w:after="0"/>
            </w:pPr>
            <w:r>
              <w:rPr>
                <w:sz w:val="17"/>
                <w:szCs w:val="17"/>
              </w:rPr>
              <w:t xml:space="preserve">2.4 · 0.4</w:t>
            </w:r>
          </w:p>
        </w:tc>
        <w:tc>
          <w:tcPr>
            <w:tcW w:type="dxa" w:w="900"/>
            <w:shd w:fill="F2F5F9" w:color="auto" w:val="clear"/>
            <w:tcMar>
              <w:top w:type="dxa" w:w="40"/>
              <w:left w:type="dxa" w:w="70"/>
              <w:bottom w:type="dxa" w:w="40"/>
              <w:right w:type="dxa" w:w="70"/>
            </w:tcMar>
          </w:tcPr>
          <w:p>
            <w:pPr>
              <w:spacing w:after="0"/>
            </w:pPr>
            <w:r>
              <w:rPr>
                <w:sz w:val="17"/>
                <w:szCs w:val="17"/>
              </w:rPr>
              <w:t xml:space="preserve">22.0%</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$7.03 ($7.03)</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$17</w:t>
            </w:r>
          </w:p>
        </w:tc>
      </w:tr>
      <w:tr>
        <w:tc>
          <w:tcPr>
            <w:tcW w:type="dxa" w:w="2200"/>
            <w:shd w:fill="FFFFFF" w:color="auto" w:val="clear"/>
            <w:tcMar>
              <w:top w:type="dxa" w:w="40"/>
              <w:left w:type="dxa" w:w="70"/>
              <w:bottom w:type="dxa" w:w="40"/>
              <w:right w:type="dxa" w:w="70"/>
            </w:tcMar>
          </w:tcPr>
          <w:p>
            <w:pPr>
              <w:spacing w:after="0"/>
            </w:pPr>
            <w:r>
              <w:rPr>
                <w:sz w:val="17"/>
                <w:szCs w:val="17"/>
              </w:rPr>
              <w:t xml:space="preserve">king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15 → 10</w:t>
            </w:r>
          </w:p>
        </w:tc>
        <w:tc>
          <w:tcPr>
            <w:tcW w:type="dxa" w:w="1200"/>
            <w:shd w:fill="FFFFFF" w:color="auto" w:val="clear"/>
            <w:tcMar>
              <w:top w:type="dxa" w:w="40"/>
              <w:left w:type="dxa" w:w="70"/>
              <w:bottom w:type="dxa" w:w="40"/>
              <w:right w:type="dxa" w:w="70"/>
            </w:tcMar>
          </w:tcPr>
          <w:p>
            <w:pPr>
              <w:spacing w:after="0"/>
            </w:pPr>
            <w:r>
              <w:rPr>
                <w:sz w:val="17"/>
                <w:szCs w:val="17"/>
              </w:rPr>
              <w:t xml:space="preserve">4.3 · 0</w:t>
            </w:r>
          </w:p>
        </w:tc>
        <w:tc>
          <w:tcPr>
            <w:tcW w:type="dxa" w:w="900"/>
            <w:shd w:fill="FFFFFF" w:color="auto" w:val="clear"/>
            <w:tcMar>
              <w:top w:type="dxa" w:w="40"/>
              <w:left w:type="dxa" w:w="70"/>
              <w:bottom w:type="dxa" w:w="40"/>
              <w:right w:type="dxa" w:w="70"/>
            </w:tcMar>
          </w:tcPr>
          <w:p>
            <w:pPr>
              <w:spacing w:after="0"/>
            </w:pPr>
            <w:r>
              <w:rPr>
                <w:sz w:val="17"/>
                <w:szCs w:val="17"/>
              </w:rPr>
              <w:t xml:space="preserve">19.2%</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$3.83 ($6.12)</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$16</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queen (after the fix in Section 13)</w:t>
            </w:r>
          </w:p>
        </w:tc>
        <w:tc>
          <w:tcPr>
            <w:tcW w:type="dxa" w:w="1000"/>
            <w:shd w:fill="F2F5F9" w:color="auto" w:val="clear"/>
            <w:tcMar>
              <w:top w:type="dxa" w:w="40"/>
              <w:left w:type="dxa" w:w="70"/>
              <w:bottom w:type="dxa" w:w="40"/>
              <w:right w:type="dxa" w:w="70"/>
            </w:tcMar>
          </w:tcPr>
          <w:p>
            <w:pPr>
              <w:spacing w:after="0"/>
            </w:pPr>
            <w:r>
              <w:rPr>
                <w:sz w:val="17"/>
                <w:szCs w:val="17"/>
              </w:rPr>
              <w:t xml:space="preserve">58 → 5</w:t>
            </w:r>
          </w:p>
        </w:tc>
        <w:tc>
          <w:tcPr>
            <w:tcW w:type="dxa" w:w="1200"/>
            <w:shd w:fill="F2F5F9" w:color="auto" w:val="clear"/>
            <w:tcMar>
              <w:top w:type="dxa" w:w="40"/>
              <w:left w:type="dxa" w:w="70"/>
              <w:bottom w:type="dxa" w:w="40"/>
              <w:right w:type="dxa" w:w="70"/>
            </w:tcMar>
          </w:tcPr>
          <w:p>
            <w:pPr>
              <w:spacing w:after="0"/>
            </w:pPr>
            <w:r>
              <w:rPr>
                <w:sz w:val="17"/>
                <w:szCs w:val="17"/>
              </w:rPr>
              <w:t xml:space="preserve">1.8 · 0.4</w:t>
            </w:r>
          </w:p>
        </w:tc>
        <w:tc>
          <w:tcPr>
            <w:tcW w:type="dxa" w:w="900"/>
            <w:shd w:fill="F2F5F9" w:color="auto" w:val="clear"/>
            <w:tcMar>
              <w:top w:type="dxa" w:w="40"/>
              <w:left w:type="dxa" w:w="70"/>
              <w:bottom w:type="dxa" w:w="40"/>
              <w:right w:type="dxa" w:w="70"/>
            </w:tcMar>
          </w:tcPr>
          <w:p>
            <w:pPr>
              <w:spacing w:after="0"/>
            </w:pPr>
            <w:r>
              <w:rPr>
                <w:sz w:val="17"/>
                <w:szCs w:val="17"/>
              </w:rPr>
              <w:t xml:space="preserve">25.4%</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$4.18 ($9.92)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$8</w:t>
            </w:r>
          </w:p>
        </w:tc>
      </w:tr>
      <w:tr>
        <w:tc>
          <w:tcPr>
            <w:tcW w:type="dxa" w:w="2200"/>
            <w:shd w:fill="FFFFFF" w:color="auto" w:val="clear"/>
            <w:tcMar>
              <w:top w:type="dxa" w:w="40"/>
              <w:left w:type="dxa" w:w="70"/>
              <w:bottom w:type="dxa" w:w="40"/>
              <w:right w:type="dxa" w:w="70"/>
            </w:tcMar>
          </w:tcPr>
          <w:p>
            <w:pPr>
              <w:spacing w:after="0"/>
            </w:pPr>
            <w:r>
              <w:rPr>
                <w:sz w:val="17"/>
                <w:szCs w:val="17"/>
              </w:rPr>
              <w:t xml:space="preserve">viscose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8 → 1</w:t>
            </w:r>
          </w:p>
        </w:tc>
        <w:tc>
          <w:tcPr>
            <w:tcW w:type="dxa" w:w="1200"/>
            <w:shd w:fill="FFFFFF" w:color="auto" w:val="clear"/>
            <w:tcMar>
              <w:top w:type="dxa" w:w="40"/>
              <w:left w:type="dxa" w:w="70"/>
              <w:bottom w:type="dxa" w:w="40"/>
              <w:right w:type="dxa" w:w="70"/>
            </w:tcMar>
          </w:tcPr>
          <w:p>
            <w:pPr>
              <w:spacing w:after="0"/>
            </w:pPr>
            <w:r>
              <w:rPr>
                <w:sz w:val="17"/>
                <w:szCs w:val="17"/>
              </w:rPr>
              <w:t xml:space="preserve">1.1 · 2.5</w:t>
            </w:r>
          </w:p>
        </w:tc>
        <w:tc>
          <w:tcPr>
            <w:tcW w:type="dxa" w:w="900"/>
            <w:shd w:fill="FFFFFF" w:color="auto" w:val="clear"/>
            <w:tcMar>
              <w:top w:type="dxa" w:w="40"/>
              <w:left w:type="dxa" w:w="70"/>
              <w:bottom w:type="dxa" w:w="40"/>
              <w:right w:type="dxa" w:w="70"/>
            </w:tcMar>
          </w:tcPr>
          <w:p>
            <w:pPr>
              <w:spacing w:after="0"/>
            </w:pPr>
            <w:r>
              <w:rPr>
                <w:sz w:val="17"/>
                <w:szCs w:val="17"/>
              </w:rPr>
              <w:t xml:space="preserve">15.7%</w:t>
            </w:r>
          </w:p>
        </w:tc>
        <w:tc>
          <w:tcPr>
            <w:tcW w:type="dxa" w:w="800"/>
            <w:shd w:fill="FFFFFF" w:color="auto" w:val="clear"/>
            <w:tcMar>
              <w:top w:type="dxa" w:w="40"/>
              <w:left w:type="dxa" w:w="70"/>
              <w:bottom w:type="dxa" w:w="40"/>
              <w:right w:type="dxa" w:w="70"/>
            </w:tcMar>
          </w:tcPr>
          <w:p>
            <w:pPr>
              <w:spacing w:after="0"/>
            </w:pPr>
            <w:r>
              <w:rPr>
                <w:sz w:val="17"/>
                <w:szCs w:val="17"/>
              </w:rPr>
              <w:t xml:space="preserve">0.2</w:t>
            </w:r>
          </w:p>
        </w:tc>
        <w:tc>
          <w:tcPr>
            <w:tcW w:type="dxa" w:w="1300"/>
            <w:shd w:fill="FFFFFF" w:color="auto" w:val="clear"/>
            <w:tcMar>
              <w:top w:type="dxa" w:w="40"/>
              <w:left w:type="dxa" w:w="70"/>
              <w:bottom w:type="dxa" w:w="40"/>
              <w:right w:type="dxa" w:w="70"/>
            </w:tcMar>
          </w:tcPr>
          <w:p>
            <w:pPr>
              <w:spacing w:after="0"/>
            </w:pPr>
            <w:r>
              <w:rPr>
                <w:sz w:val="17"/>
                <w:szCs w:val="17"/>
              </w:rPr>
              <w:t xml:space="preserve">$6.13 ($6.13)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$7</w:t>
            </w:r>
          </w:p>
        </w:tc>
      </w:tr>
      <w:tr>
        <w:tc>
          <w:tcPr>
            <w:tcW w:type="dxa" w:w="2200"/>
            <w:shd w:fill="F2F5F9" w:color="auto" w:val="clear"/>
            <w:tcMar>
              <w:top w:type="dxa" w:w="40"/>
              <w:left w:type="dxa" w:w="70"/>
              <w:bottom w:type="dxa" w:w="40"/>
              <w:right w:type="dxa" w:w="70"/>
            </w:tcMar>
          </w:tcPr>
          <w:p>
            <w:pPr>
              <w:spacing w:after="0"/>
            </w:pPr>
            <w:r>
              <w:rPr>
                <w:sz w:val="17"/>
                <w:szCs w:val="17"/>
              </w:rPr>
              <w:t xml:space="preserve">Funded total (10 terms)</w:t>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200"/>
            <w:shd w:fill="F2F5F9" w:color="auto" w:val="clear"/>
            <w:tcMar>
              <w:top w:type="dxa" w:w="40"/>
              <w:left w:type="dxa" w:w="70"/>
              <w:bottom w:type="dxa" w:w="40"/>
              <w:right w:type="dxa" w:w="70"/>
            </w:tcMar>
          </w:tcPr>
          <w:p>
            <w:pPr>
              <w:spacing w:after="0"/>
            </w:pPr>
            <w:r>
              <w:rPr>
                <w:sz w:val="17"/>
                <w:szCs w:val="17"/>
              </w:rPr>
              <w:t xml:space="preserve">164</w:t>
            </w:r>
          </w:p>
        </w:tc>
        <w:tc>
          <w:tcPr>
            <w:tcW w:type="dxa" w:w="900"/>
            <w:shd w:fill="F2F5F9" w:color="auto" w:val="clear"/>
            <w:tcMar>
              <w:top w:type="dxa" w:w="40"/>
              <w:left w:type="dxa" w:w="70"/>
              <w:bottom w:type="dxa" w:w="40"/>
              <w:right w:type="dxa" w:w="70"/>
            </w:tcMar>
          </w:tcPr>
          <w:p>
            <w:pPr>
              <w:spacing w:after="0"/>
            </w:pPr>
            <w:r>
              <w:rPr>
                <w:sz w:val="17"/>
                <w:szCs w:val="17"/>
              </w:rPr>
              <w:t xml:space="preserve"/>
            </w:r>
          </w:p>
        </w:tc>
        <w:tc>
          <w:tcPr>
            <w:tcW w:type="dxa" w:w="800"/>
            <w:shd w:fill="F2F5F9" w:color="auto" w:val="clear"/>
            <w:tcMar>
              <w:top w:type="dxa" w:w="40"/>
              <w:left w:type="dxa" w:w="70"/>
              <w:bottom w:type="dxa" w:w="40"/>
              <w:right w:type="dxa" w:w="70"/>
            </w:tcMar>
          </w:tcPr>
          <w:p>
            <w:pPr>
              <w:spacing w:after="0"/>
            </w:pPr>
            <w:r>
              <w:rPr>
                <w:sz w:val="17"/>
                <w:szCs w:val="17"/>
              </w:rPr>
              <w:t xml:space="preserve">31.6</w:t>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72"/>
            <w:shd w:fill="F2F5F9" w:color="auto" w:val="clear"/>
            <w:tcMar>
              <w:top w:type="dxa" w:w="40"/>
              <w:left w:type="dxa" w:w="70"/>
              <w:bottom w:type="dxa" w:w="40"/>
              <w:right w:type="dxa" w:w="70"/>
            </w:tcMar>
          </w:tcPr>
          <w:p>
            <w:pPr>
              <w:spacing w:after="0"/>
            </w:pPr>
            <w:r>
              <w:rPr>
                <w:sz w:val="17"/>
                <w:szCs w:val="17"/>
              </w:rPr>
              <w:t xml:space="preserve">$1,057</w:t>
            </w:r>
          </w:p>
        </w:tc>
      </w:tr>
      <w:tr>
        <w:tc>
          <w:tcPr>
            <w:tcW w:type="dxa" w:w="2200"/>
            <w:shd w:fill="FFFFFF" w:color="auto" w:val="clear"/>
            <w:tcMar>
              <w:top w:type="dxa" w:w="40"/>
              <w:left w:type="dxa" w:w="70"/>
              <w:bottom w:type="dxa" w:w="40"/>
              <w:right w:type="dxa" w:w="70"/>
            </w:tcMar>
          </w:tcPr>
          <w:p>
            <w:pPr>
              <w:spacing w:after="0"/>
            </w:pPr>
            <w:r>
              <w:rPr>
                <w:sz w:val="17"/>
                <w:szCs w:val="17"/>
              </w:rPr>
              <w:t xml:space="preserve">Waiting</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000"/>
            <w:shd w:fill="F2F5F9" w:color="auto" w:val="clear"/>
            <w:tcMar>
              <w:top w:type="dxa" w:w="40"/>
              <w:left w:type="dxa" w:w="70"/>
              <w:bottom w:type="dxa" w:w="40"/>
              <w:right w:type="dxa" w:w="70"/>
            </w:tcMar>
          </w:tcPr>
          <w:p>
            <w:pPr>
              <w:spacing w:after="0"/>
            </w:pPr>
            <w:r>
              <w:rPr>
                <w:sz w:val="17"/>
                <w:szCs w:val="17"/>
              </w:rPr>
              <w:t xml:space="preserve">27 → 10</w:t>
            </w:r>
          </w:p>
        </w:tc>
        <w:tc>
          <w:tcPr>
            <w:tcW w:type="dxa" w:w="1200"/>
            <w:shd w:fill="F2F5F9" w:color="auto" w:val="clear"/>
            <w:tcMar>
              <w:top w:type="dxa" w:w="40"/>
              <w:left w:type="dxa" w:w="70"/>
              <w:bottom w:type="dxa" w:w="40"/>
              <w:right w:type="dxa" w:w="70"/>
            </w:tcMar>
          </w:tcPr>
          <w:p>
            <w:pPr>
              <w:spacing w:after="0"/>
            </w:pPr>
            <w:r>
              <w:rPr>
                <w:sz w:val="17"/>
                <w:szCs w:val="17"/>
              </w:rPr>
              <w:t xml:space="preserve">24 · 0.1</w:t>
            </w:r>
          </w:p>
        </w:tc>
        <w:tc>
          <w:tcPr>
            <w:tcW w:type="dxa" w:w="900"/>
            <w:shd w:fill="F2F5F9" w:color="auto" w:val="clear"/>
            <w:tcMar>
              <w:top w:type="dxa" w:w="40"/>
              <w:left w:type="dxa" w:w="70"/>
              <w:bottom w:type="dxa" w:w="40"/>
              <w:right w:type="dxa" w:w="70"/>
            </w:tcMar>
          </w:tcPr>
          <w:p>
            <w:pPr>
              <w:spacing w:after="0"/>
            </w:pPr>
            <w:r>
              <w:rPr>
                <w:sz w:val="17"/>
                <w:szCs w:val="17"/>
              </w:rPr>
              <w:t xml:space="preserve">17.9%*</w:t>
            </w:r>
          </w:p>
        </w:tc>
        <w:tc>
          <w:tcPr>
            <w:tcW w:type="dxa" w:w="800"/>
            <w:shd w:fill="F2F5F9" w:color="auto" w:val="clear"/>
            <w:tcMar>
              <w:top w:type="dxa" w:w="40"/>
              <w:left w:type="dxa" w:w="70"/>
              <w:bottom w:type="dxa" w:w="40"/>
              <w:right w:type="dxa" w:w="70"/>
            </w:tcMar>
          </w:tcPr>
          <w:p>
            <w:pPr>
              <w:spacing w:after="0"/>
            </w:pPr>
            <w:r>
              <w:rPr>
                <w:sz w:val="17"/>
                <w:szCs w:val="17"/>
              </w:rPr>
              <w:t xml:space="preserve">4.3</w:t>
            </w:r>
          </w:p>
        </w:tc>
        <w:tc>
          <w:tcPr>
            <w:tcW w:type="dxa" w:w="1300"/>
            <w:shd w:fill="F2F5F9" w:color="auto" w:val="clear"/>
            <w:tcMar>
              <w:top w:type="dxa" w:w="40"/>
              <w:left w:type="dxa" w:w="70"/>
              <w:bottom w:type="dxa" w:w="40"/>
              <w:right w:type="dxa" w:w="70"/>
            </w:tcMar>
          </w:tcPr>
          <w:p>
            <w:pPr>
              <w:spacing w:after="0"/>
            </w:pPr>
            <w:r>
              <w:rPr>
                <w:sz w:val="17"/>
                <w:szCs w:val="17"/>
              </w:rPr>
              <w:t xml:space="preserve">$4.80 until released</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$127 when released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000"/>
            <w:shd w:fill="FFFFFF" w:color="auto" w:val="clear"/>
            <w:tcMar>
              <w:top w:type="dxa" w:w="40"/>
              <w:left w:type="dxa" w:w="70"/>
              <w:bottom w:type="dxa" w:w="40"/>
              <w:right w:type="dxa" w:w="70"/>
            </w:tcMar>
          </w:tcPr>
          <w:p>
            <w:pPr>
              <w:spacing w:after="0"/>
            </w:pPr>
            <w:r>
              <w:rPr>
                <w:sz w:val="17"/>
                <w:szCs w:val="17"/>
              </w:rPr>
              <w:t xml:space="preserve">19 → 9</w:t>
            </w:r>
          </w:p>
        </w:tc>
        <w:tc>
          <w:tcPr>
            <w:tcW w:type="dxa" w:w="1200"/>
            <w:shd w:fill="FFFFFF" w:color="auto" w:val="clear"/>
            <w:tcMar>
              <w:top w:type="dxa" w:w="40"/>
              <w:left w:type="dxa" w:w="70"/>
              <w:bottom w:type="dxa" w:w="40"/>
              <w:right w:type="dxa" w:w="70"/>
            </w:tcMar>
          </w:tcPr>
          <w:p>
            <w:pPr>
              <w:spacing w:after="0"/>
            </w:pPr>
            <w:r>
              <w:rPr>
                <w:sz w:val="17"/>
                <w:szCs w:val="17"/>
              </w:rPr>
              <w:t xml:space="preserve">11 · —</w:t>
            </w:r>
          </w:p>
        </w:tc>
        <w:tc>
          <w:tcPr>
            <w:tcW w:type="dxa" w:w="900"/>
            <w:shd w:fill="FFFFFF" w:color="auto" w:val="clear"/>
            <w:tcMar>
              <w:top w:type="dxa" w:w="40"/>
              <w:left w:type="dxa" w:w="70"/>
              <w:bottom w:type="dxa" w:w="40"/>
              <w:right w:type="dxa" w:w="70"/>
            </w:tcMar>
          </w:tcPr>
          <w:p>
            <w:pPr>
              <w:spacing w:after="0"/>
            </w:pPr>
            <w:r>
              <w:rPr>
                <w:sz w:val="17"/>
                <w:szCs w:val="17"/>
              </w:rPr>
              <w:t xml:space="preserve">12.1%*</w:t>
            </w:r>
          </w:p>
        </w:tc>
        <w:tc>
          <w:tcPr>
            <w:tcW w:type="dxa" w:w="800"/>
            <w:shd w:fill="FFFFFF" w:color="auto" w:val="clear"/>
            <w:tcMar>
              <w:top w:type="dxa" w:w="40"/>
              <w:left w:type="dxa" w:w="70"/>
              <w:bottom w:type="dxa" w:w="40"/>
              <w:right w:type="dxa" w:w="70"/>
            </w:tcMar>
          </w:tcPr>
          <w:p>
            <w:pPr>
              <w:spacing w:after="0"/>
            </w:pPr>
            <w:r>
              <w:rPr>
                <w:sz w:val="17"/>
                <w:szCs w:val="17"/>
              </w:rPr>
              <w:t xml:space="preserve">1.3</w:t>
            </w:r>
          </w:p>
        </w:tc>
        <w:tc>
          <w:tcPr>
            <w:tcW w:type="dxa" w:w="1300"/>
            <w:shd w:fill="FFFFFF" w:color="auto" w:val="clear"/>
            <w:tcMar>
              <w:top w:type="dxa" w:w="40"/>
              <w:left w:type="dxa" w:w="70"/>
              <w:bottom w:type="dxa" w:w="40"/>
              <w:right w:type="dxa" w:w="70"/>
            </w:tcMar>
          </w:tcPr>
          <w:p>
            <w:pPr>
              <w:spacing w:after="0"/>
            </w:pPr>
            <w:r>
              <w:rPr>
                <w:sz w:val="17"/>
                <w:szCs w:val="17"/>
              </w:rPr>
              <w:t xml:space="preserve">$3.09 ($3.86)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$34 when released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cooling sheets</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200"/>
            <w:shd w:fill="F2F5F9" w:color="auto" w:val="clear"/>
            <w:tcMar>
              <w:top w:type="dxa" w:w="40"/>
              <w:left w:type="dxa" w:w="70"/>
              <w:bottom w:type="dxa" w:w="40"/>
              <w:right w:type="dxa" w:w="70"/>
            </w:tcMar>
          </w:tcPr>
          <w:p>
            <w:pPr>
              <w:spacing w:after="0"/>
            </w:pPr>
            <w:r>
              <w:rPr>
                <w:sz w:val="17"/>
                <w:szCs w:val="17"/>
              </w:rPr>
              <w:t xml:space="preserve">20 · 0.1</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2.3</w:t>
            </w:r>
          </w:p>
        </w:tc>
        <w:tc>
          <w:tcPr>
            <w:tcW w:type="dxa" w:w="1300"/>
            <w:shd w:fill="F2F5F9" w:color="auto" w:val="clear"/>
            <w:tcMar>
              <w:top w:type="dxa" w:w="40"/>
              <w:left w:type="dxa" w:w="70"/>
              <w:bottom w:type="dxa" w:w="40"/>
              <w:right w:type="dxa" w:w="70"/>
            </w:tcMar>
          </w:tcPr>
          <w:p>
            <w:pPr>
              <w:spacing w:after="0"/>
            </w:pPr>
            <w:r>
              <w:rPr>
                <w:sz w:val="17"/>
                <w:szCs w:val="17"/>
              </w:rPr>
              <w:t xml:space="preserve">ceiling $4.49</w:t>
            </w:r>
          </w:p>
        </w:tc>
        <w:tc>
          <w:tcPr>
            <w:tcW w:type="dxa" w:w="1000"/>
            <w:shd w:fill="F2F5F9" w:color="auto" w:val="clear"/>
            <w:tcMar>
              <w:top w:type="dxa" w:w="40"/>
              <w:left w:type="dxa" w:w="70"/>
              <w:bottom w:type="dxa" w:w="40"/>
              <w:right w:type="dxa" w:w="70"/>
            </w:tcMar>
          </w:tcPr>
          <w:p>
            <w:pPr>
              <w:spacing w:after="0"/>
            </w:pPr>
            <w:r>
              <w:rPr>
                <w:sz w:val="17"/>
                <w:szCs w:val="17"/>
              </w:rPr>
              <w:t xml:space="preserve">$4.99</w:t>
            </w:r>
          </w:p>
        </w:tc>
        <w:tc>
          <w:tcPr>
            <w:tcW w:type="dxa" w:w="1572"/>
            <w:shd w:fill="F2F5F9" w:color="auto" w:val="clear"/>
            <w:tcMar>
              <w:top w:type="dxa" w:w="40"/>
              <w:left w:type="dxa" w:w="70"/>
              <w:bottom w:type="dxa" w:w="40"/>
              <w:right w:type="dxa" w:w="70"/>
            </w:tcMar>
          </w:tcPr>
          <w:p>
            <w:pPr>
              <w:spacing w:after="0"/>
            </w:pPr>
            <w:r>
              <w:rPr>
                <w:sz w:val="17"/>
                <w:szCs w:val="17"/>
              </w:rPr>
              <w:t xml:space="preserve">$82 if the ceiling is raised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9</w:t>
            </w:r>
          </w:p>
        </w:tc>
        <w:tc>
          <w:tcPr>
            <w:tcW w:type="dxa" w:w="1200"/>
            <w:shd w:fill="FFFFFF" w:color="auto" w:val="clear"/>
            <w:tcMar>
              <w:top w:type="dxa" w:w="40"/>
              <w:left w:type="dxa" w:w="70"/>
              <w:bottom w:type="dxa" w:w="40"/>
              <w:right w:type="dxa" w:w="70"/>
            </w:tcMar>
          </w:tcPr>
          <w:p>
            <w:pPr>
              <w:spacing w:after="0"/>
            </w:pPr>
            <w:r>
              <w:rPr>
                <w:sz w:val="17"/>
                <w:szCs w:val="17"/>
              </w:rPr>
              <w:t xml:space="preserve">3.9 · 0 (paused)</w:t>
            </w:r>
          </w:p>
        </w:tc>
        <w:tc>
          <w:tcPr>
            <w:tcW w:type="dxa" w:w="900"/>
            <w:shd w:fill="FFFFFF" w:color="auto" w:val="clear"/>
            <w:tcMar>
              <w:top w:type="dxa" w:w="40"/>
              <w:left w:type="dxa" w:w="70"/>
              <w:bottom w:type="dxa" w:w="40"/>
              <w:right w:type="dxa" w:w="70"/>
            </w:tcMar>
          </w:tcPr>
          <w:p>
            <w:pPr>
              <w:spacing w:after="0"/>
            </w:pPr>
            <w:r>
              <w:rPr>
                <w:sz w:val="17"/>
                <w:szCs w:val="17"/>
              </w:rPr>
              <w:t xml:space="preserve">12.7%*</w:t>
            </w:r>
          </w:p>
        </w:tc>
        <w:tc>
          <w:tcPr>
            <w:tcW w:type="dxa" w:w="800"/>
            <w:shd w:fill="FFFFFF" w:color="auto" w:val="clear"/>
            <w:tcMar>
              <w:top w:type="dxa" w:w="40"/>
              <w:left w:type="dxa" w:w="70"/>
              <w:bottom w:type="dxa" w:w="40"/>
              <w:right w:type="dxa" w:w="70"/>
            </w:tcMar>
          </w:tcPr>
          <w:p>
            <w:pPr>
              <w:spacing w:after="0"/>
            </w:pPr>
            <w:r>
              <w:rPr>
                <w:sz w:val="17"/>
                <w:szCs w:val="17"/>
              </w:rPr>
              <w:t xml:space="preserve">0.5</w:t>
            </w:r>
          </w:p>
        </w:tc>
        <w:tc>
          <w:tcPr>
            <w:tcW w:type="dxa" w:w="1300"/>
            <w:shd w:fill="FFFFFF" w:color="auto" w:val="clear"/>
            <w:tcMar>
              <w:top w:type="dxa" w:w="40"/>
              <w:left w:type="dxa" w:w="70"/>
              <w:bottom w:type="dxa" w:w="40"/>
              <w:right w:type="dxa" w:w="70"/>
            </w:tcMar>
          </w:tcPr>
          <w:p>
            <w:pPr>
              <w:spacing w:after="0"/>
            </w:pPr>
            <w:r>
              <w:rPr>
                <w:sz w:val="17"/>
                <w:szCs w:val="17"/>
              </w:rPr>
              <w:t xml:space="preserve">ceiling $4.06</w:t>
            </w:r>
          </w:p>
        </w:tc>
        <w:tc>
          <w:tcPr>
            <w:tcW w:type="dxa" w:w="1000"/>
            <w:shd w:fill="FFFFFF" w:color="auto" w:val="clear"/>
            <w:tcMar>
              <w:top w:type="dxa" w:w="40"/>
              <w:left w:type="dxa" w:w="70"/>
              <w:bottom w:type="dxa" w:w="40"/>
              <w:right w:type="dxa" w:w="70"/>
            </w:tcMar>
          </w:tcPr>
          <w:p>
            <w:pPr>
              <w:spacing w:after="0"/>
            </w:pPr>
            <w:r>
              <w:rPr>
                <w:sz w:val="17"/>
                <w:szCs w:val="17"/>
              </w:rPr>
              <w:t xml:space="preserve">$6.20</w:t>
            </w:r>
          </w:p>
        </w:tc>
        <w:tc>
          <w:tcPr>
            <w:tcW w:type="dxa" w:w="1572"/>
            <w:shd w:fill="FFFFFF" w:color="auto" w:val="clear"/>
            <w:tcMar>
              <w:top w:type="dxa" w:w="40"/>
              <w:left w:type="dxa" w:w="70"/>
              <w:bottom w:type="dxa" w:w="40"/>
              <w:right w:type="dxa" w:w="70"/>
            </w:tcMar>
          </w:tcPr>
          <w:p>
            <w:pPr>
              <w:spacing w:after="0"/>
            </w:pPr>
            <w:r>
              <w:rPr>
                <w:sz w:val="17"/>
                <w:szCs w:val="17"/>
              </w:rPr>
              <w:t xml:space="preserve">$14 if the ceiling is raised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cooling sheets king size, queen cooling sheets, cooling sheets queen</w:t>
            </w:r>
          </w:p>
        </w:tc>
        <w:tc>
          <w:tcPr>
            <w:tcW w:type="dxa" w:w="1000"/>
            <w:shd w:fill="F2F5F9" w:color="auto" w:val="clear"/>
            <w:tcMar>
              <w:top w:type="dxa" w:w="40"/>
              <w:left w:type="dxa" w:w="70"/>
              <w:bottom w:type="dxa" w:w="40"/>
              <w:right w:type="dxa" w:w="70"/>
            </w:tcMar>
          </w:tcPr>
          <w:p>
            <w:pPr>
              <w:spacing w:after="0"/>
            </w:pPr>
            <w:r>
              <w:rPr>
                <w:sz w:val="17"/>
                <w:szCs w:val="17"/>
              </w:rPr>
              <w:t xml:space="preserve">True Bamboo 14 and 19</w:t>
            </w:r>
          </w:p>
        </w:tc>
        <w:tc>
          <w:tcPr>
            <w:tcW w:type="dxa" w:w="1200"/>
            <w:shd w:fill="F2F5F9" w:color="auto" w:val="clear"/>
            <w:tcMar>
              <w:top w:type="dxa" w:w="40"/>
              <w:left w:type="dxa" w:w="70"/>
              <w:bottom w:type="dxa" w:w="40"/>
              <w:right w:type="dxa" w:w="70"/>
            </w:tcMar>
          </w:tcPr>
          <w:p>
            <w:pPr>
              <w:spacing w:after="0"/>
            </w:pPr>
            <w:r>
              <w:rPr>
                <w:sz w:val="17"/>
                <w:szCs w:val="17"/>
              </w:rPr>
              <w:t xml:space="preserve">54 · 0</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6.2</w:t>
            </w:r>
          </w:p>
        </w:tc>
        <w:tc>
          <w:tcPr>
            <w:tcW w:type="dxa" w:w="1300"/>
            <w:shd w:fill="F2F5F9" w:color="auto" w:val="clear"/>
            <w:tcMar>
              <w:top w:type="dxa" w:w="40"/>
              <w:left w:type="dxa" w:w="70"/>
              <w:bottom w:type="dxa" w:w="40"/>
              <w:right w:type="dxa" w:w="70"/>
            </w:tcMar>
          </w:tcPr>
          <w:p>
            <w:pPr>
              <w:spacing w:after="0"/>
            </w:pPr>
            <w:r>
              <w:rPr>
                <w:sz w:val="17"/>
                <w:szCs w:val="17"/>
              </w:rPr>
              <w:t xml:space="preserve">ceilings $3.67–$4.49</w:t>
            </w:r>
          </w:p>
        </w:tc>
        <w:tc>
          <w:tcPr>
            <w:tcW w:type="dxa" w:w="1000"/>
            <w:shd w:fill="F2F5F9" w:color="auto" w:val="clear"/>
            <w:tcMar>
              <w:top w:type="dxa" w:w="40"/>
              <w:left w:type="dxa" w:w="70"/>
              <w:bottom w:type="dxa" w:w="40"/>
              <w:right w:type="dxa" w:w="70"/>
            </w:tcMar>
          </w:tcPr>
          <w:p>
            <w:pPr>
              <w:spacing w:after="0"/>
            </w:pPr>
            <w:r>
              <w:rPr>
                <w:sz w:val="17"/>
                <w:szCs w:val="17"/>
              </w:rPr>
              <w:t xml:space="preserve">about $5.18</w:t>
            </w:r>
          </w:p>
        </w:tc>
        <w:tc>
          <w:tcPr>
            <w:tcW w:type="dxa" w:w="1572"/>
            <w:shd w:fill="F2F5F9" w:color="auto" w:val="clear"/>
            <w:tcMar>
              <w:top w:type="dxa" w:w="40"/>
              <w:left w:type="dxa" w:w="70"/>
              <w:bottom w:type="dxa" w:w="40"/>
              <w:right w:type="dxa" w:w="70"/>
            </w:tcMar>
          </w:tcPr>
          <w:p>
            <w:pPr>
              <w:spacing w:after="0"/>
            </w:pPr>
            <w:r>
              <w:rPr>
                <w:sz w:val="17"/>
                <w:szCs w:val="17"/>
              </w:rPr>
              <w:t xml:space="preserve">built in the 1 October audit</w:t>
            </w:r>
          </w:p>
        </w:tc>
      </w:tr>
    </w:tbl>
    <w:p>
      <w:pPr>
        <w:spacing w:after="120"/>
      </w:pPr>
      <w:r>
        <w:rPr>
          <w:i/>
          <w:iCs/>
          <w:color w:val="555555"/>
          <w:sz w:val="17"/>
          <w:szCs w:val="17"/>
        </w:rPr>
        <w:t xml:space="preserve">Plan clicks = the audit’s plan for the target rank (units the rank sells ÷ conversion), before the overlap scaling in Section 12; where the audit has no plan, the register’s requirement before scaling. * The campaign’s overall conversion, which beats the market; these terms have barely been shown at the top. † Stand-in: our cooling campaigns’ conversion; B6 has almost no data of its own on these terms. “Top slot costs now” = what we already pay per top-of-search click on the term, from the audit. Budget = plan clicks × this week’s price; add the product-page clicks the base still buys. Ceiling = twice break-even on the advertised colour’s margin.</w:t>
      </w:r>
    </w:p>
    <w:p>
      <w:pPr>
        <w:spacing w:after="100"/>
      </w:pPr>
      <w:r>
        <w:t xml:space="preserve">Why the six wait:</w:t>
      </w:r>
    </w:p>
    <w:p>
      <w:pPr>
        <w:pStyle w:val="ListParagraph"/>
        <w:numPr>
          <w:ilvl w:val="0"/>
          <w:numId w:val="3"/>
        </w:numPr>
        <w:spacing w:after="60"/>
      </w:pPr>
      <w:r>
        <w:rPr>
          <w:b/>
          <w:bCs/>
        </w:rPr>
        <w:t xml:space="preserve">Listing check first: </w:t>
      </w:r>
      <w:r>
        <w:t xml:space="preserve">“bamboo sheets king size” and “bamboo sheets king”. On Amazon’s search query data, “bamboo sheets king size” converts at 0.68× the market and is clicked 0.55× as often (131 of our clicks over 8 weeks). “bamboo sheets king” converts at 0.81× and is clicked 0.42× as often (39 clicks). The audit notes they haven’t had a fair read at the top, so this may be placement rather than listing. Check the main image, title, price and reviews against True Bamboo first, then release them. “bamboo sheets king size” serves at $4.80 meanwhile (Section 7).</w:t>
      </w:r>
    </w:p>
    <w:p>
      <w:pPr>
        <w:pStyle w:val="ListParagraph"/>
        <w:numPr>
          <w:ilvl w:val="0"/>
          <w:numId w:val="3"/>
        </w:numPr>
        <w:spacing w:after="60"/>
      </w:pPr>
      <w:r>
        <w:rPr>
          <w:b/>
          <w:bCs/>
        </w:rPr>
        <w:t xml:space="preserve">Price limit below what the top slot costs: </w:t>
      </w:r>
      <w:r>
        <w:t xml:space="preserve">“bamboo cooling sheets” and “bamboo king sheets”. At twice break-even they can’t hold the top. They join only if you raise their ceiling for a set time.</w:t>
      </w:r>
    </w:p>
    <w:p>
      <w:pPr>
        <w:pStyle w:val="ListParagraph"/>
        <w:numPr>
          <w:ilvl w:val="0"/>
          <w:numId w:val="3"/>
        </w:numPr>
        <w:spacing w:after="60"/>
      </w:pPr>
      <w:r>
        <w:rPr>
          <w:b/>
          <w:bCs/>
        </w:rPr>
        <w:t xml:space="preserve">New campaigns: </w:t>
      </w:r>
      <w:r>
        <w:t xml:space="preserve">the three cooling terms. They need new exact campaigns, and campaigns launched in the last deal days learn on deal traffic, the same reason the audit’s 15 new campaigns are held. Their ceilings are also below what the top slot costs. Build them in the 1 October audit, and add them to the rank tracker now.</w:t>
      </w:r>
    </w:p>
    <w:p>
      <w:pPr>
        <w:spacing w:after="100"/>
      </w:pPr>
      <w:r>
        <w:t xml:space="preserve">Left out for now:</w:t>
      </w:r>
    </w:p>
    <w:p>
      <w:pPr>
        <w:pStyle w:val="ListParagraph"/>
        <w:numPr>
          <w:ilvl w:val="0"/>
          <w:numId w:val="3"/>
        </w:numPr>
        <w:spacing w:after="60"/>
      </w:pPr>
      <w:r>
        <w:t xml:space="preserve">“cooling sheets” (rank 142): too far to reach yet.</w:t>
      </w:r>
    </w:p>
    <w:p>
      <w:pPr>
        <w:pStyle w:val="ListParagraph"/>
        <w:numPr>
          <w:ilvl w:val="0"/>
          <w:numId w:val="3"/>
        </w:numPr>
        <w:spacing w:after="60"/>
      </w:pPr>
      <w:r>
        <w:t xml:space="preserve">“cooling bed sheets”: its rank collapsed; find the cause first.</w:t>
      </w:r>
    </w:p>
    <w:p>
      <w:pPr>
        <w:pStyle w:val="ListParagraph"/>
        <w:numPr>
          <w:ilvl w:val="0"/>
          <w:numId w:val="3"/>
        </w:numPr>
        <w:spacing w:after="60"/>
      </w:pPr>
      <w:r>
        <w:t xml:space="preserve">Colour terms such as “black bamboo sheets”: these are conversions terms (Section 9).</w:t>
      </w:r>
    </w:p>
    <w:p>
      <w:pPr>
        <w:pStyle w:val="ListParagraph"/>
        <w:numPr>
          <w:ilvl w:val="0"/>
          <w:numId w:val="3"/>
        </w:numPr>
        <w:spacing w:after="60"/>
      </w:pPr>
      <w:r>
        <w:t xml:space="preserve">“king size bamboo sheets set”: a plan of 5 clicks a week.</w:t>
      </w:r>
    </w:p>
    <w:p>
      <w:pPr>
        <w:pStyle w:val="ListParagraph"/>
        <w:numPr>
          <w:ilvl w:val="0"/>
          <w:numId w:val="3"/>
        </w:numPr>
        <w:spacing w:after="60"/>
      </w:pPr>
      <w:r>
        <w:t xml:space="preserve">The rank-1 targets with no campaign and no data, such as “organic sheets queen”.</w:t>
      </w:r>
    </w:p>
    <w:p>
      <w:pPr>
        <w:spacing w:after="100"/>
      </w:pPr>
      <w:r>
        <w:rPr>
          <w:b/>
          <w:bCs/>
          <w:color w:val="1F3A5F"/>
        </w:rPr>
        <w:t xml:space="preserve">What it costs. </w:t>
      </w:r>
      <w:r>
        <w:t xml:space="preserve">The funded push is about $1,060 a day. With about $220 a day on the other campaigns, total B6 ad spend is about $1,280 a day, inside the $1,300 limit. For the deal’s remaining days (29–30 September) the push costs about $2,100. From 1 October its budget is re-evaluated in the post-deal audit, inside the 10% margin rule.</w:t>
      </w:r>
    </w:p>
    <w:p>
      <w:pPr>
        <w:spacing w:after="100"/>
      </w:pPr>
      <w:r>
        <w:t xml:space="preserve">It should bring about 32 orders a day at about 41% ACoS, which is above the 23.8% break-even: each push order costs more than it earns. The payback is organic. At their target ranks the audit’s plan puts these terms at about 245 units a week, against the roughly 480 a week B6 sells today. Most of those units would come without an ad once the rank holds.</w:t>
      </w:r>
    </w:p>
    <w:p>
      <w:pPr>
        <w:spacing w:after="100"/>
      </w:pPr>
      <w:r>
        <w:t xml:space="preserve">The margin rule governs: check B6’s margin after ads every week, and if it drops below 10%, cut the push from the bottom of the funded list up. Released or re-ceilinged terms join only while total spend stays inside $1,300 a day.</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 Where the hourly sponsored-rank read is missing (Joseph’s team is backfilling it, not for every term), the 30% impression-share test governs on its own.</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Budget. </w:t>
      </w:r>
      <w:r>
        <w:t xml:space="preserve">For the rest of the deal, up to $1,300 a day of B6 ad spend in total, of which the funded push is about $1,060 a day. It is re-evaluated in the 1 October audit.</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(63%)</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base cut in the same write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Colour term: conversions, at break-even; base cut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on fixed bidding,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 on fixed bidding</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fixed bidding and a deeper base cut.</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and fixed bidding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Fixed bidding, which puts it at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fixed bidding,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 on fixed bidding so it can collect them.</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set for the deal days, re-evaluated on 1 October,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on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on fixed bidding, in one write. That leaves room up to $6.00 at the top. It is the plan’s second term (54 units a week), so it is not parked: it serves at $4.80 while its listing is checked, then joins the push (Section 5.3).</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load the funded push terms (Section 5.3), keeping total B6 ad spend within $1,300 a day, and start the listing check on the two King terms.</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fixed bidding, the base cut and the push price in one write, budgets by hand, and daily steps until each holds the top.</w:t>
      </w:r>
    </w:p>
    <w:p>
      <w:pPr>
        <w:pStyle w:val="ListParagraph"/>
        <w:numPr>
          <w:ilvl w:val="0"/>
          <w:numId w:val="3"/>
        </w:numPr>
        <w:spacing w:after="60"/>
      </w:pPr>
      <w:r>
        <w:t xml:space="preserve">Restart “bamboo sheets full” and “bamboo king sheets”. Add “cooling sheets king size”, “cooling sheets queen” and “queen cooling sheets” to the rank tracker; their exact campaigns are built in the 1 October audit. Start hourly tracking of sponsored and organic rank for B6 and True Bamboo on the push terms.</w:t>
      </w:r>
    </w:p>
    <w:p>
      <w:pPr>
        <w:pStyle w:val="ListParagraph"/>
        <w:numPr>
          <w:ilvl w:val="0"/>
          <w:numId w:val="3"/>
        </w:numPr>
        <w:spacing w:after="60"/>
      </w:pPr>
      <w:r>
        <w:t xml:space="preserve">Keep every ranking ad on White, and hold the audit’s 15 new campaigns and the retags.</w:t>
      </w:r>
    </w:p>
    <w:p>
      <w:pPr>
        <w:pStyle w:val="ListParagraph"/>
        <w:numPr>
          <w:ilvl w:val="0"/>
          <w:numId w:val="5"/>
        </w:numPr>
        <w:spacing w:after="60"/>
      </w:pPr>
      <w:r>
        <w:t xml:space="preserve">1 October: the separate post-deal audit re-prices on the full-price margin, sets the TACoS goal and spend limit outside the push, and keeps the push running.</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 and leaves push campaigns on down-only bidding.</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Its own history shows B6 terms reaching the top 10 in a median of 5 days once the clicks land, but its plans don’t put that pace to work. It should also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2026-09-28T23:29:36.667Z</dcterms:created>
  <dcterms:modified xsi:type="dcterms:W3CDTF">2026-09-28T23:29:36.677Z</dcterms:modified>
</cp:coreProperties>
</file>

<file path=docProps/custom.xml><?xml version="1.0" encoding="utf-8"?>
<Properties xmlns="http://schemas.openxmlformats.org/officeDocument/2006/custom-properties" xmlns:vt="http://schemas.openxmlformats.org/officeDocument/2006/docPropsVTypes"/>
</file>