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1F3A5F"/>
          <w:sz w:val="36"/>
          <w:szCs w:val="36"/>
        </w:rPr>
        <w:t xml:space="preserve">Corrections to the 28 September run — Decolure Bamboo Sheets 4-Piece</w:t>
      </w:r>
    </w:p>
    <w:p>
      <w:pPr>
        <w:spacing w:after="100"/>
      </w:pPr>
      <w:r>
        <w:t xml:space="preserve">The first Best Deal (39 ASINs, 15–28 September) ends today. A second Best Deal on 51 ASINs runs 26–30 September, and neither the engine nor its deal calendar knows about it (see “Two Best Deals, not one” below). This run (20260928-9e6e6bb5) moves the focus to Bamboo|California King and Bamboo|Cooling, pushes those two groups on top of search — three terms with a +75% “dose” step — and tapers everything else one −10% rung per run, modifiers first. Out-of-focus campaigns take no new money; what the taper releases is meant to fund the focus. The agent review endorsed the direction and passed 324 of the 343 rows (17 held, 2 corrected).</w:t>
      </w:r>
    </w:p>
    <w:p>
      <w:pPr>
        <w:spacing w:after="100"/>
      </w:pPr>
      <w:r>
        <w:t xml:space="preserve">This document goes over the run the way the 21 September corrections did: each section gives the rule, what the run did, two or three campaigns where the run’s action is the problem, and the correction. Group ranks are Command Center’s 7-day medians; keyword ranks are the tracker readings the engine used (09-28 against 08-29) and are marked as such. Part C checks what the deal and the last corrections actually did. Part D answers the question the run leaves open: after the deal, is this the right focus, and what happens to the head term the run takes out of it?</w:t>
      </w:r>
    </w:p>
    <w:p>
      <w:pPr>
        <w:spacing w:after="100"/>
      </w:pPr>
      <w:r>
        <w:t xml:space="preserve">Every exact-campaign price correction here is checked against “Bids and placements on Exact campaigns” (cited as “the logic”, with its section number). Where the logic and the 21 September deal rules differ, the 21 September deal rules still apply while the second deal runs (29–30 September), and the logic governs from 1 October. Part E lists the places where the logic document contradicts itself.</w:t>
      </w:r>
    </w:p>
    <w:p>
      <w:pPr>
        <w:spacing w:after="100"/>
      </w:pPr>
      <w:r>
        <w:rPr>
          <w:b/>
          <w:bCs/>
          <w:color w:val="1F3A5F"/>
        </w:rPr>
        <w:t xml:space="preserve">In short. </w:t>
      </w:r>
      <w:r>
        <w:t xml:space="preserve">The direction holds for Bamboo|Cooling and is weak for California King. About 110 rows should not load as written (105 to pull, 9 to correct), most of them the same engine faults the 21 September document named: rows the engine itself marks HOLD, no-op and duplicate rows, and predictions no budget can buy. Checked against the logic, the three dose pushes are capped by the market bound, so 369 comes down rather than up, and two pushed terms with no rank on file drop to the ceiling. Every 14-day read in this run falls inside a deal window, which the logic treats as void. The deal doesn’t end today for every ASIN: a second Best Deal runs to 30 September on 51 ASINs, so no in-focus price comes down before 1 October. Two decisions need the owner before anything loads. The first is the flagship “Bamboo Sheets” campaign: the logic says its hold is right, but it has to be written as a funding decision. The second is the California King push on a hero with 44 units.</w:t>
      </w:r>
    </w:p>
    <w:p>
      <w:pPr>
        <w:pStyle w:val="Heading2"/>
      </w:pPr>
      <w:r>
        <w:t xml:space="preserve">Where the product stands at the end of the deal</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249"/>
        <w:gridCol w:w="880"/>
        <w:gridCol w:w="978"/>
        <w:gridCol w:w="782"/>
        <w:gridCol w:w="782"/>
        <w:gridCol w:w="880"/>
        <w:gridCol w:w="880"/>
        <w:gridCol w:w="880"/>
        <w:gridCol w:w="782"/>
        <w:gridCol w:w="879"/>
      </w:tblGrid>
      <w:tr>
        <w:trPr>
          <w:tblHeader/>
        </w:trPr>
        <w:tc>
          <w:tcPr>
            <w:tcW w:type="dxa" w:w="2249"/>
            <w:shd w:fill="1F3A5F" w:color="auto" w:val="clear"/>
            <w:tcMar>
              <w:top w:type="dxa" w:w="40"/>
              <w:left w:type="dxa" w:w="70"/>
              <w:bottom w:type="dxa" w:w="40"/>
              <w:right w:type="dxa" w:w="70"/>
            </w:tcMar>
          </w:tcPr>
          <w:p>
            <w:pPr>
              <w:spacing w:after="0"/>
            </w:pPr>
            <w:r>
              <w:rPr>
                <w:b/>
                <w:bCs/>
                <w:color w:val="FFFFFF"/>
                <w:sz w:val="17"/>
                <w:szCs w:val="17"/>
              </w:rPr>
              <w:t xml:space="preserve">Window</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Spend / day</w:t>
            </w:r>
          </w:p>
        </w:tc>
        <w:tc>
          <w:tcPr>
            <w:tcW w:type="dxa" w:w="978"/>
            <w:shd w:fill="1F3A5F" w:color="auto" w:val="clear"/>
            <w:tcMar>
              <w:top w:type="dxa" w:w="40"/>
              <w:left w:type="dxa" w:w="70"/>
              <w:bottom w:type="dxa" w:w="40"/>
              <w:right w:type="dxa" w:w="70"/>
            </w:tcMar>
          </w:tcPr>
          <w:p>
            <w:pPr>
              <w:spacing w:after="0"/>
            </w:pPr>
            <w:r>
              <w:rPr>
                <w:b/>
                <w:bCs/>
                <w:color w:val="FFFFFF"/>
                <w:sz w:val="17"/>
                <w:szCs w:val="17"/>
              </w:rPr>
              <w:t xml:space="preserve">Ad sales / day</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ACoS</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CVR</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Orders / day</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TOS clicks / day</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PP clicks / day</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TOS share</w:t>
            </w:r>
          </w:p>
        </w:tc>
        <w:tc>
          <w:tcPr>
            <w:tcW w:type="dxa" w:w="879"/>
            <w:shd w:fill="1F3A5F" w:color="auto" w:val="clear"/>
            <w:tcMar>
              <w:top w:type="dxa" w:w="40"/>
              <w:left w:type="dxa" w:w="70"/>
              <w:bottom w:type="dxa" w:w="40"/>
              <w:right w:type="dxa" w:w="70"/>
            </w:tcMar>
          </w:tcPr>
          <w:p>
            <w:pPr>
              <w:spacing w:after="0"/>
            </w:pPr>
            <w:r>
              <w:rPr>
                <w:b/>
                <w:bCs/>
                <w:color w:val="FFFFFF"/>
                <w:sz w:val="17"/>
                <w:szCs w:val="17"/>
              </w:rPr>
              <w:t xml:space="preserve">Eff. TOS bid</w:t>
            </w:r>
          </w:p>
        </w:tc>
      </w:tr>
      <w:tr>
        <w:tc>
          <w:tcPr>
            <w:tcW w:type="dxa" w:w="2249"/>
            <w:shd w:fill="FFFFFF" w:color="auto" w:val="clear"/>
            <w:tcMar>
              <w:top w:type="dxa" w:w="40"/>
              <w:left w:type="dxa" w:w="70"/>
              <w:bottom w:type="dxa" w:w="40"/>
              <w:right w:type="dxa" w:w="70"/>
            </w:tcMar>
          </w:tcPr>
          <w:p>
            <w:pPr>
              <w:spacing w:after="0"/>
            </w:pPr>
            <w:r>
              <w:rPr>
                <w:sz w:val="17"/>
                <w:szCs w:val="17"/>
              </w:rPr>
              <w:t xml:space="preserve">Before the deal (09-02 → 09-14)</w:t>
            </w:r>
          </w:p>
        </w:tc>
        <w:tc>
          <w:tcPr>
            <w:tcW w:type="dxa" w:w="880"/>
            <w:shd w:fill="FFFFFF" w:color="auto" w:val="clear"/>
            <w:tcMar>
              <w:top w:type="dxa" w:w="40"/>
              <w:left w:type="dxa" w:w="70"/>
              <w:bottom w:type="dxa" w:w="40"/>
              <w:right w:type="dxa" w:w="70"/>
            </w:tcMar>
          </w:tcPr>
          <w:p>
            <w:pPr>
              <w:spacing w:after="0"/>
            </w:pPr>
            <w:r>
              <w:rPr>
                <w:sz w:val="17"/>
                <w:szCs w:val="17"/>
              </w:rPr>
              <w:t xml:space="preserve">$656</w:t>
            </w:r>
          </w:p>
        </w:tc>
        <w:tc>
          <w:tcPr>
            <w:tcW w:type="dxa" w:w="978"/>
            <w:shd w:fill="FFFFFF" w:color="auto" w:val="clear"/>
            <w:tcMar>
              <w:top w:type="dxa" w:w="40"/>
              <w:left w:type="dxa" w:w="70"/>
              <w:bottom w:type="dxa" w:w="40"/>
              <w:right w:type="dxa" w:w="70"/>
            </w:tcMar>
          </w:tcPr>
          <w:p>
            <w:pPr>
              <w:spacing w:after="0"/>
            </w:pPr>
            <w:r>
              <w:rPr>
                <w:sz w:val="17"/>
                <w:szCs w:val="17"/>
              </w:rPr>
              <w:t xml:space="preserve">$2,083</w:t>
            </w:r>
          </w:p>
        </w:tc>
        <w:tc>
          <w:tcPr>
            <w:tcW w:type="dxa" w:w="782"/>
            <w:shd w:fill="FFFFFF" w:color="auto" w:val="clear"/>
            <w:tcMar>
              <w:top w:type="dxa" w:w="40"/>
              <w:left w:type="dxa" w:w="70"/>
              <w:bottom w:type="dxa" w:w="40"/>
              <w:right w:type="dxa" w:w="70"/>
            </w:tcMar>
          </w:tcPr>
          <w:p>
            <w:pPr>
              <w:spacing w:after="0"/>
            </w:pPr>
            <w:r>
              <w:rPr>
                <w:sz w:val="17"/>
                <w:szCs w:val="17"/>
              </w:rPr>
              <w:t xml:space="preserve">31.5%</w:t>
            </w:r>
          </w:p>
        </w:tc>
        <w:tc>
          <w:tcPr>
            <w:tcW w:type="dxa" w:w="782"/>
            <w:shd w:fill="FFFFFF" w:color="auto" w:val="clear"/>
            <w:tcMar>
              <w:top w:type="dxa" w:w="40"/>
              <w:left w:type="dxa" w:w="70"/>
              <w:bottom w:type="dxa" w:w="40"/>
              <w:right w:type="dxa" w:w="70"/>
            </w:tcMar>
          </w:tcPr>
          <w:p>
            <w:pPr>
              <w:spacing w:after="0"/>
            </w:pPr>
            <w:r>
              <w:rPr>
                <w:sz w:val="17"/>
                <w:szCs w:val="17"/>
              </w:rPr>
              <w:t xml:space="preserve">12.5%</w:t>
            </w:r>
          </w:p>
        </w:tc>
        <w:tc>
          <w:tcPr>
            <w:tcW w:type="dxa" w:w="880"/>
            <w:shd w:fill="FFFFFF" w:color="auto" w:val="clear"/>
            <w:tcMar>
              <w:top w:type="dxa" w:w="40"/>
              <w:left w:type="dxa" w:w="70"/>
              <w:bottom w:type="dxa" w:w="40"/>
              <w:right w:type="dxa" w:w="70"/>
            </w:tcMar>
          </w:tcPr>
          <w:p>
            <w:pPr>
              <w:spacing w:after="0"/>
            </w:pPr>
            <w:r>
              <w:rPr>
                <w:sz w:val="17"/>
                <w:szCs w:val="17"/>
              </w:rPr>
              <w:t xml:space="preserve">27.2</w:t>
            </w:r>
          </w:p>
        </w:tc>
        <w:tc>
          <w:tcPr>
            <w:tcW w:type="dxa" w:w="880"/>
            <w:shd w:fill="FFFFFF" w:color="auto" w:val="clear"/>
            <w:tcMar>
              <w:top w:type="dxa" w:w="40"/>
              <w:left w:type="dxa" w:w="70"/>
              <w:bottom w:type="dxa" w:w="40"/>
              <w:right w:type="dxa" w:w="70"/>
            </w:tcMar>
          </w:tcPr>
          <w:p>
            <w:pPr>
              <w:spacing w:after="0"/>
            </w:pPr>
            <w:r>
              <w:rPr>
                <w:sz w:val="17"/>
                <w:szCs w:val="17"/>
              </w:rPr>
              <w:t xml:space="preserve">94</w:t>
            </w:r>
          </w:p>
        </w:tc>
        <w:tc>
          <w:tcPr>
            <w:tcW w:type="dxa" w:w="880"/>
            <w:shd w:fill="FFFFFF" w:color="auto" w:val="clear"/>
            <w:tcMar>
              <w:top w:type="dxa" w:w="40"/>
              <w:left w:type="dxa" w:w="70"/>
              <w:bottom w:type="dxa" w:w="40"/>
              <w:right w:type="dxa" w:w="70"/>
            </w:tcMar>
          </w:tcPr>
          <w:p>
            <w:pPr>
              <w:spacing w:after="0"/>
            </w:pPr>
            <w:r>
              <w:rPr>
                <w:sz w:val="17"/>
                <w:szCs w:val="17"/>
              </w:rPr>
              <w:t xml:space="preserve">105</w:t>
            </w:r>
          </w:p>
        </w:tc>
        <w:tc>
          <w:tcPr>
            <w:tcW w:type="dxa" w:w="782"/>
            <w:shd w:fill="FFFFFF" w:color="auto" w:val="clear"/>
            <w:tcMar>
              <w:top w:type="dxa" w:w="40"/>
              <w:left w:type="dxa" w:w="70"/>
              <w:bottom w:type="dxa" w:w="40"/>
              <w:right w:type="dxa" w:w="70"/>
            </w:tcMar>
          </w:tcPr>
          <w:p>
            <w:pPr>
              <w:spacing w:after="0"/>
            </w:pPr>
            <w:r>
              <w:rPr>
                <w:sz w:val="17"/>
                <w:szCs w:val="17"/>
              </w:rPr>
              <w:t xml:space="preserve">37%</w:t>
            </w:r>
          </w:p>
        </w:tc>
        <w:tc>
          <w:tcPr>
            <w:tcW w:type="dxa" w:w="879"/>
            <w:shd w:fill="FFFFFF" w:color="auto" w:val="clear"/>
            <w:tcMar>
              <w:top w:type="dxa" w:w="40"/>
              <w:left w:type="dxa" w:w="70"/>
              <w:bottom w:type="dxa" w:w="40"/>
              <w:right w:type="dxa" w:w="70"/>
            </w:tcMar>
          </w:tcPr>
          <w:p>
            <w:pPr>
              <w:spacing w:after="0"/>
            </w:pPr>
            <w:r>
              <w:rPr>
                <w:sz w:val="17"/>
                <w:szCs w:val="17"/>
              </w:rPr>
              <w:t xml:space="preserve">$4.44</w:t>
            </w:r>
          </w:p>
        </w:tc>
      </w:tr>
      <w:tr>
        <w:tc>
          <w:tcPr>
            <w:tcW w:type="dxa" w:w="2249"/>
            <w:shd w:fill="F2F5F9" w:color="auto" w:val="clear"/>
            <w:tcMar>
              <w:top w:type="dxa" w:w="40"/>
              <w:left w:type="dxa" w:w="70"/>
              <w:bottom w:type="dxa" w:w="40"/>
              <w:right w:type="dxa" w:w="70"/>
            </w:tcMar>
          </w:tcPr>
          <w:p>
            <w:pPr>
              <w:spacing w:after="0"/>
            </w:pPr>
            <w:r>
              <w:rPr>
                <w:sz w:val="17"/>
                <w:szCs w:val="17"/>
              </w:rPr>
              <w:t xml:space="preserve">Deal, first week (09-15 → 09-21)</w:t>
            </w:r>
          </w:p>
        </w:tc>
        <w:tc>
          <w:tcPr>
            <w:tcW w:type="dxa" w:w="880"/>
            <w:shd w:fill="F2F5F9" w:color="auto" w:val="clear"/>
            <w:tcMar>
              <w:top w:type="dxa" w:w="40"/>
              <w:left w:type="dxa" w:w="70"/>
              <w:bottom w:type="dxa" w:w="40"/>
              <w:right w:type="dxa" w:w="70"/>
            </w:tcMar>
          </w:tcPr>
          <w:p>
            <w:pPr>
              <w:spacing w:after="0"/>
            </w:pPr>
            <w:r>
              <w:rPr>
                <w:sz w:val="17"/>
                <w:szCs w:val="17"/>
              </w:rPr>
              <w:t xml:space="preserve">$1,169</w:t>
            </w:r>
          </w:p>
        </w:tc>
        <w:tc>
          <w:tcPr>
            <w:tcW w:type="dxa" w:w="978"/>
            <w:shd w:fill="F2F5F9" w:color="auto" w:val="clear"/>
            <w:tcMar>
              <w:top w:type="dxa" w:w="40"/>
              <w:left w:type="dxa" w:w="70"/>
              <w:bottom w:type="dxa" w:w="40"/>
              <w:right w:type="dxa" w:w="70"/>
            </w:tcMar>
          </w:tcPr>
          <w:p>
            <w:pPr>
              <w:spacing w:after="0"/>
            </w:pPr>
            <w:r>
              <w:rPr>
                <w:sz w:val="17"/>
                <w:szCs w:val="17"/>
              </w:rPr>
              <w:t xml:space="preserve">$2,691</w:t>
            </w:r>
          </w:p>
        </w:tc>
        <w:tc>
          <w:tcPr>
            <w:tcW w:type="dxa" w:w="782"/>
            <w:shd w:fill="F2F5F9" w:color="auto" w:val="clear"/>
            <w:tcMar>
              <w:top w:type="dxa" w:w="40"/>
              <w:left w:type="dxa" w:w="70"/>
              <w:bottom w:type="dxa" w:w="40"/>
              <w:right w:type="dxa" w:w="70"/>
            </w:tcMar>
          </w:tcPr>
          <w:p>
            <w:pPr>
              <w:spacing w:after="0"/>
            </w:pPr>
            <w:r>
              <w:rPr>
                <w:sz w:val="17"/>
                <w:szCs w:val="17"/>
              </w:rPr>
              <w:t xml:space="preserve">43.5%</w:t>
            </w:r>
          </w:p>
        </w:tc>
        <w:tc>
          <w:tcPr>
            <w:tcW w:type="dxa" w:w="782"/>
            <w:shd w:fill="F2F5F9" w:color="auto" w:val="clear"/>
            <w:tcMar>
              <w:top w:type="dxa" w:w="40"/>
              <w:left w:type="dxa" w:w="70"/>
              <w:bottom w:type="dxa" w:w="40"/>
              <w:right w:type="dxa" w:w="70"/>
            </w:tcMar>
          </w:tcPr>
          <w:p>
            <w:pPr>
              <w:spacing w:after="0"/>
            </w:pPr>
            <w:r>
              <w:rPr>
                <w:sz w:val="17"/>
                <w:szCs w:val="17"/>
              </w:rPr>
              <w:t xml:space="preserve">10.8%</w:t>
            </w:r>
          </w:p>
        </w:tc>
        <w:tc>
          <w:tcPr>
            <w:tcW w:type="dxa" w:w="880"/>
            <w:shd w:fill="F2F5F9" w:color="auto" w:val="clear"/>
            <w:tcMar>
              <w:top w:type="dxa" w:w="40"/>
              <w:left w:type="dxa" w:w="70"/>
              <w:bottom w:type="dxa" w:w="40"/>
              <w:right w:type="dxa" w:w="70"/>
            </w:tcMar>
          </w:tcPr>
          <w:p>
            <w:pPr>
              <w:spacing w:after="0"/>
            </w:pPr>
            <w:r>
              <w:rPr>
                <w:sz w:val="17"/>
                <w:szCs w:val="17"/>
              </w:rPr>
              <w:t xml:space="preserve">36.9</w:t>
            </w:r>
          </w:p>
        </w:tc>
        <w:tc>
          <w:tcPr>
            <w:tcW w:type="dxa" w:w="880"/>
            <w:shd w:fill="F2F5F9" w:color="auto" w:val="clear"/>
            <w:tcMar>
              <w:top w:type="dxa" w:w="40"/>
              <w:left w:type="dxa" w:w="70"/>
              <w:bottom w:type="dxa" w:w="40"/>
              <w:right w:type="dxa" w:w="70"/>
            </w:tcMar>
          </w:tcPr>
          <w:p>
            <w:pPr>
              <w:spacing w:after="0"/>
            </w:pPr>
            <w:r>
              <w:rPr>
                <w:sz w:val="17"/>
                <w:szCs w:val="17"/>
              </w:rPr>
              <w:t xml:space="preserve">153</w:t>
            </w:r>
          </w:p>
        </w:tc>
        <w:tc>
          <w:tcPr>
            <w:tcW w:type="dxa" w:w="880"/>
            <w:shd w:fill="F2F5F9" w:color="auto" w:val="clear"/>
            <w:tcMar>
              <w:top w:type="dxa" w:w="40"/>
              <w:left w:type="dxa" w:w="70"/>
              <w:bottom w:type="dxa" w:w="40"/>
              <w:right w:type="dxa" w:w="70"/>
            </w:tcMar>
          </w:tcPr>
          <w:p>
            <w:pPr>
              <w:spacing w:after="0"/>
            </w:pPr>
            <w:r>
              <w:rPr>
                <w:sz w:val="17"/>
                <w:szCs w:val="17"/>
              </w:rPr>
              <w:t xml:space="preserve">145</w:t>
            </w:r>
          </w:p>
        </w:tc>
        <w:tc>
          <w:tcPr>
            <w:tcW w:type="dxa" w:w="782"/>
            <w:shd w:fill="F2F5F9" w:color="auto" w:val="clear"/>
            <w:tcMar>
              <w:top w:type="dxa" w:w="40"/>
              <w:left w:type="dxa" w:w="70"/>
              <w:bottom w:type="dxa" w:w="40"/>
              <w:right w:type="dxa" w:w="70"/>
            </w:tcMar>
          </w:tcPr>
          <w:p>
            <w:pPr>
              <w:spacing w:after="0"/>
            </w:pPr>
            <w:r>
              <w:rPr>
                <w:sz w:val="17"/>
                <w:szCs w:val="17"/>
              </w:rPr>
              <w:t xml:space="preserve">42%</w:t>
            </w:r>
          </w:p>
        </w:tc>
        <w:tc>
          <w:tcPr>
            <w:tcW w:type="dxa" w:w="879"/>
            <w:shd w:fill="F2F5F9" w:color="auto" w:val="clear"/>
            <w:tcMar>
              <w:top w:type="dxa" w:w="40"/>
              <w:left w:type="dxa" w:w="70"/>
              <w:bottom w:type="dxa" w:w="40"/>
              <w:right w:type="dxa" w:w="70"/>
            </w:tcMar>
          </w:tcPr>
          <w:p>
            <w:pPr>
              <w:spacing w:after="0"/>
            </w:pPr>
            <w:r>
              <w:rPr>
                <w:sz w:val="17"/>
                <w:szCs w:val="17"/>
              </w:rPr>
              <w:t xml:space="preserve">$5.48</w:t>
            </w:r>
          </w:p>
        </w:tc>
      </w:tr>
      <w:tr>
        <w:tc>
          <w:tcPr>
            <w:tcW w:type="dxa" w:w="2249"/>
            <w:shd w:fill="FFFFFF" w:color="auto" w:val="clear"/>
            <w:tcMar>
              <w:top w:type="dxa" w:w="40"/>
              <w:left w:type="dxa" w:w="70"/>
              <w:bottom w:type="dxa" w:w="40"/>
              <w:right w:type="dxa" w:w="70"/>
            </w:tcMar>
          </w:tcPr>
          <w:p>
            <w:pPr>
              <w:spacing w:after="0"/>
            </w:pPr>
            <w:r>
              <w:rPr>
                <w:sz w:val="17"/>
                <w:szCs w:val="17"/>
              </w:rPr>
              <w:t xml:space="preserve">Deal, second week (09-22 → 09-27; second deal from 09-26)</w:t>
            </w:r>
          </w:p>
        </w:tc>
        <w:tc>
          <w:tcPr>
            <w:tcW w:type="dxa" w:w="880"/>
            <w:shd w:fill="FFFFFF" w:color="auto" w:val="clear"/>
            <w:tcMar>
              <w:top w:type="dxa" w:w="40"/>
              <w:left w:type="dxa" w:w="70"/>
              <w:bottom w:type="dxa" w:w="40"/>
              <w:right w:type="dxa" w:w="70"/>
            </w:tcMar>
          </w:tcPr>
          <w:p>
            <w:pPr>
              <w:spacing w:after="0"/>
            </w:pPr>
            <w:r>
              <w:rPr>
                <w:sz w:val="17"/>
                <w:szCs w:val="17"/>
              </w:rPr>
              <w:t xml:space="preserve">$1,142</w:t>
            </w:r>
          </w:p>
        </w:tc>
        <w:tc>
          <w:tcPr>
            <w:tcW w:type="dxa" w:w="978"/>
            <w:shd w:fill="FFFFFF" w:color="auto" w:val="clear"/>
            <w:tcMar>
              <w:top w:type="dxa" w:w="40"/>
              <w:left w:type="dxa" w:w="70"/>
              <w:bottom w:type="dxa" w:w="40"/>
              <w:right w:type="dxa" w:w="70"/>
            </w:tcMar>
          </w:tcPr>
          <w:p>
            <w:pPr>
              <w:spacing w:after="0"/>
            </w:pPr>
            <w:r>
              <w:rPr>
                <w:sz w:val="17"/>
                <w:szCs w:val="17"/>
              </w:rPr>
              <w:t xml:space="preserve">$2,541*</w:t>
            </w:r>
          </w:p>
        </w:tc>
        <w:tc>
          <w:tcPr>
            <w:tcW w:type="dxa" w:w="782"/>
            <w:shd w:fill="FFFFFF" w:color="auto" w:val="clear"/>
            <w:tcMar>
              <w:top w:type="dxa" w:w="40"/>
              <w:left w:type="dxa" w:w="70"/>
              <w:bottom w:type="dxa" w:w="40"/>
              <w:right w:type="dxa" w:w="70"/>
            </w:tcMar>
          </w:tcPr>
          <w:p>
            <w:pPr>
              <w:spacing w:after="0"/>
            </w:pPr>
            <w:r>
              <w:rPr>
                <w:sz w:val="17"/>
                <w:szCs w:val="17"/>
              </w:rPr>
              <w:t xml:space="preserve">45.0%*</w:t>
            </w:r>
          </w:p>
        </w:tc>
        <w:tc>
          <w:tcPr>
            <w:tcW w:type="dxa" w:w="782"/>
            <w:shd w:fill="FFFFFF" w:color="auto" w:val="clear"/>
            <w:tcMar>
              <w:top w:type="dxa" w:w="40"/>
              <w:left w:type="dxa" w:w="70"/>
              <w:bottom w:type="dxa" w:w="40"/>
              <w:right w:type="dxa" w:w="70"/>
            </w:tcMar>
          </w:tcPr>
          <w:p>
            <w:pPr>
              <w:spacing w:after="0"/>
            </w:pPr>
            <w:r>
              <w:rPr>
                <w:sz w:val="17"/>
                <w:szCs w:val="17"/>
              </w:rPr>
              <w:t xml:space="preserve">9.6%*</w:t>
            </w:r>
          </w:p>
        </w:tc>
        <w:tc>
          <w:tcPr>
            <w:tcW w:type="dxa" w:w="880"/>
            <w:shd w:fill="FFFFFF" w:color="auto" w:val="clear"/>
            <w:tcMar>
              <w:top w:type="dxa" w:w="40"/>
              <w:left w:type="dxa" w:w="70"/>
              <w:bottom w:type="dxa" w:w="40"/>
              <w:right w:type="dxa" w:w="70"/>
            </w:tcMar>
          </w:tcPr>
          <w:p>
            <w:pPr>
              <w:spacing w:after="0"/>
            </w:pPr>
            <w:r>
              <w:rPr>
                <w:sz w:val="17"/>
                <w:szCs w:val="17"/>
              </w:rPr>
              <w:t xml:space="preserve">35.8*</w:t>
            </w:r>
          </w:p>
        </w:tc>
        <w:tc>
          <w:tcPr>
            <w:tcW w:type="dxa" w:w="880"/>
            <w:shd w:fill="FFFFFF" w:color="auto" w:val="clear"/>
            <w:tcMar>
              <w:top w:type="dxa" w:w="40"/>
              <w:left w:type="dxa" w:w="70"/>
              <w:bottom w:type="dxa" w:w="40"/>
              <w:right w:type="dxa" w:w="70"/>
            </w:tcMar>
          </w:tcPr>
          <w:p>
            <w:pPr>
              <w:spacing w:after="0"/>
            </w:pPr>
            <w:r>
              <w:rPr>
                <w:sz w:val="17"/>
                <w:szCs w:val="17"/>
              </w:rPr>
              <w:t xml:space="preserve">147</w:t>
            </w:r>
          </w:p>
        </w:tc>
        <w:tc>
          <w:tcPr>
            <w:tcW w:type="dxa" w:w="880"/>
            <w:shd w:fill="FFFFFF" w:color="auto" w:val="clear"/>
            <w:tcMar>
              <w:top w:type="dxa" w:w="40"/>
              <w:left w:type="dxa" w:w="70"/>
              <w:bottom w:type="dxa" w:w="40"/>
              <w:right w:type="dxa" w:w="70"/>
            </w:tcMar>
          </w:tcPr>
          <w:p>
            <w:pPr>
              <w:spacing w:after="0"/>
            </w:pPr>
            <w:r>
              <w:rPr>
                <w:sz w:val="17"/>
                <w:szCs w:val="17"/>
              </w:rPr>
              <w:t xml:space="preserve">149</w:t>
            </w:r>
          </w:p>
        </w:tc>
        <w:tc>
          <w:tcPr>
            <w:tcW w:type="dxa" w:w="782"/>
            <w:shd w:fill="FFFFFF" w:color="auto" w:val="clear"/>
            <w:tcMar>
              <w:top w:type="dxa" w:w="40"/>
              <w:left w:type="dxa" w:w="70"/>
              <w:bottom w:type="dxa" w:w="40"/>
              <w:right w:type="dxa" w:w="70"/>
            </w:tcMar>
          </w:tcPr>
          <w:p>
            <w:pPr>
              <w:spacing w:after="0"/>
            </w:pPr>
            <w:r>
              <w:rPr>
                <w:sz w:val="17"/>
                <w:szCs w:val="17"/>
              </w:rPr>
              <w:t xml:space="preserve">37%</w:t>
            </w:r>
          </w:p>
        </w:tc>
        <w:tc>
          <w:tcPr>
            <w:tcW w:type="dxa" w:w="879"/>
            <w:shd w:fill="FFFFFF" w:color="auto" w:val="clear"/>
            <w:tcMar>
              <w:top w:type="dxa" w:w="40"/>
              <w:left w:type="dxa" w:w="70"/>
              <w:bottom w:type="dxa" w:w="40"/>
              <w:right w:type="dxa" w:w="70"/>
            </w:tcMar>
          </w:tcPr>
          <w:p>
            <w:pPr>
              <w:spacing w:after="0"/>
            </w:pPr>
            <w:r>
              <w:rPr>
                <w:sz w:val="17"/>
                <w:szCs w:val="17"/>
              </w:rPr>
              <w:t xml:space="preserve">$5.40</w:t>
            </w:r>
          </w:p>
        </w:tc>
      </w:tr>
    </w:tbl>
    <w:p>
      <w:pPr>
        <w:spacing w:after="120"/>
      </w:pPr>
      <w:r>
        <w:rPr>
          <w:i/>
          <w:iCs/>
          <w:color w:val="555555"/>
          <w:sz w:val="17"/>
          <w:szCs w:val="17"/>
        </w:rPr>
        <w:t xml:space="preserve">Command Center, product 59, all campaigns. TOS / PP = top of search / product pages, estimated by Command Center from the campaign placement report. TOS share is of all clicks, off-Amazon included. * Still settling: 7-day attribution fills in until 10-04.</w:t>
      </w:r>
    </w:p>
    <w:p>
      <w:pPr>
        <w:spacing w:after="100"/>
      </w:pPr>
      <w:r>
        <w:t xml:space="preserve">The deal raised spend 76% and ad sales 26% (13 days against the 13 before): orders went up a third, ACoS went from 31.5% to 44.1% against a 33.3% break-even, and CVR fell from 12.5% to 10.2%. Top of search went from 94 to about 150 clicks a day, but product pages grew almost as much, so top of search stayed near 40% of clicks. The only price move that shows is the 15/16 September round. In the second week the bid did not move, which means the daily push the 21 September corrections called for from 09-24 was never loaded (Part C1).</w:t>
      </w:r>
    </w:p>
    <w:p>
      <w:pPr>
        <w:pStyle w:val="Heading2"/>
      </w:pPr>
      <w:r>
        <w:t xml:space="preserve">What the run plans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1700"/>
        <w:gridCol w:w="1700"/>
        <w:gridCol w:w="1872"/>
      </w:tblGrid>
      <w:tr>
        <w:trPr>
          <w:tblHeader/>
        </w:trPr>
        <w:tc>
          <w:tcPr>
            <w:tcW w:type="dxa" w:w="3000"/>
            <w:shd w:fill="1F3A5F" w:color="auto" w:val="clear"/>
            <w:tcMar>
              <w:top w:type="dxa" w:w="40"/>
              <w:left w:type="dxa" w:w="70"/>
              <w:bottom w:type="dxa" w:w="40"/>
              <w:right w:type="dxa" w:w="70"/>
            </w:tcMar>
          </w:tcPr>
          <w:p>
            <w:pPr>
              <w:spacing w:after="0"/>
            </w:pPr>
            <w:r>
              <w:rPr>
                <w:b/>
                <w:bCs/>
                <w:color w:val="FFFFFF"/>
                <w:sz w:val="17"/>
                <w:szCs w:val="17"/>
              </w:rPr>
              <w:t xml:space="preserve">Per day unless stated</w:t>
            </w:r>
          </w:p>
        </w:tc>
        <w:tc>
          <w:tcPr>
            <w:tcW w:type="dxa" w:w="1700"/>
            <w:shd w:fill="1F3A5F" w:color="auto" w:val="clear"/>
            <w:tcMar>
              <w:top w:type="dxa" w:w="40"/>
              <w:left w:type="dxa" w:w="70"/>
              <w:bottom w:type="dxa" w:w="40"/>
              <w:right w:type="dxa" w:w="70"/>
            </w:tcMar>
          </w:tcPr>
          <w:p>
            <w:pPr>
              <w:spacing w:after="0"/>
            </w:pPr>
            <w:r>
              <w:rPr>
                <w:b/>
                <w:bCs/>
                <w:color w:val="FFFFFF"/>
                <w:sz w:val="17"/>
                <w:szCs w:val="17"/>
              </w:rPr>
              <w:t xml:space="preserve">Before (engine baseline)</w:t>
            </w:r>
          </w:p>
        </w:tc>
        <w:tc>
          <w:tcPr>
            <w:tcW w:type="dxa" w:w="1700"/>
            <w:shd w:fill="1F3A5F" w:color="auto" w:val="clear"/>
            <w:tcMar>
              <w:top w:type="dxa" w:w="40"/>
              <w:left w:type="dxa" w:w="70"/>
              <w:bottom w:type="dxa" w:w="40"/>
              <w:right w:type="dxa" w:w="70"/>
            </w:tcMar>
          </w:tcPr>
          <w:p>
            <w:pPr>
              <w:spacing w:after="0"/>
            </w:pPr>
            <w:r>
              <w:rPr>
                <w:b/>
                <w:bCs/>
                <w:color w:val="FFFFFF"/>
                <w:sz w:val="17"/>
                <w:szCs w:val="17"/>
              </w:rPr>
              <w:t xml:space="preserve">Engine plan</w:t>
            </w:r>
          </w:p>
        </w:tc>
        <w:tc>
          <w:tcPr>
            <w:tcW w:type="dxa" w:w="1700"/>
            <w:shd w:fill="1F3A5F" w:color="auto" w:val="clear"/>
            <w:tcMar>
              <w:top w:type="dxa" w:w="40"/>
              <w:left w:type="dxa" w:w="70"/>
              <w:bottom w:type="dxa" w:w="40"/>
              <w:right w:type="dxa" w:w="70"/>
            </w:tcMar>
          </w:tcPr>
          <w:p>
            <w:pPr>
              <w:spacing w:after="0"/>
            </w:pPr>
            <w:r>
              <w:rPr>
                <w:b/>
                <w:bCs/>
                <w:color w:val="FFFFFF"/>
                <w:sz w:val="17"/>
                <w:szCs w:val="17"/>
              </w:rPr>
              <w:t xml:space="preserve">After the review</w:t>
            </w:r>
          </w:p>
        </w:tc>
        <w:tc>
          <w:tcPr>
            <w:tcW w:type="dxa" w:w="1872"/>
            <w:shd w:fill="1F3A5F" w:color="auto" w:val="clear"/>
            <w:tcMar>
              <w:top w:type="dxa" w:w="40"/>
              <w:left w:type="dxa" w:w="70"/>
              <w:bottom w:type="dxa" w:w="40"/>
              <w:right w:type="dxa" w:w="70"/>
            </w:tcMar>
          </w:tcPr>
          <w:p>
            <w:pPr>
              <w:spacing w:after="0"/>
            </w:pPr>
            <w:r>
              <w:rPr>
                <w:b/>
                <w:bCs/>
                <w:color w:val="FFFFFF"/>
                <w:sz w:val="17"/>
                <w:szCs w:val="17"/>
              </w:rPr>
              <w:t xml:space="preserve">Read with</w:t>
            </w:r>
          </w:p>
        </w:tc>
      </w:tr>
      <w:tr>
        <w:tc>
          <w:tcPr>
            <w:tcW w:type="dxa" w:w="3000"/>
            <w:shd w:fill="FFFFFF" w:color="auto" w:val="clear"/>
            <w:tcMar>
              <w:top w:type="dxa" w:w="40"/>
              <w:left w:type="dxa" w:w="70"/>
              <w:bottom w:type="dxa" w:w="40"/>
              <w:right w:type="dxa" w:w="70"/>
            </w:tcMar>
          </w:tcPr>
          <w:p>
            <w:pPr>
              <w:spacing w:after="0"/>
            </w:pPr>
            <w:r>
              <w:rPr>
                <w:sz w:val="17"/>
                <w:szCs w:val="17"/>
              </w:rPr>
              <w:t xml:space="preserve">Ad spend</w:t>
            </w:r>
          </w:p>
        </w:tc>
        <w:tc>
          <w:tcPr>
            <w:tcW w:type="dxa" w:w="1700"/>
            <w:shd w:fill="FFFFFF" w:color="auto" w:val="clear"/>
            <w:tcMar>
              <w:top w:type="dxa" w:w="40"/>
              <w:left w:type="dxa" w:w="70"/>
              <w:bottom w:type="dxa" w:w="40"/>
              <w:right w:type="dxa" w:w="70"/>
            </w:tcMar>
          </w:tcPr>
          <w:p>
            <w:pPr>
              <w:spacing w:after="0"/>
            </w:pPr>
            <w:r>
              <w:rPr>
                <w:sz w:val="17"/>
                <w:szCs w:val="17"/>
              </w:rPr>
              <w:t xml:space="preserve">$1,107</w:t>
            </w:r>
          </w:p>
        </w:tc>
        <w:tc>
          <w:tcPr>
            <w:tcW w:type="dxa" w:w="1700"/>
            <w:shd w:fill="FFFFFF" w:color="auto" w:val="clear"/>
            <w:tcMar>
              <w:top w:type="dxa" w:w="40"/>
              <w:left w:type="dxa" w:w="70"/>
              <w:bottom w:type="dxa" w:w="40"/>
              <w:right w:type="dxa" w:w="70"/>
            </w:tcMar>
          </w:tcPr>
          <w:p>
            <w:pPr>
              <w:spacing w:after="0"/>
            </w:pPr>
            <w:r>
              <w:rPr>
                <w:sz w:val="17"/>
                <w:szCs w:val="17"/>
              </w:rPr>
              <w:t xml:space="preserve">$1,384</w:t>
            </w:r>
          </w:p>
        </w:tc>
        <w:tc>
          <w:tcPr>
            <w:tcW w:type="dxa" w:w="1700"/>
            <w:shd w:fill="FFFFFF" w:color="auto" w:val="clear"/>
            <w:tcMar>
              <w:top w:type="dxa" w:w="40"/>
              <w:left w:type="dxa" w:w="70"/>
              <w:bottom w:type="dxa" w:w="40"/>
              <w:right w:type="dxa" w:w="70"/>
            </w:tcMar>
          </w:tcPr>
          <w:p>
            <w:pPr>
              <w:spacing w:after="0"/>
            </w:pPr>
            <w:r>
              <w:rPr>
                <w:sz w:val="17"/>
                <w:szCs w:val="17"/>
              </w:rPr>
              <w:t xml:space="preserve">$1,293</w:t>
            </w:r>
          </w:p>
        </w:tc>
        <w:tc>
          <w:tcPr>
            <w:tcW w:type="dxa" w:w="1872"/>
            <w:shd w:fill="FFFFFF" w:color="auto" w:val="clear"/>
            <w:tcMar>
              <w:top w:type="dxa" w:w="40"/>
              <w:left w:type="dxa" w:w="70"/>
              <w:bottom w:type="dxa" w:w="40"/>
              <w:right w:type="dxa" w:w="70"/>
            </w:tcMar>
          </w:tcPr>
          <w:p>
            <w:pPr>
              <w:spacing w:after="0"/>
            </w:pPr>
            <w:r>
              <w:rPr>
                <w:sz w:val="17"/>
                <w:szCs w:val="17"/>
              </w:rPr>
              <w:t xml:space="preserve">Baseline is 14 deal days</w:t>
            </w:r>
          </w:p>
        </w:tc>
      </w:tr>
      <w:tr>
        <w:tc>
          <w:tcPr>
            <w:tcW w:type="dxa" w:w="3000"/>
            <w:shd w:fill="F2F5F9" w:color="auto" w:val="clear"/>
            <w:tcMar>
              <w:top w:type="dxa" w:w="40"/>
              <w:left w:type="dxa" w:w="70"/>
              <w:bottom w:type="dxa" w:w="40"/>
              <w:right w:type="dxa" w:w="70"/>
            </w:tcMar>
          </w:tcPr>
          <w:p>
            <w:pPr>
              <w:spacing w:after="0"/>
            </w:pPr>
            <w:r>
              <w:rPr>
                <w:sz w:val="17"/>
                <w:szCs w:val="17"/>
              </w:rPr>
              <w:t xml:space="preserve">Ad sales</w:t>
            </w:r>
          </w:p>
        </w:tc>
        <w:tc>
          <w:tcPr>
            <w:tcW w:type="dxa" w:w="1700"/>
            <w:shd w:fill="F2F5F9" w:color="auto" w:val="clear"/>
            <w:tcMar>
              <w:top w:type="dxa" w:w="40"/>
              <w:left w:type="dxa" w:w="70"/>
              <w:bottom w:type="dxa" w:w="40"/>
              <w:right w:type="dxa" w:w="70"/>
            </w:tcMar>
          </w:tcPr>
          <w:p>
            <w:pPr>
              <w:spacing w:after="0"/>
            </w:pPr>
            <w:r>
              <w:rPr>
                <w:sz w:val="17"/>
                <w:szCs w:val="17"/>
              </w:rPr>
              <w:t xml:space="preserve">$2,722</w:t>
            </w:r>
          </w:p>
        </w:tc>
        <w:tc>
          <w:tcPr>
            <w:tcW w:type="dxa" w:w="1700"/>
            <w:shd w:fill="F2F5F9" w:color="auto" w:val="clear"/>
            <w:tcMar>
              <w:top w:type="dxa" w:w="40"/>
              <w:left w:type="dxa" w:w="70"/>
              <w:bottom w:type="dxa" w:w="40"/>
              <w:right w:type="dxa" w:w="70"/>
            </w:tcMar>
          </w:tcPr>
          <w:p>
            <w:pPr>
              <w:spacing w:after="0"/>
            </w:pPr>
            <w:r>
              <w:rPr>
                <w:sz w:val="17"/>
                <w:szCs w:val="17"/>
              </w:rPr>
              <w:t xml:space="preserve">$3,096</w:t>
            </w:r>
          </w:p>
        </w:tc>
        <w:tc>
          <w:tcPr>
            <w:tcW w:type="dxa" w:w="1700"/>
            <w:shd w:fill="F2F5F9" w:color="auto" w:val="clear"/>
            <w:tcMar>
              <w:top w:type="dxa" w:w="40"/>
              <w:left w:type="dxa" w:w="70"/>
              <w:bottom w:type="dxa" w:w="40"/>
              <w:right w:type="dxa" w:w="70"/>
            </w:tcMar>
          </w:tcPr>
          <w:p>
            <w:pPr>
              <w:spacing w:after="0"/>
            </w:pPr>
            <w:r>
              <w:rPr>
                <w:sz w:val="17"/>
                <w:szCs w:val="17"/>
              </w:rPr>
              <w:t xml:space="preserve">$3,055</w:t>
            </w:r>
          </w:p>
        </w:tc>
        <w:tc>
          <w:tcPr>
            <w:tcW w:type="dxa" w:w="1872"/>
            <w:shd w:fill="F2F5F9" w:color="auto" w:val="clear"/>
            <w:tcMar>
              <w:top w:type="dxa" w:w="40"/>
              <w:left w:type="dxa" w:w="70"/>
              <w:bottom w:type="dxa" w:w="40"/>
              <w:right w:type="dxa" w:w="70"/>
            </w:tcMar>
          </w:tcPr>
          <w:p>
            <w:pPr>
              <w:spacing w:after="0"/>
            </w:pPr>
            <w:r>
              <w:rPr>
                <w:sz w:val="17"/>
                <w:szCs w:val="17"/>
              </w:rPr>
              <w:t xml:space="preserve">Deal price in the baseline</w:t>
            </w:r>
          </w:p>
        </w:tc>
      </w:tr>
      <w:tr>
        <w:tc>
          <w:tcPr>
            <w:tcW w:type="dxa" w:w="3000"/>
            <w:shd w:fill="FFFFFF" w:color="auto" w:val="clear"/>
            <w:tcMar>
              <w:top w:type="dxa" w:w="40"/>
              <w:left w:type="dxa" w:w="70"/>
              <w:bottom w:type="dxa" w:w="40"/>
              <w:right w:type="dxa" w:w="70"/>
            </w:tcMar>
          </w:tcPr>
          <w:p>
            <w:pPr>
              <w:spacing w:after="0"/>
            </w:pPr>
            <w:r>
              <w:rPr>
                <w:sz w:val="17"/>
                <w:szCs w:val="17"/>
              </w:rPr>
              <w:t xml:space="preserve">ACoS</w:t>
            </w:r>
          </w:p>
        </w:tc>
        <w:tc>
          <w:tcPr>
            <w:tcW w:type="dxa" w:w="1700"/>
            <w:shd w:fill="FFFFFF" w:color="auto" w:val="clear"/>
            <w:tcMar>
              <w:top w:type="dxa" w:w="40"/>
              <w:left w:type="dxa" w:w="70"/>
              <w:bottom w:type="dxa" w:w="40"/>
              <w:right w:type="dxa" w:w="70"/>
            </w:tcMar>
          </w:tcPr>
          <w:p>
            <w:pPr>
              <w:spacing w:after="0"/>
            </w:pPr>
            <w:r>
              <w:rPr>
                <w:sz w:val="17"/>
                <w:szCs w:val="17"/>
              </w:rPr>
              <w:t xml:space="preserve">40.7%</w:t>
            </w:r>
          </w:p>
        </w:tc>
        <w:tc>
          <w:tcPr>
            <w:tcW w:type="dxa" w:w="1700"/>
            <w:shd w:fill="FFFFFF" w:color="auto" w:val="clear"/>
            <w:tcMar>
              <w:top w:type="dxa" w:w="40"/>
              <w:left w:type="dxa" w:w="70"/>
              <w:bottom w:type="dxa" w:w="40"/>
              <w:right w:type="dxa" w:w="70"/>
            </w:tcMar>
          </w:tcPr>
          <w:p>
            <w:pPr>
              <w:spacing w:after="0"/>
            </w:pPr>
            <w:r>
              <w:rPr>
                <w:sz w:val="17"/>
                <w:szCs w:val="17"/>
              </w:rPr>
              <w:t xml:space="preserve">44.7%</w:t>
            </w:r>
          </w:p>
        </w:tc>
        <w:tc>
          <w:tcPr>
            <w:tcW w:type="dxa" w:w="1700"/>
            <w:shd w:fill="FFFFFF" w:color="auto" w:val="clear"/>
            <w:tcMar>
              <w:top w:type="dxa" w:w="40"/>
              <w:left w:type="dxa" w:w="70"/>
              <w:bottom w:type="dxa" w:w="40"/>
              <w:right w:type="dxa" w:w="70"/>
            </w:tcMar>
          </w:tcPr>
          <w:p>
            <w:pPr>
              <w:spacing w:after="0"/>
            </w:pPr>
            <w:r>
              <w:rPr>
                <w:sz w:val="17"/>
                <w:szCs w:val="17"/>
              </w:rPr>
              <w:t xml:space="preserve">42.3%</w:t>
            </w:r>
          </w:p>
        </w:tc>
        <w:tc>
          <w:tcPr>
            <w:tcW w:type="dxa" w:w="1872"/>
            <w:shd w:fill="FFFFFF" w:color="auto" w:val="clear"/>
            <w:tcMar>
              <w:top w:type="dxa" w:w="40"/>
              <w:left w:type="dxa" w:w="70"/>
              <w:bottom w:type="dxa" w:w="40"/>
              <w:right w:type="dxa" w:w="70"/>
            </w:tcMar>
          </w:tcPr>
          <w:p>
            <w:pPr>
              <w:spacing w:after="0"/>
            </w:pPr>
            <w:r>
              <w:rPr>
                <w:sz w:val="17"/>
                <w:szCs w:val="17"/>
              </w:rPr>
              <w:t xml:space="preserve">Break-even 33.3% (brief)</w:t>
            </w:r>
          </w:p>
        </w:tc>
      </w:tr>
      <w:tr>
        <w:tc>
          <w:tcPr>
            <w:tcW w:type="dxa" w:w="3000"/>
            <w:shd w:fill="F2F5F9" w:color="auto" w:val="clear"/>
            <w:tcMar>
              <w:top w:type="dxa" w:w="40"/>
              <w:left w:type="dxa" w:w="70"/>
              <w:bottom w:type="dxa" w:w="40"/>
              <w:right w:type="dxa" w:w="70"/>
            </w:tcMar>
          </w:tcPr>
          <w:p>
            <w:pPr>
              <w:spacing w:after="0"/>
            </w:pPr>
            <w:r>
              <w:rPr>
                <w:sz w:val="17"/>
                <w:szCs w:val="17"/>
              </w:rPr>
              <w:t xml:space="preserve">TACoS</w:t>
            </w:r>
          </w:p>
        </w:tc>
        <w:tc>
          <w:tcPr>
            <w:tcW w:type="dxa" w:w="1700"/>
            <w:shd w:fill="F2F5F9" w:color="auto" w:val="clear"/>
            <w:tcMar>
              <w:top w:type="dxa" w:w="40"/>
              <w:left w:type="dxa" w:w="70"/>
              <w:bottom w:type="dxa" w:w="40"/>
              <w:right w:type="dxa" w:w="70"/>
            </w:tcMar>
          </w:tcPr>
          <w:p>
            <w:pPr>
              <w:spacing w:after="0"/>
            </w:pPr>
            <w:r>
              <w:rPr>
                <w:sz w:val="17"/>
                <w:szCs w:val="17"/>
              </w:rPr>
              <w:t xml:space="preserve">21.3%</w:t>
            </w:r>
          </w:p>
        </w:tc>
        <w:tc>
          <w:tcPr>
            <w:tcW w:type="dxa" w:w="1700"/>
            <w:shd w:fill="F2F5F9" w:color="auto" w:val="clear"/>
            <w:tcMar>
              <w:top w:type="dxa" w:w="40"/>
              <w:left w:type="dxa" w:w="70"/>
              <w:bottom w:type="dxa" w:w="40"/>
              <w:right w:type="dxa" w:w="70"/>
            </w:tcMar>
          </w:tcPr>
          <w:p>
            <w:pPr>
              <w:spacing w:after="0"/>
            </w:pPr>
            <w:r>
              <w:rPr>
                <w:sz w:val="17"/>
                <w:szCs w:val="17"/>
              </w:rPr>
              <w:t xml:space="preserve">24.8%</w:t>
            </w:r>
          </w:p>
        </w:tc>
        <w:tc>
          <w:tcPr>
            <w:tcW w:type="dxa" w:w="1700"/>
            <w:shd w:fill="F2F5F9" w:color="auto" w:val="clear"/>
            <w:tcMar>
              <w:top w:type="dxa" w:w="40"/>
              <w:left w:type="dxa" w:w="70"/>
              <w:bottom w:type="dxa" w:w="40"/>
              <w:right w:type="dxa" w:w="70"/>
            </w:tcMar>
          </w:tcPr>
          <w:p>
            <w:pPr>
              <w:spacing w:after="0"/>
            </w:pPr>
            <w:r>
              <w:rPr>
                <w:sz w:val="17"/>
                <w:szCs w:val="17"/>
              </w:rPr>
              <w:t xml:space="preserve">23.4%</w:t>
            </w:r>
          </w:p>
        </w:tc>
        <w:tc>
          <w:tcPr>
            <w:tcW w:type="dxa" w:w="1872"/>
            <w:shd w:fill="F2F5F9" w:color="auto" w:val="clear"/>
            <w:tcMar>
              <w:top w:type="dxa" w:w="40"/>
              <w:left w:type="dxa" w:w="70"/>
              <w:bottom w:type="dxa" w:w="40"/>
              <w:right w:type="dxa" w:w="70"/>
            </w:tcMar>
          </w:tcPr>
          <w:p>
            <w:pPr>
              <w:spacing w:after="0"/>
            </w:pPr>
            <w:r>
              <w:rPr>
                <w:sz w:val="17"/>
                <w:szCs w:val="17"/>
              </w:rPr>
              <w:t xml:space="preserve">Inside the 25% ranking rung</w:t>
            </w:r>
          </w:p>
        </w:tc>
      </w:tr>
      <w:tr>
        <w:tc>
          <w:tcPr>
            <w:tcW w:type="dxa" w:w="3000"/>
            <w:shd w:fill="FFFFFF" w:color="auto" w:val="clear"/>
            <w:tcMar>
              <w:top w:type="dxa" w:w="40"/>
              <w:left w:type="dxa" w:w="70"/>
              <w:bottom w:type="dxa" w:w="40"/>
              <w:right w:type="dxa" w:w="70"/>
            </w:tcMar>
          </w:tcPr>
          <w:p>
            <w:pPr>
              <w:spacing w:after="0"/>
            </w:pPr>
            <w:r>
              <w:rPr>
                <w:sz w:val="17"/>
                <w:szCs w:val="17"/>
              </w:rPr>
              <w:t xml:space="preserve">Top-of-search clicks / week (changed campaigns)</w:t>
            </w:r>
          </w:p>
        </w:tc>
        <w:tc>
          <w:tcPr>
            <w:tcW w:type="dxa" w:w="1700"/>
            <w:shd w:fill="FFFFFF" w:color="auto" w:val="clear"/>
            <w:tcMar>
              <w:top w:type="dxa" w:w="40"/>
              <w:left w:type="dxa" w:w="70"/>
              <w:bottom w:type="dxa" w:w="40"/>
              <w:right w:type="dxa" w:w="70"/>
            </w:tcMar>
          </w:tcPr>
          <w:p>
            <w:pPr>
              <w:spacing w:after="0"/>
            </w:pPr>
            <w:r>
              <w:rPr>
                <w:sz w:val="17"/>
                <w:szCs w:val="17"/>
              </w:rPr>
              <w:t xml:space="preserve">19.8</w:t>
            </w:r>
          </w:p>
        </w:tc>
        <w:tc>
          <w:tcPr>
            <w:tcW w:type="dxa" w:w="1700"/>
            <w:shd w:fill="FFFFFF" w:color="auto" w:val="clear"/>
            <w:tcMar>
              <w:top w:type="dxa" w:w="40"/>
              <w:left w:type="dxa" w:w="70"/>
              <w:bottom w:type="dxa" w:w="40"/>
              <w:right w:type="dxa" w:w="70"/>
            </w:tcMar>
          </w:tcPr>
          <w:p>
            <w:pPr>
              <w:spacing w:after="0"/>
            </w:pPr>
            <w:r>
              <w:rPr>
                <w:sz w:val="17"/>
                <w:szCs w:val="17"/>
              </w:rPr>
              <w:t xml:space="preserve">221.9</w:t>
            </w:r>
          </w:p>
        </w:tc>
        <w:tc>
          <w:tcPr>
            <w:tcW w:type="dxa" w:w="1700"/>
            <w:shd w:fill="FFFFFF" w:color="auto" w:val="clear"/>
            <w:tcMar>
              <w:top w:type="dxa" w:w="40"/>
              <w:left w:type="dxa" w:w="70"/>
              <w:bottom w:type="dxa" w:w="40"/>
              <w:right w:type="dxa" w:w="70"/>
            </w:tcMar>
          </w:tcPr>
          <w:p>
            <w:pPr>
              <w:spacing w:after="0"/>
            </w:pPr>
            <w:r>
              <w:rPr>
                <w:sz w:val="17"/>
                <w:szCs w:val="17"/>
              </w:rPr>
              <w:t xml:space="preserve">192.1</w:t>
            </w:r>
          </w:p>
        </w:tc>
        <w:tc>
          <w:tcPr>
            <w:tcW w:type="dxa" w:w="1872"/>
            <w:shd w:fill="FFFFFF" w:color="auto" w:val="clear"/>
            <w:tcMar>
              <w:top w:type="dxa" w:w="40"/>
              <w:left w:type="dxa" w:w="70"/>
              <w:bottom w:type="dxa" w:w="40"/>
              <w:right w:type="dxa" w:w="70"/>
            </w:tcMar>
          </w:tcPr>
          <w:p>
            <w:pPr>
              <w:spacing w:after="0"/>
            </w:pPr>
            <w:r>
              <w:rPr>
                <w:sz w:val="17"/>
                <w:szCs w:val="17"/>
              </w:rPr>
              <w:t xml:space="preserve">See C6: about 20–30 is buyable</w:t>
            </w:r>
          </w:p>
        </w:tc>
      </w:tr>
    </w:tbl>
    <w:p>
      <w:pPr>
        <w:spacing w:after="40"/>
      </w:pPr>
    </w:p>
    <w:p>
      <w:pPr>
        <w:pStyle w:val="Heading2"/>
      </w:pPr>
      <w:r>
        <w:t xml:space="preserve">Two Best Deals, not one</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700"/>
        <w:gridCol w:w="1200"/>
        <w:gridCol w:w="800"/>
        <w:gridCol w:w="1100"/>
        <w:gridCol w:w="1000"/>
        <w:gridCol w:w="1272"/>
      </w:tblGrid>
      <w:tr>
        <w:trPr>
          <w:tblHeader/>
        </w:trPr>
        <w:tc>
          <w:tcPr>
            <w:tcW w:type="dxa" w:w="2600"/>
            <w:shd w:fill="1F3A5F" w:color="auto" w:val="clear"/>
            <w:tcMar>
              <w:top w:type="dxa" w:w="40"/>
              <w:left w:type="dxa" w:w="70"/>
              <w:bottom w:type="dxa" w:w="40"/>
              <w:right w:type="dxa" w:w="70"/>
            </w:tcMar>
          </w:tcPr>
          <w:p>
            <w:pPr>
              <w:spacing w:after="0"/>
            </w:pPr>
            <w:r>
              <w:rPr>
                <w:b/>
                <w:bCs/>
                <w:color w:val="FFFFFF"/>
                <w:sz w:val="17"/>
                <w:szCs w:val="17"/>
              </w:rPr>
              <w:t xml:space="preserve">Promotion (Seller Central)</w:t>
            </w:r>
          </w:p>
        </w:tc>
        <w:tc>
          <w:tcPr>
            <w:tcW w:type="dxa" w:w="1300"/>
            <w:shd w:fill="1F3A5F" w:color="auto" w:val="clear"/>
            <w:tcMar>
              <w:top w:type="dxa" w:w="40"/>
              <w:left w:type="dxa" w:w="70"/>
              <w:bottom w:type="dxa" w:w="40"/>
              <w:right w:type="dxa" w:w="70"/>
            </w:tcMar>
          </w:tcPr>
          <w:p>
            <w:pPr>
              <w:spacing w:after="0"/>
            </w:pPr>
            <w:r>
              <w:rPr>
                <w:b/>
                <w:bCs/>
                <w:color w:val="FFFFFF"/>
                <w:sz w:val="17"/>
                <w:szCs w:val="17"/>
              </w:rPr>
              <w:t xml:space="preserve">Schedule</w:t>
            </w:r>
          </w:p>
        </w:tc>
        <w:tc>
          <w:tcPr>
            <w:tcW w:type="dxa" w:w="700"/>
            <w:shd w:fill="1F3A5F" w:color="auto" w:val="clear"/>
            <w:tcMar>
              <w:top w:type="dxa" w:w="40"/>
              <w:left w:type="dxa" w:w="70"/>
              <w:bottom w:type="dxa" w:w="40"/>
              <w:right w:type="dxa" w:w="70"/>
            </w:tcMar>
          </w:tcPr>
          <w:p>
            <w:pPr>
              <w:spacing w:after="0"/>
            </w:pPr>
            <w:r>
              <w:rPr>
                <w:b/>
                <w:bCs/>
                <w:color w:val="FFFFFF"/>
                <w:sz w:val="17"/>
                <w:szCs w:val="17"/>
              </w:rPr>
              <w:t xml:space="preserve">ASINs</w:t>
            </w:r>
          </w:p>
        </w:tc>
        <w:tc>
          <w:tcPr>
            <w:tcW w:type="dxa" w:w="1200"/>
            <w:shd w:fill="1F3A5F" w:color="auto" w:val="clear"/>
            <w:tcMar>
              <w:top w:type="dxa" w:w="40"/>
              <w:left w:type="dxa" w:w="70"/>
              <w:bottom w:type="dxa" w:w="40"/>
              <w:right w:type="dxa" w:w="70"/>
            </w:tcMar>
          </w:tcPr>
          <w:p>
            <w:pPr>
              <w:spacing w:after="0"/>
            </w:pPr>
            <w:r>
              <w:rPr>
                <w:b/>
                <w:bCs/>
                <w:color w:val="FFFFFF"/>
                <w:sz w:val="17"/>
                <w:szCs w:val="17"/>
              </w:rPr>
              <w:t xml:space="preserve">Sales</w:t>
            </w:r>
          </w:p>
        </w:tc>
        <w:tc>
          <w:tcPr>
            <w:tcW w:type="dxa" w:w="800"/>
            <w:shd w:fill="1F3A5F" w:color="auto" w:val="clear"/>
            <w:tcMar>
              <w:top w:type="dxa" w:w="40"/>
              <w:left w:type="dxa" w:w="70"/>
              <w:bottom w:type="dxa" w:w="40"/>
              <w:right w:type="dxa" w:w="70"/>
            </w:tcMar>
          </w:tcPr>
          <w:p>
            <w:pPr>
              <w:spacing w:after="0"/>
            </w:pPr>
            <w:r>
              <w:rPr>
                <w:b/>
                <w:bCs/>
                <w:color w:val="FFFFFF"/>
                <w:sz w:val="17"/>
                <w:szCs w:val="17"/>
              </w:rPr>
              <w:t xml:space="preserve">Units</w:t>
            </w:r>
          </w:p>
        </w:tc>
        <w:tc>
          <w:tcPr>
            <w:tcW w:type="dxa" w:w="1100"/>
            <w:shd w:fill="1F3A5F" w:color="auto" w:val="clear"/>
            <w:tcMar>
              <w:top w:type="dxa" w:w="40"/>
              <w:left w:type="dxa" w:w="70"/>
              <w:bottom w:type="dxa" w:w="40"/>
              <w:right w:type="dxa" w:w="70"/>
            </w:tcMar>
          </w:tcPr>
          <w:p>
            <w:pPr>
              <w:spacing w:after="0"/>
            </w:pPr>
            <w:r>
              <w:rPr>
                <w:b/>
                <w:bCs/>
                <w:color w:val="FFFFFF"/>
                <w:sz w:val="17"/>
                <w:szCs w:val="17"/>
              </w:rPr>
              <w:t xml:space="preserve">Glance views</w:t>
            </w:r>
          </w:p>
        </w:tc>
        <w:tc>
          <w:tcPr>
            <w:tcW w:type="dxa" w:w="1000"/>
            <w:shd w:fill="1F3A5F" w:color="auto" w:val="clear"/>
            <w:tcMar>
              <w:top w:type="dxa" w:w="40"/>
              <w:left w:type="dxa" w:w="70"/>
              <w:bottom w:type="dxa" w:w="40"/>
              <w:right w:type="dxa" w:w="70"/>
            </w:tcMar>
          </w:tcPr>
          <w:p>
            <w:pPr>
              <w:spacing w:after="0"/>
            </w:pPr>
            <w:r>
              <w:rPr>
                <w:b/>
                <w:bCs/>
                <w:color w:val="FFFFFF"/>
                <w:sz w:val="17"/>
                <w:szCs w:val="17"/>
              </w:rPr>
              <w:t xml:space="preserve">Conversion</w:t>
            </w:r>
          </w:p>
        </w:tc>
        <w:tc>
          <w:tcPr>
            <w:tcW w:type="dxa" w:w="1272"/>
            <w:shd w:fill="1F3A5F" w:color="auto" w:val="clear"/>
            <w:tcMar>
              <w:top w:type="dxa" w:w="40"/>
              <w:left w:type="dxa" w:w="70"/>
              <w:bottom w:type="dxa" w:w="40"/>
              <w:right w:type="dxa" w:w="70"/>
            </w:tcMar>
          </w:tcPr>
          <w:p>
            <w:pPr>
              <w:spacing w:after="0"/>
            </w:pPr>
            <w:r>
              <w:rPr>
                <w:b/>
                <w:bCs/>
                <w:color w:val="FFFFFF"/>
                <w:sz w:val="17"/>
                <w:szCs w:val="17"/>
              </w:rPr>
              <w:t xml:space="preserve">Status 09-28</w:t>
            </w:r>
          </w:p>
        </w:tc>
      </w:tr>
      <w:tr>
        <w:tc>
          <w:tcPr>
            <w:tcW w:type="dxa" w:w="2600"/>
            <w:shd w:fill="FFFFFF" w:color="auto" w:val="clear"/>
            <w:tcMar>
              <w:top w:type="dxa" w:w="40"/>
              <w:left w:type="dxa" w:w="70"/>
              <w:bottom w:type="dxa" w:w="40"/>
              <w:right w:type="dxa" w:w="70"/>
            </w:tcMar>
          </w:tcPr>
          <w:p>
            <w:pPr>
              <w:spacing w:after="0"/>
            </w:pPr>
            <w:r>
              <w:rPr>
                <w:sz w:val="17"/>
                <w:szCs w:val="17"/>
              </w:rPr>
              <w:t xml:space="preserve">Best Deal · Deals-2026/09/04 18-32-34-622</w:t>
            </w:r>
          </w:p>
        </w:tc>
        <w:tc>
          <w:tcPr>
            <w:tcW w:type="dxa" w:w="1300"/>
            <w:shd w:fill="FFFFFF" w:color="auto" w:val="clear"/>
            <w:tcMar>
              <w:top w:type="dxa" w:w="40"/>
              <w:left w:type="dxa" w:w="70"/>
              <w:bottom w:type="dxa" w:w="40"/>
              <w:right w:type="dxa" w:w="70"/>
            </w:tcMar>
          </w:tcPr>
          <w:p>
            <w:pPr>
              <w:spacing w:after="0"/>
            </w:pPr>
            <w:r>
              <w:rPr>
                <w:sz w:val="17"/>
                <w:szCs w:val="17"/>
              </w:rPr>
              <w:t xml:space="preserve">15–28 Sep</w:t>
            </w:r>
          </w:p>
        </w:tc>
        <w:tc>
          <w:tcPr>
            <w:tcW w:type="dxa" w:w="700"/>
            <w:shd w:fill="FFFFFF" w:color="auto" w:val="clear"/>
            <w:tcMar>
              <w:top w:type="dxa" w:w="40"/>
              <w:left w:type="dxa" w:w="70"/>
              <w:bottom w:type="dxa" w:w="40"/>
              <w:right w:type="dxa" w:w="70"/>
            </w:tcMar>
          </w:tcPr>
          <w:p>
            <w:pPr>
              <w:spacing w:after="0"/>
            </w:pPr>
            <w:r>
              <w:rPr>
                <w:sz w:val="17"/>
                <w:szCs w:val="17"/>
              </w:rPr>
              <w:t xml:space="preserve">39</w:t>
            </w:r>
          </w:p>
        </w:tc>
        <w:tc>
          <w:tcPr>
            <w:tcW w:type="dxa" w:w="1200"/>
            <w:shd w:fill="FFFFFF" w:color="auto" w:val="clear"/>
            <w:tcMar>
              <w:top w:type="dxa" w:w="40"/>
              <w:left w:type="dxa" w:w="70"/>
              <w:bottom w:type="dxa" w:w="40"/>
              <w:right w:type="dxa" w:w="70"/>
            </w:tcMar>
          </w:tcPr>
          <w:p>
            <w:pPr>
              <w:spacing w:after="0"/>
            </w:pPr>
            <w:r>
              <w:rPr>
                <w:sz w:val="17"/>
                <w:szCs w:val="17"/>
              </w:rPr>
              <w:t xml:space="preserve">$53,568.03</w:t>
            </w:r>
          </w:p>
        </w:tc>
        <w:tc>
          <w:tcPr>
            <w:tcW w:type="dxa" w:w="800"/>
            <w:shd w:fill="FFFFFF" w:color="auto" w:val="clear"/>
            <w:tcMar>
              <w:top w:type="dxa" w:w="40"/>
              <w:left w:type="dxa" w:w="70"/>
              <w:bottom w:type="dxa" w:w="40"/>
              <w:right w:type="dxa" w:w="70"/>
            </w:tcMar>
          </w:tcPr>
          <w:p>
            <w:pPr>
              <w:spacing w:after="0"/>
            </w:pPr>
            <w:r>
              <w:rPr>
                <w:sz w:val="17"/>
                <w:szCs w:val="17"/>
              </w:rPr>
              <w:t xml:space="preserve">752</w:t>
            </w:r>
          </w:p>
        </w:tc>
        <w:tc>
          <w:tcPr>
            <w:tcW w:type="dxa" w:w="1100"/>
            <w:shd w:fill="FFFFFF" w:color="auto" w:val="clear"/>
            <w:tcMar>
              <w:top w:type="dxa" w:w="40"/>
              <w:left w:type="dxa" w:w="70"/>
              <w:bottom w:type="dxa" w:w="40"/>
              <w:right w:type="dxa" w:w="70"/>
            </w:tcMar>
          </w:tcPr>
          <w:p>
            <w:pPr>
              <w:spacing w:after="0"/>
            </w:pPr>
            <w:r>
              <w:rPr>
                <w:sz w:val="17"/>
                <w:szCs w:val="17"/>
              </w:rPr>
              <w:t xml:space="preserve">20,992</w:t>
            </w:r>
          </w:p>
        </w:tc>
        <w:tc>
          <w:tcPr>
            <w:tcW w:type="dxa" w:w="1000"/>
            <w:shd w:fill="FFFFFF" w:color="auto" w:val="clear"/>
            <w:tcMar>
              <w:top w:type="dxa" w:w="40"/>
              <w:left w:type="dxa" w:w="70"/>
              <w:bottom w:type="dxa" w:w="40"/>
              <w:right w:type="dxa" w:w="70"/>
            </w:tcMar>
          </w:tcPr>
          <w:p>
            <w:pPr>
              <w:spacing w:after="0"/>
            </w:pPr>
            <w:r>
              <w:rPr>
                <w:sz w:val="17"/>
                <w:szCs w:val="17"/>
              </w:rPr>
              <w:t xml:space="preserve">3.6%</w:t>
            </w:r>
          </w:p>
        </w:tc>
        <w:tc>
          <w:tcPr>
            <w:tcW w:type="dxa" w:w="1272"/>
            <w:shd w:fill="FFFFFF" w:color="auto" w:val="clear"/>
            <w:tcMar>
              <w:top w:type="dxa" w:w="40"/>
              <w:left w:type="dxa" w:w="70"/>
              <w:bottom w:type="dxa" w:w="40"/>
              <w:right w:type="dxa" w:w="70"/>
            </w:tcMar>
          </w:tcPr>
          <w:p>
            <w:pPr>
              <w:spacing w:after="0"/>
            </w:pPr>
            <w:r>
              <w:rPr>
                <w:sz w:val="17"/>
                <w:szCs w:val="17"/>
              </w:rPr>
              <w:t xml:space="preserve">Running, ends today</w:t>
            </w:r>
          </w:p>
        </w:tc>
      </w:tr>
      <w:tr>
        <w:tc>
          <w:tcPr>
            <w:tcW w:type="dxa" w:w="2600"/>
            <w:shd w:fill="F2F5F9" w:color="auto" w:val="clear"/>
            <w:tcMar>
              <w:top w:type="dxa" w:w="40"/>
              <w:left w:type="dxa" w:w="70"/>
              <w:bottom w:type="dxa" w:w="40"/>
              <w:right w:type="dxa" w:w="70"/>
            </w:tcMar>
          </w:tcPr>
          <w:p>
            <w:pPr>
              <w:spacing w:after="0"/>
            </w:pPr>
            <w:r>
              <w:rPr>
                <w:sz w:val="17"/>
                <w:szCs w:val="17"/>
              </w:rPr>
              <w:t xml:space="preserve">Best Deal · Deals-2026/09/04 18-34-39-334</w:t>
            </w:r>
          </w:p>
        </w:tc>
        <w:tc>
          <w:tcPr>
            <w:tcW w:type="dxa" w:w="1300"/>
            <w:shd w:fill="F2F5F9" w:color="auto" w:val="clear"/>
            <w:tcMar>
              <w:top w:type="dxa" w:w="40"/>
              <w:left w:type="dxa" w:w="70"/>
              <w:bottom w:type="dxa" w:w="40"/>
              <w:right w:type="dxa" w:w="70"/>
            </w:tcMar>
          </w:tcPr>
          <w:p>
            <w:pPr>
              <w:spacing w:after="0"/>
            </w:pPr>
            <w:r>
              <w:rPr>
                <w:sz w:val="17"/>
                <w:szCs w:val="17"/>
              </w:rPr>
              <w:t xml:space="preserve">26–30 Sep</w:t>
            </w:r>
          </w:p>
        </w:tc>
        <w:tc>
          <w:tcPr>
            <w:tcW w:type="dxa" w:w="700"/>
            <w:shd w:fill="F2F5F9" w:color="auto" w:val="clear"/>
            <w:tcMar>
              <w:top w:type="dxa" w:w="40"/>
              <w:left w:type="dxa" w:w="70"/>
              <w:bottom w:type="dxa" w:w="40"/>
              <w:right w:type="dxa" w:w="70"/>
            </w:tcMar>
          </w:tcPr>
          <w:p>
            <w:pPr>
              <w:spacing w:after="0"/>
            </w:pPr>
            <w:r>
              <w:rPr>
                <w:sz w:val="17"/>
                <w:szCs w:val="17"/>
              </w:rPr>
              <w:t xml:space="preserve">51</w:t>
            </w:r>
          </w:p>
        </w:tc>
        <w:tc>
          <w:tcPr>
            <w:tcW w:type="dxa" w:w="1200"/>
            <w:shd w:fill="F2F5F9" w:color="auto" w:val="clear"/>
            <w:tcMar>
              <w:top w:type="dxa" w:w="40"/>
              <w:left w:type="dxa" w:w="70"/>
              <w:bottom w:type="dxa" w:w="40"/>
              <w:right w:type="dxa" w:w="70"/>
            </w:tcMar>
          </w:tcPr>
          <w:p>
            <w:pPr>
              <w:spacing w:after="0"/>
            </w:pPr>
            <w:r>
              <w:rPr>
                <w:sz w:val="17"/>
                <w:szCs w:val="17"/>
              </w:rPr>
              <w:t xml:space="preserve">$6,912.18</w:t>
            </w:r>
          </w:p>
        </w:tc>
        <w:tc>
          <w:tcPr>
            <w:tcW w:type="dxa" w:w="800"/>
            <w:shd w:fill="F2F5F9" w:color="auto" w:val="clear"/>
            <w:tcMar>
              <w:top w:type="dxa" w:w="40"/>
              <w:left w:type="dxa" w:w="70"/>
              <w:bottom w:type="dxa" w:w="40"/>
              <w:right w:type="dxa" w:w="70"/>
            </w:tcMar>
          </w:tcPr>
          <w:p>
            <w:pPr>
              <w:spacing w:after="0"/>
            </w:pPr>
            <w:r>
              <w:rPr>
                <w:sz w:val="17"/>
                <w:szCs w:val="17"/>
              </w:rPr>
              <w:t xml:space="preserve">98</w:t>
            </w:r>
          </w:p>
        </w:tc>
        <w:tc>
          <w:tcPr>
            <w:tcW w:type="dxa" w:w="1100"/>
            <w:shd w:fill="F2F5F9" w:color="auto" w:val="clear"/>
            <w:tcMar>
              <w:top w:type="dxa" w:w="40"/>
              <w:left w:type="dxa" w:w="70"/>
              <w:bottom w:type="dxa" w:w="40"/>
              <w:right w:type="dxa" w:w="70"/>
            </w:tcMar>
          </w:tcPr>
          <w:p>
            <w:pPr>
              <w:spacing w:after="0"/>
            </w:pPr>
            <w:r>
              <w:rPr>
                <w:sz w:val="17"/>
                <w:szCs w:val="17"/>
              </w:rPr>
              <w:t xml:space="preserve">2,073</w:t>
            </w:r>
          </w:p>
        </w:tc>
        <w:tc>
          <w:tcPr>
            <w:tcW w:type="dxa" w:w="1000"/>
            <w:shd w:fill="F2F5F9" w:color="auto" w:val="clear"/>
            <w:tcMar>
              <w:top w:type="dxa" w:w="40"/>
              <w:left w:type="dxa" w:w="70"/>
              <w:bottom w:type="dxa" w:w="40"/>
              <w:right w:type="dxa" w:w="70"/>
            </w:tcMar>
          </w:tcPr>
          <w:p>
            <w:pPr>
              <w:spacing w:after="0"/>
            </w:pPr>
            <w:r>
              <w:rPr>
                <w:sz w:val="17"/>
                <w:szCs w:val="17"/>
              </w:rPr>
              <w:t xml:space="preserve">4.7%</w:t>
            </w:r>
          </w:p>
        </w:tc>
        <w:tc>
          <w:tcPr>
            <w:tcW w:type="dxa" w:w="1272"/>
            <w:shd w:fill="F2F5F9" w:color="auto" w:val="clear"/>
            <w:tcMar>
              <w:top w:type="dxa" w:w="40"/>
              <w:left w:type="dxa" w:w="70"/>
              <w:bottom w:type="dxa" w:w="40"/>
              <w:right w:type="dxa" w:w="70"/>
            </w:tcMar>
          </w:tcPr>
          <w:p>
            <w:pPr>
              <w:spacing w:after="0"/>
            </w:pPr>
            <w:r>
              <w:rPr>
                <w:sz w:val="17"/>
                <w:szCs w:val="17"/>
              </w:rPr>
              <w:t xml:space="preserve">Running, two days left</w:t>
            </w:r>
          </w:p>
        </w:tc>
      </w:tr>
    </w:tbl>
    <w:p>
      <w:pPr>
        <w:spacing w:after="120"/>
      </w:pPr>
      <w:r>
        <w:rPr>
          <w:i/>
          <w:iCs/>
          <w:color w:val="555555"/>
          <w:sz w:val="17"/>
          <w:szCs w:val="17"/>
        </w:rPr>
        <w:t xml:space="preserve">Seller Central promotions page, read 09-28. Both deals cost $70 a day plus 1% of sales.</w:t>
      </w:r>
    </w:p>
    <w:p>
      <w:pPr>
        <w:spacing w:after="100"/>
      </w:pPr>
      <w:r>
        <w:t xml:space="preserve">The engine’s calendar carries only the first deal (“Best Deal [deal-calendar-csv:D130]”, 09-15 → 09-28). The second deal is on no calendar the engine reads. So this run, its review, and the first two versions of this document all treated 28 September as the end of the deal. It isn’t. Three things follow:</w:t>
      </w:r>
    </w:p>
    <w:p>
      <w:pPr>
        <w:pStyle w:val="ListParagraph"/>
        <w:numPr>
          <w:ilvl w:val="0"/>
          <w:numId w:val="2"/>
        </w:numPr>
        <w:spacing w:after="60"/>
      </w:pPr>
      <w:r>
        <w:rPr>
          <w:b/>
          <w:bCs/>
        </w:rPr>
        <w:t xml:space="preserve">Two more deal days. </w:t>
      </w:r>
      <w:r>
        <w:t xml:space="preserve">For 29–30 September the 21 September deal rules still apply: the daily push inside the 3× contribution loss stop, with the market limit off. No in-focus price comes down before 1 October, so 369’s descent to its bound and the ceiling moves on 462 and 571 wait until then (A2, A4).</w:t>
      </w:r>
    </w:p>
    <w:p>
      <w:pPr>
        <w:pStyle w:val="ListParagraph"/>
        <w:numPr>
          <w:ilvl w:val="0"/>
          <w:numId w:val="2"/>
        </w:numPr>
        <w:spacing w:after="60"/>
      </w:pPr>
      <w:r>
        <w:rPr>
          <w:b/>
          <w:bCs/>
        </w:rPr>
        <w:t xml:space="preserve">The clean read starts later. </w:t>
      </w:r>
      <w:r>
        <w:t xml:space="preserve">Post-deal starts 1 October, so the first clean seven days are 10-01 → 10-07, with attribution complete by 10-14 (C1b).</w:t>
      </w:r>
    </w:p>
    <w:p>
      <w:pPr>
        <w:pStyle w:val="ListParagraph"/>
        <w:numPr>
          <w:ilvl w:val="0"/>
          <w:numId w:val="2"/>
        </w:numPr>
        <w:spacing w:after="60"/>
      </w:pPr>
      <w:r>
        <w:rPr>
          <w:b/>
          <w:bCs/>
        </w:rPr>
        <w:t xml:space="preserve">The 09-27 jump is the second deal. </w:t>
      </w:r>
      <w:r>
        <w:t xml:space="preserve">The 516 clicks that day, 199 of them on product pages, fall on the second deal’s first full day. They are not a result of anything the run changed.</w:t>
      </w:r>
    </w:p>
    <w:p>
      <w:pPr>
        <w:spacing w:after="100"/>
      </w:pPr>
      <w:r>
        <w:t xml:space="preserve">Which children the 51 ASINs cover matters. If they include the serving children this run re-points to (California King Burgundy-New, Queen Olive, King Creme), the in-focus steps sell at deal prices for their first two days. Their first reads are then deal reads.</w:t>
      </w:r>
    </w:p>
    <w:p>
      <w:pPr>
        <w:pStyle w:val="Heading2"/>
      </w:pPr>
      <w:r>
        <w:t xml:space="preserve">Windows and sources</w:t>
      </w:r>
    </w:p>
    <w:p>
      <w:pPr>
        <w:spacing w:after="100"/>
      </w:pPr>
      <w:r>
        <w:t xml:space="preserve">The audit export (JSON and workbook) for run 20260928-9e6e6bb5: 343 decisions, 2,106 considered rows, the brief and review 22. Engine figures are as of the audit. Campaign 14-day spend covers 09-14 → 09-27, all of them deal days; clicks and orders are 90 days; keyword ranks are single tracker readings. From Command Center: product and syntax-group summaries for 09-15 → 09-27 against 09-02 → 09-14, the daily placement split for all keywords, and group ranks as 7-day medians of the daily crawl. Orders in the last seven days are still filling in (7-day attribution). The logic (§12) voids any read with a deal week inside its window. Every 14-day figure in this run is a deal figure, and the 90-day figures carry 13 deal days (C1b).</w:t>
      </w:r>
    </w:p>
    <w:p>
      <w:pPr>
        <w:pStyle w:val="Heading1"/>
      </w:pPr>
      <w:r>
        <w:t xml:space="preserve">Part A — In focus: Bamboo|California King and Bamboo|Cooling</w:t>
      </w:r>
    </w:p>
    <w:p>
      <w:pPr>
        <w:spacing w:after="100"/>
      </w:pPr>
      <w:r>
        <w:rPr>
          <w:b/>
          <w:bCs/>
          <w:color w:val="1F3A5F"/>
        </w:rPr>
        <w:t xml:space="preserve">The rule (the logic, §4–§11). </w:t>
      </w:r>
      <w:r>
        <w:t xml:space="preserve">Each in-focus row decides one top-of-search price, and the modifier is divided out from it.</w:t>
      </w:r>
    </w:p>
    <w:p>
      <w:pPr>
        <w:pStyle w:val="ListParagraph"/>
        <w:numPr>
          <w:ilvl w:val="0"/>
          <w:numId w:val="2"/>
        </w:numPr>
        <w:spacing w:after="60"/>
      </w:pPr>
      <w:r>
        <w:rPr>
          <w:b/>
          <w:bCs/>
        </w:rPr>
        <w:t xml:space="preserve">Target. </w:t>
      </w:r>
      <w:r>
        <w:t xml:space="preserve">The ceiling (contribution × top-of-search conversion) lifted by the binding gap. A gap up to 1.5× lifts it 0.25; beyond that, the lift is (ratio − 1) × 0.5.</w:t>
      </w:r>
    </w:p>
    <w:p>
      <w:pPr>
        <w:pStyle w:val="ListParagraph"/>
        <w:numPr>
          <w:ilvl w:val="0"/>
          <w:numId w:val="2"/>
        </w:numPr>
        <w:spacing w:after="60"/>
      </w:pPr>
      <w:r>
        <w:rPr>
          <w:b/>
          <w:bCs/>
        </w:rPr>
        <w:t xml:space="preserve">Bound. </w:t>
      </w:r>
      <w:r>
        <w:t xml:space="preserve">The target is held to the market bound: what the position clears at, plus 15%.</w:t>
      </w:r>
    </w:p>
    <w:p>
      <w:pPr>
        <w:pStyle w:val="ListParagraph"/>
        <w:numPr>
          <w:ilvl w:val="0"/>
          <w:numId w:val="2"/>
        </w:numPr>
        <w:spacing w:after="60"/>
      </w:pPr>
      <w:r>
        <w:rPr>
          <w:b/>
          <w:bCs/>
        </w:rPr>
        <w:t xml:space="preserve">Step. </w:t>
      </w:r>
      <w:r>
        <w:t xml:space="preserve">Each write climbs at most 20–30% of the current price toward the target.</w:t>
      </w:r>
    </w:p>
    <w:p>
      <w:pPr>
        <w:pStyle w:val="ListParagraph"/>
        <w:numPr>
          <w:ilvl w:val="0"/>
          <w:numId w:val="2"/>
        </w:numPr>
        <w:spacing w:after="60"/>
      </w:pPr>
      <w:r>
        <w:rPr>
          <w:b/>
          <w:bCs/>
        </w:rPr>
        <w:t xml:space="preserve">Budget. </w:t>
      </w:r>
      <w:r>
        <w:t xml:space="preserve">Required clicks × this write’s price (§7).</w:t>
      </w:r>
    </w:p>
    <w:p>
      <w:pPr>
        <w:pStyle w:val="ListParagraph"/>
        <w:numPr>
          <w:ilvl w:val="0"/>
          <w:numId w:val="2"/>
        </w:numPr>
        <w:spacing w:after="60"/>
      </w:pPr>
      <w:r>
        <w:rPr>
          <w:b/>
          <w:bCs/>
        </w:rPr>
        <w:t xml:space="preserve">What a push must carry. </w:t>
      </w:r>
      <w:r>
        <w:t xml:space="preserve">A rank prediction (§11); without one it is priced at the ceiling. A term with no rank on file is ceiling only (§6). The delivery gap lifts the price only when the budget is intact and impression share is low (§6).</w:t>
      </w:r>
    </w:p>
    <w:p>
      <w:pPr>
        <w:pStyle w:val="ListParagraph"/>
        <w:numPr>
          <w:ilvl w:val="0"/>
          <w:numId w:val="2"/>
        </w:numPr>
        <w:spacing w:after="60"/>
      </w:pPr>
      <w:r>
        <w:rPr>
          <w:b/>
          <w:bCs/>
        </w:rPr>
        <w:t xml:space="preserve">Rows not delivering. </w:t>
      </w:r>
      <w:r>
        <w:t xml:space="preserve">No clicks arriving: hold the base and move the modifier only (§12). A down-only campaign that is not delivering is checked for suppression before its price is raised again (§10).</w:t>
      </w:r>
    </w:p>
    <w:p>
      <w:pPr>
        <w:spacing w:after="100"/>
      </w:pPr>
      <w:r>
        <w:t xml:space="preserve">The 21 September loss stop (3× contribution per order) is a deal rule. It still applies on 29–30 September while the second deal runs, and it lapses on 1 October. From then the push sells at list price, and the logic (§6) asks for sales velocity in the window before a wide gap is funded. The next velocity window after 30 September is the 10-26 Lightning Deal.</w:t>
      </w:r>
    </w:p>
    <w:p>
      <w:pPr>
        <w:spacing w:after="100"/>
      </w:pPr>
      <w:r>
        <w:rPr>
          <w:b/>
          <w:bCs/>
          <w:color w:val="1F3A5F"/>
        </w:rPr>
        <w:t xml:space="preserve">What the run did. </w:t>
      </w:r>
      <w:r>
        <w:t xml:space="preserve">It wrote 11 top-of-search rows in focus: three dose pushes at +75%, seven pushes of +11% to +30%, and one +9% (row 31, held by the review). It also wrote four budget raises, which a failed code check held automatically, and six bid cuts. The review held 31 and its base (34), corrected 293 and passed the rest.</w:t>
      </w:r>
    </w:p>
    <w:p>
      <w:pPr>
        <w:pStyle w:val="Heading1"/>
      </w:pPr>
      <w:r>
        <w:t xml:space="preserve">A1. The push in numbers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453"/>
        <w:gridCol w:w="2367"/>
        <w:gridCol w:w="907"/>
        <w:gridCol w:w="806"/>
        <w:gridCol w:w="705"/>
        <w:gridCol w:w="1511"/>
        <w:gridCol w:w="806"/>
        <w:gridCol w:w="1511"/>
        <w:gridCol w:w="906"/>
      </w:tblGrid>
      <w:tr>
        <w:trPr>
          <w:tblHeader/>
        </w:trPr>
        <w:tc>
          <w:tcPr>
            <w:tcW w:type="dxa" w:w="453"/>
            <w:shd w:fill="1F3A5F" w:color="auto" w:val="clear"/>
            <w:tcMar>
              <w:top w:type="dxa" w:w="40"/>
              <w:left w:type="dxa" w:w="70"/>
              <w:bottom w:type="dxa" w:w="40"/>
              <w:right w:type="dxa" w:w="70"/>
            </w:tcMar>
          </w:tcPr>
          <w:p>
            <w:pPr>
              <w:spacing w:after="0"/>
            </w:pPr>
            <w:r>
              <w:rPr>
                <w:b/>
                <w:bCs/>
                <w:color w:val="FFFFFF"/>
                <w:sz w:val="17"/>
                <w:szCs w:val="17"/>
              </w:rPr>
              <w:t xml:space="preserve">Seq</w:t>
            </w:r>
          </w:p>
        </w:tc>
        <w:tc>
          <w:tcPr>
            <w:tcW w:type="dxa" w:w="2367"/>
            <w:shd w:fill="1F3A5F" w:color="auto" w:val="clear"/>
            <w:tcMar>
              <w:top w:type="dxa" w:w="40"/>
              <w:left w:type="dxa" w:w="70"/>
              <w:bottom w:type="dxa" w:w="40"/>
              <w:right w:type="dxa" w:w="70"/>
            </w:tcMar>
          </w:tcPr>
          <w:p>
            <w:pPr>
              <w:spacing w:after="0"/>
            </w:pPr>
            <w:r>
              <w:rPr>
                <w:b/>
                <w:bCs/>
                <w:color w:val="FFFFFF"/>
                <w:sz w:val="17"/>
                <w:szCs w:val="17"/>
              </w:rPr>
              <w:t xml:space="preserve">Campaign · term</w:t>
            </w:r>
          </w:p>
        </w:tc>
        <w:tc>
          <w:tcPr>
            <w:tcW w:type="dxa" w:w="907"/>
            <w:shd w:fill="1F3A5F" w:color="auto" w:val="clear"/>
            <w:tcMar>
              <w:top w:type="dxa" w:w="40"/>
              <w:left w:type="dxa" w:w="70"/>
              <w:bottom w:type="dxa" w:w="40"/>
              <w:right w:type="dxa" w:w="70"/>
            </w:tcMar>
          </w:tcPr>
          <w:p>
            <w:pPr>
              <w:spacing w:after="0"/>
            </w:pPr>
            <w:r>
              <w:rPr>
                <w:b/>
                <w:bCs/>
                <w:color w:val="FFFFFF"/>
                <w:sz w:val="17"/>
                <w:szCs w:val="17"/>
              </w:rPr>
              <w:t xml:space="preserve">Rank now (30 d ago)</w:t>
            </w:r>
          </w:p>
        </w:tc>
        <w:tc>
          <w:tcPr>
            <w:tcW w:type="dxa" w:w="806"/>
            <w:shd w:fill="1F3A5F" w:color="auto" w:val="clear"/>
            <w:tcMar>
              <w:top w:type="dxa" w:w="40"/>
              <w:left w:type="dxa" w:w="70"/>
              <w:bottom w:type="dxa" w:w="40"/>
              <w:right w:type="dxa" w:w="70"/>
            </w:tcMar>
          </w:tcPr>
          <w:p>
            <w:pPr>
              <w:spacing w:after="0"/>
            </w:pPr>
            <w:r>
              <w:rPr>
                <w:b/>
                <w:bCs/>
                <w:color w:val="FFFFFF"/>
                <w:sz w:val="17"/>
                <w:szCs w:val="17"/>
              </w:rPr>
              <w:t xml:space="preserve">90 d clicks / orders</w:t>
            </w:r>
          </w:p>
        </w:tc>
        <w:tc>
          <w:tcPr>
            <w:tcW w:type="dxa" w:w="705"/>
            <w:shd w:fill="1F3A5F" w:color="auto" w:val="clear"/>
            <w:tcMar>
              <w:top w:type="dxa" w:w="40"/>
              <w:left w:type="dxa" w:w="70"/>
              <w:bottom w:type="dxa" w:w="40"/>
              <w:right w:type="dxa" w:w="70"/>
            </w:tcMar>
          </w:tcPr>
          <w:p>
            <w:pPr>
              <w:spacing w:after="0"/>
            </w:pPr>
            <w:r>
              <w:rPr>
                <w:b/>
                <w:bCs/>
                <w:color w:val="FFFFFF"/>
                <w:sz w:val="17"/>
                <w:szCs w:val="17"/>
              </w:rPr>
              <w:t xml:space="preserve">14 d spend</w:t>
            </w:r>
          </w:p>
        </w:tc>
        <w:tc>
          <w:tcPr>
            <w:tcW w:type="dxa" w:w="1511"/>
            <w:shd w:fill="1F3A5F" w:color="auto" w:val="clear"/>
            <w:tcMar>
              <w:top w:type="dxa" w:w="40"/>
              <w:left w:type="dxa" w:w="70"/>
              <w:bottom w:type="dxa" w:w="40"/>
              <w:right w:type="dxa" w:w="70"/>
            </w:tcMar>
          </w:tcPr>
          <w:p>
            <w:pPr>
              <w:spacing w:after="0"/>
            </w:pPr>
            <w:r>
              <w:rPr>
                <w:b/>
                <w:bCs/>
                <w:color w:val="FFFFFF"/>
                <w:sz w:val="17"/>
                <w:szCs w:val="17"/>
              </w:rPr>
              <w:t xml:space="preserve">TOS price now → written</w:t>
            </w:r>
          </w:p>
        </w:tc>
        <w:tc>
          <w:tcPr>
            <w:tcW w:type="dxa" w:w="806"/>
            <w:shd w:fill="1F3A5F" w:color="auto" w:val="clear"/>
            <w:tcMar>
              <w:top w:type="dxa" w:w="40"/>
              <w:left w:type="dxa" w:w="70"/>
              <w:bottom w:type="dxa" w:w="40"/>
              <w:right w:type="dxa" w:w="70"/>
            </w:tcMar>
          </w:tcPr>
          <w:p>
            <w:pPr>
              <w:spacing w:after="0"/>
            </w:pPr>
            <w:r>
              <w:rPr>
                <w:b/>
                <w:bCs/>
                <w:color w:val="FFFFFF"/>
                <w:sz w:val="17"/>
                <w:szCs w:val="17"/>
              </w:rPr>
              <w:t xml:space="preserve">Cost / TOS order</w:t>
            </w:r>
          </w:p>
        </w:tc>
        <w:tc>
          <w:tcPr>
            <w:tcW w:type="dxa" w:w="1511"/>
            <w:shd w:fill="1F3A5F" w:color="auto" w:val="clear"/>
            <w:tcMar>
              <w:top w:type="dxa" w:w="40"/>
              <w:left w:type="dxa" w:w="70"/>
              <w:bottom w:type="dxa" w:w="40"/>
              <w:right w:type="dxa" w:w="70"/>
            </w:tcMar>
          </w:tcPr>
          <w:p>
            <w:pPr>
              <w:spacing w:after="0"/>
            </w:pPr>
            <w:r>
              <w:rPr>
                <w:b/>
                <w:bCs/>
                <w:color w:val="FFFFFF"/>
                <w:sz w:val="17"/>
                <w:szCs w:val="17"/>
              </w:rPr>
              <w:t xml:space="preserve">Budget → written</w:t>
            </w:r>
          </w:p>
        </w:tc>
        <w:tc>
          <w:tcPr>
            <w:tcW w:type="dxa" w:w="906"/>
            <w:shd w:fill="1F3A5F" w:color="auto" w:val="clear"/>
            <w:tcMar>
              <w:top w:type="dxa" w:w="40"/>
              <w:left w:type="dxa" w:w="70"/>
              <w:bottom w:type="dxa" w:w="40"/>
              <w:right w:type="dxa" w:w="70"/>
            </w:tcMar>
          </w:tcPr>
          <w:p>
            <w:pPr>
              <w:spacing w:after="0"/>
            </w:pPr>
            <w:r>
              <w:rPr>
                <w:b/>
                <w:bCs/>
                <w:color w:val="FFFFFF"/>
                <w:sz w:val="17"/>
                <w:szCs w:val="17"/>
              </w:rPr>
              <w:t xml:space="preserve">Review</w:t>
            </w:r>
          </w:p>
        </w:tc>
      </w:tr>
      <w:tr>
        <w:tc>
          <w:tcPr>
            <w:tcW w:type="dxa" w:w="453"/>
            <w:shd w:fill="FFFFFF" w:color="auto" w:val="clear"/>
            <w:tcMar>
              <w:top w:type="dxa" w:w="40"/>
              <w:left w:type="dxa" w:w="70"/>
              <w:bottom w:type="dxa" w:w="40"/>
              <w:right w:type="dxa" w:w="70"/>
            </w:tcMar>
          </w:tcPr>
          <w:p>
            <w:pPr>
              <w:spacing w:after="0"/>
            </w:pPr>
            <w:r>
              <w:rPr>
                <w:sz w:val="17"/>
                <w:szCs w:val="17"/>
              </w:rPr>
              <w:t xml:space="preserve">31</w:t>
            </w:r>
          </w:p>
        </w:tc>
        <w:tc>
          <w:tcPr>
            <w:tcW w:type="dxa" w:w="2367"/>
            <w:shd w:fill="FFFFFF" w:color="auto" w:val="clear"/>
            <w:tcMar>
              <w:top w:type="dxa" w:w="40"/>
              <w:left w:type="dxa" w:w="70"/>
              <w:bottom w:type="dxa" w:w="40"/>
              <w:right w:type="dxa" w:w="70"/>
            </w:tcMar>
          </w:tcPr>
          <w:p>
            <w:pPr>
              <w:spacing w:after="0"/>
            </w:pPr>
            <w:r>
              <w:rPr>
                <w:sz w:val="17"/>
                <w:szCs w:val="17"/>
              </w:rPr>
              <w:t xml:space="preserve">Bamboo Cooling Sheets (MSV) · bamboo cooling sheets</w:t>
            </w:r>
          </w:p>
        </w:tc>
        <w:tc>
          <w:tcPr>
            <w:tcW w:type="dxa" w:w="907"/>
            <w:shd w:fill="FFFFFF" w:color="auto" w:val="clear"/>
            <w:tcMar>
              <w:top w:type="dxa" w:w="40"/>
              <w:left w:type="dxa" w:w="70"/>
              <w:bottom w:type="dxa" w:w="40"/>
              <w:right w:type="dxa" w:w="70"/>
            </w:tcMar>
          </w:tcPr>
          <w:p>
            <w:pPr>
              <w:spacing w:after="0"/>
            </w:pPr>
            <w:r>
              <w:rPr>
                <w:sz w:val="17"/>
                <w:szCs w:val="17"/>
              </w:rPr>
              <w:t xml:space="preserve">30 (36)</w:t>
            </w:r>
          </w:p>
        </w:tc>
        <w:tc>
          <w:tcPr>
            <w:tcW w:type="dxa" w:w="806"/>
            <w:shd w:fill="FFFFFF" w:color="auto" w:val="clear"/>
            <w:tcMar>
              <w:top w:type="dxa" w:w="40"/>
              <w:left w:type="dxa" w:w="70"/>
              <w:bottom w:type="dxa" w:w="40"/>
              <w:right w:type="dxa" w:w="70"/>
            </w:tcMar>
          </w:tcPr>
          <w:p>
            <w:pPr>
              <w:spacing w:after="0"/>
            </w:pPr>
            <w:r>
              <w:rPr>
                <w:sz w:val="17"/>
                <w:szCs w:val="17"/>
              </w:rPr>
              <w:t xml:space="preserve">418 / 42</w:t>
            </w:r>
          </w:p>
        </w:tc>
        <w:tc>
          <w:tcPr>
            <w:tcW w:type="dxa" w:w="705"/>
            <w:shd w:fill="FFFFFF" w:color="auto" w:val="clear"/>
            <w:tcMar>
              <w:top w:type="dxa" w:w="40"/>
              <w:left w:type="dxa" w:w="70"/>
              <w:bottom w:type="dxa" w:w="40"/>
              <w:right w:type="dxa" w:w="70"/>
            </w:tcMar>
          </w:tcPr>
          <w:p>
            <w:pPr>
              <w:spacing w:after="0"/>
            </w:pPr>
            <w:r>
              <w:rPr>
                <w:sz w:val="17"/>
                <w:szCs w:val="17"/>
              </w:rPr>
              <w:t xml:space="preserve">$415</w:t>
            </w:r>
          </w:p>
        </w:tc>
        <w:tc>
          <w:tcPr>
            <w:tcW w:type="dxa" w:w="1511"/>
            <w:shd w:fill="FFFFFF" w:color="auto" w:val="clear"/>
            <w:tcMar>
              <w:top w:type="dxa" w:w="40"/>
              <w:left w:type="dxa" w:w="70"/>
              <w:bottom w:type="dxa" w:w="40"/>
              <w:right w:type="dxa" w:w="70"/>
            </w:tcMar>
          </w:tcPr>
          <w:p>
            <w:pPr>
              <w:spacing w:after="0"/>
            </w:pPr>
            <w:r>
              <w:rPr>
                <w:sz w:val="17"/>
                <w:szCs w:val="17"/>
              </w:rPr>
              <w:t xml:space="preserve">$7.61 → $8.26 (+9%)</w:t>
            </w:r>
          </w:p>
        </w:tc>
        <w:tc>
          <w:tcPr>
            <w:tcW w:type="dxa" w:w="806"/>
            <w:shd w:fill="FFFFFF" w:color="auto" w:val="clear"/>
            <w:tcMar>
              <w:top w:type="dxa" w:w="40"/>
              <w:left w:type="dxa" w:w="70"/>
              <w:bottom w:type="dxa" w:w="40"/>
              <w:right w:type="dxa" w:w="70"/>
            </w:tcMar>
          </w:tcPr>
          <w:p>
            <w:pPr>
              <w:spacing w:after="0"/>
            </w:pPr>
            <w:r>
              <w:rPr>
                <w:sz w:val="17"/>
                <w:szCs w:val="17"/>
              </w:rPr>
              <w:t xml:space="preserve">$60</w:t>
            </w:r>
          </w:p>
        </w:tc>
        <w:tc>
          <w:tcPr>
            <w:tcW w:type="dxa" w:w="1511"/>
            <w:shd w:fill="FFFFFF" w:color="auto" w:val="clear"/>
            <w:tcMar>
              <w:top w:type="dxa" w:w="40"/>
              <w:left w:type="dxa" w:w="70"/>
              <w:bottom w:type="dxa" w:w="40"/>
              <w:right w:type="dxa" w:w="70"/>
            </w:tcMar>
          </w:tcPr>
          <w:p>
            <w:pPr>
              <w:spacing w:after="0"/>
            </w:pPr>
            <w:r>
              <w:rPr>
                <w:sz w:val="17"/>
                <w:szCs w:val="17"/>
              </w:rPr>
              <w:t xml:space="preserve">$40</w:t>
            </w:r>
          </w:p>
        </w:tc>
        <w:tc>
          <w:tcPr>
            <w:tcW w:type="dxa" w:w="906"/>
            <w:shd w:fill="FFFFFF" w:color="auto" w:val="clear"/>
            <w:tcMar>
              <w:top w:type="dxa" w:w="40"/>
              <w:left w:type="dxa" w:w="70"/>
              <w:bottom w:type="dxa" w:w="40"/>
              <w:right w:type="dxa" w:w="70"/>
            </w:tcMar>
          </w:tcPr>
          <w:p>
            <w:pPr>
              <w:spacing w:after="0"/>
            </w:pPr>
            <w:r>
              <w:rPr>
                <w:sz w:val="17"/>
                <w:szCs w:val="17"/>
              </w:rPr>
              <w:t xml:space="preserve">hold</w:t>
            </w:r>
          </w:p>
        </w:tc>
      </w:tr>
      <w:tr>
        <w:tc>
          <w:tcPr>
            <w:tcW w:type="dxa" w:w="453"/>
            <w:shd w:fill="F2F5F9" w:color="auto" w:val="clear"/>
            <w:tcMar>
              <w:top w:type="dxa" w:w="40"/>
              <w:left w:type="dxa" w:w="70"/>
              <w:bottom w:type="dxa" w:w="40"/>
              <w:right w:type="dxa" w:w="70"/>
            </w:tcMar>
          </w:tcPr>
          <w:p>
            <w:pPr>
              <w:spacing w:after="0"/>
            </w:pPr>
            <w:r>
              <w:rPr>
                <w:sz w:val="17"/>
                <w:szCs w:val="17"/>
              </w:rPr>
              <w:t xml:space="preserve">288</w:t>
            </w:r>
          </w:p>
        </w:tc>
        <w:tc>
          <w:tcPr>
            <w:tcW w:type="dxa" w:w="2367"/>
            <w:shd w:fill="F2F5F9" w:color="auto" w:val="clear"/>
            <w:tcMar>
              <w:top w:type="dxa" w:w="40"/>
              <w:left w:type="dxa" w:w="70"/>
              <w:bottom w:type="dxa" w:w="40"/>
              <w:right w:type="dxa" w:w="70"/>
            </w:tcMar>
          </w:tcPr>
          <w:p>
            <w:pPr>
              <w:spacing w:after="0"/>
            </w:pPr>
            <w:r>
              <w:rPr>
                <w:sz w:val="17"/>
                <w:szCs w:val="17"/>
              </w:rPr>
              <w:t xml:space="preserve">Bamboo Sheets California King (LSV) · bamboo sheets california king</w:t>
            </w:r>
          </w:p>
        </w:tc>
        <w:tc>
          <w:tcPr>
            <w:tcW w:type="dxa" w:w="907"/>
            <w:shd w:fill="F2F5F9" w:color="auto" w:val="clear"/>
            <w:tcMar>
              <w:top w:type="dxa" w:w="40"/>
              <w:left w:type="dxa" w:w="70"/>
              <w:bottom w:type="dxa" w:w="40"/>
              <w:right w:type="dxa" w:w="70"/>
            </w:tcMar>
          </w:tcPr>
          <w:p>
            <w:pPr>
              <w:spacing w:after="0"/>
            </w:pPr>
            <w:r>
              <w:rPr>
                <w:sz w:val="17"/>
                <w:szCs w:val="17"/>
              </w:rPr>
              <w:t xml:space="preserve">16 (4)</w:t>
            </w:r>
          </w:p>
        </w:tc>
        <w:tc>
          <w:tcPr>
            <w:tcW w:type="dxa" w:w="806"/>
            <w:shd w:fill="F2F5F9" w:color="auto" w:val="clear"/>
            <w:tcMar>
              <w:top w:type="dxa" w:w="40"/>
              <w:left w:type="dxa" w:w="70"/>
              <w:bottom w:type="dxa" w:w="40"/>
              <w:right w:type="dxa" w:w="70"/>
            </w:tcMar>
          </w:tcPr>
          <w:p>
            <w:pPr>
              <w:spacing w:after="0"/>
            </w:pPr>
            <w:r>
              <w:rPr>
                <w:sz w:val="17"/>
                <w:szCs w:val="17"/>
              </w:rPr>
              <w:t xml:space="preserve">9 / 0</w:t>
            </w:r>
          </w:p>
        </w:tc>
        <w:tc>
          <w:tcPr>
            <w:tcW w:type="dxa" w:w="705"/>
            <w:shd w:fill="F2F5F9" w:color="auto" w:val="clear"/>
            <w:tcMar>
              <w:top w:type="dxa" w:w="40"/>
              <w:left w:type="dxa" w:w="70"/>
              <w:bottom w:type="dxa" w:w="40"/>
              <w:right w:type="dxa" w:w="70"/>
            </w:tcMar>
          </w:tcPr>
          <w:p>
            <w:pPr>
              <w:spacing w:after="0"/>
            </w:pPr>
            <w:r>
              <w:rPr>
                <w:sz w:val="17"/>
                <w:szCs w:val="17"/>
              </w:rPr>
              <w:t xml:space="preserve">$27</w:t>
            </w:r>
          </w:p>
        </w:tc>
        <w:tc>
          <w:tcPr>
            <w:tcW w:type="dxa" w:w="1511"/>
            <w:shd w:fill="F2F5F9" w:color="auto" w:val="clear"/>
            <w:tcMar>
              <w:top w:type="dxa" w:w="40"/>
              <w:left w:type="dxa" w:w="70"/>
              <w:bottom w:type="dxa" w:w="40"/>
              <w:right w:type="dxa" w:w="70"/>
            </w:tcMar>
          </w:tcPr>
          <w:p>
            <w:pPr>
              <w:spacing w:after="0"/>
            </w:pPr>
            <w:r>
              <w:rPr>
                <w:sz w:val="17"/>
                <w:szCs w:val="17"/>
              </w:rPr>
              <w:t xml:space="preserve">$4.60 → $8.04 (+75%, dose)</w:t>
            </w:r>
          </w:p>
        </w:tc>
        <w:tc>
          <w:tcPr>
            <w:tcW w:type="dxa" w:w="806"/>
            <w:shd w:fill="F2F5F9" w:color="auto" w:val="clear"/>
            <w:tcMar>
              <w:top w:type="dxa" w:w="40"/>
              <w:left w:type="dxa" w:w="70"/>
              <w:bottom w:type="dxa" w:w="40"/>
              <w:right w:type="dxa" w:w="70"/>
            </w:tcMar>
          </w:tcPr>
          <w:p>
            <w:pPr>
              <w:spacing w:after="0"/>
            </w:pPr>
            <w:r>
              <w:rPr>
                <w:sz w:val="17"/>
                <w:szCs w:val="17"/>
              </w:rPr>
              <w:t xml:space="preserve">$59</w:t>
            </w:r>
          </w:p>
        </w:tc>
        <w:tc>
          <w:tcPr>
            <w:tcW w:type="dxa" w:w="1511"/>
            <w:shd w:fill="F2F5F9" w:color="auto" w:val="clear"/>
            <w:tcMar>
              <w:top w:type="dxa" w:w="40"/>
              <w:left w:type="dxa" w:w="70"/>
              <w:bottom w:type="dxa" w:w="40"/>
              <w:right w:type="dxa" w:w="70"/>
            </w:tcMar>
          </w:tcPr>
          <w:p>
            <w:pPr>
              <w:spacing w:after="0"/>
            </w:pPr>
            <w:r>
              <w:rPr>
                <w:sz w:val="17"/>
                <w:szCs w:val="17"/>
              </w:rPr>
              <w:t xml:space="preserve">$10 → $13.98 (code-held)</w:t>
            </w:r>
          </w:p>
        </w:tc>
        <w:tc>
          <w:tcPr>
            <w:tcW w:type="dxa" w:w="906"/>
            <w:shd w:fill="F2F5F9" w:color="auto" w:val="clear"/>
            <w:tcMar>
              <w:top w:type="dxa" w:w="40"/>
              <w:left w:type="dxa" w:w="70"/>
              <w:bottom w:type="dxa" w:w="40"/>
              <w:right w:type="dxa" w:w="70"/>
            </w:tcMar>
          </w:tcPr>
          <w:p>
            <w:pPr>
              <w:spacing w:after="0"/>
            </w:pPr>
            <w:r>
              <w:rPr>
                <w:sz w:val="17"/>
                <w:szCs w:val="17"/>
              </w:rPr>
              <w:t xml:space="preserve">pass</w:t>
            </w:r>
          </w:p>
        </w:tc>
      </w:tr>
      <w:tr>
        <w:tc>
          <w:tcPr>
            <w:tcW w:type="dxa" w:w="453"/>
            <w:shd w:fill="FFFFFF" w:color="auto" w:val="clear"/>
            <w:tcMar>
              <w:top w:type="dxa" w:w="40"/>
              <w:left w:type="dxa" w:w="70"/>
              <w:bottom w:type="dxa" w:w="40"/>
              <w:right w:type="dxa" w:w="70"/>
            </w:tcMar>
          </w:tcPr>
          <w:p>
            <w:pPr>
              <w:spacing w:after="0"/>
            </w:pPr>
            <w:r>
              <w:rPr>
                <w:sz w:val="17"/>
                <w:szCs w:val="17"/>
              </w:rPr>
              <w:t xml:space="preserve">369</w:t>
            </w:r>
          </w:p>
        </w:tc>
        <w:tc>
          <w:tcPr>
            <w:tcW w:type="dxa" w:w="2367"/>
            <w:shd w:fill="FFFFFF" w:color="auto" w:val="clear"/>
            <w:tcMar>
              <w:top w:type="dxa" w:w="40"/>
              <w:left w:type="dxa" w:w="70"/>
              <w:bottom w:type="dxa" w:w="40"/>
              <w:right w:type="dxa" w:w="70"/>
            </w:tcMar>
          </w:tcPr>
          <w:p>
            <w:pPr>
              <w:spacing w:after="0"/>
            </w:pPr>
            <w:r>
              <w:rPr>
                <w:sz w:val="17"/>
                <w:szCs w:val="17"/>
              </w:rPr>
              <w:t xml:space="preserve">Bamboo Cooling Sheets King Size [Bamboo|Cooling] · bamboo cooling sheets king size</w:t>
            </w:r>
          </w:p>
        </w:tc>
        <w:tc>
          <w:tcPr>
            <w:tcW w:type="dxa" w:w="907"/>
            <w:shd w:fill="FFFFFF" w:color="auto" w:val="clear"/>
            <w:tcMar>
              <w:top w:type="dxa" w:w="40"/>
              <w:left w:type="dxa" w:w="70"/>
              <w:bottom w:type="dxa" w:w="40"/>
              <w:right w:type="dxa" w:w="70"/>
            </w:tcMar>
          </w:tcPr>
          <w:p>
            <w:pPr>
              <w:spacing w:after="0"/>
            </w:pPr>
            <w:r>
              <w:rPr>
                <w:sz w:val="17"/>
                <w:szCs w:val="17"/>
              </w:rPr>
              <w:t xml:space="preserve">31 (35; 7 in window)</w:t>
            </w:r>
          </w:p>
        </w:tc>
        <w:tc>
          <w:tcPr>
            <w:tcW w:type="dxa" w:w="806"/>
            <w:shd w:fill="FFFFFF" w:color="auto" w:val="clear"/>
            <w:tcMar>
              <w:top w:type="dxa" w:w="40"/>
              <w:left w:type="dxa" w:w="70"/>
              <w:bottom w:type="dxa" w:w="40"/>
              <w:right w:type="dxa" w:w="70"/>
            </w:tcMar>
          </w:tcPr>
          <w:p>
            <w:pPr>
              <w:spacing w:after="0"/>
            </w:pPr>
            <w:r>
              <w:rPr>
                <w:sz w:val="17"/>
                <w:szCs w:val="17"/>
              </w:rPr>
              <w:t xml:space="preserve">7 / 0</w:t>
            </w:r>
          </w:p>
        </w:tc>
        <w:tc>
          <w:tcPr>
            <w:tcW w:type="dxa" w:w="705"/>
            <w:shd w:fill="FFFFFF" w:color="auto" w:val="clear"/>
            <w:tcMar>
              <w:top w:type="dxa" w:w="40"/>
              <w:left w:type="dxa" w:w="70"/>
              <w:bottom w:type="dxa" w:w="40"/>
              <w:right w:type="dxa" w:w="70"/>
            </w:tcMar>
          </w:tcPr>
          <w:p>
            <w:pPr>
              <w:spacing w:after="0"/>
            </w:pPr>
            <w:r>
              <w:rPr>
                <w:sz w:val="17"/>
                <w:szCs w:val="17"/>
              </w:rPr>
              <w:t xml:space="preserve">$27</w:t>
            </w:r>
          </w:p>
        </w:tc>
        <w:tc>
          <w:tcPr>
            <w:tcW w:type="dxa" w:w="1511"/>
            <w:shd w:fill="FFFFFF" w:color="auto" w:val="clear"/>
            <w:tcMar>
              <w:top w:type="dxa" w:w="40"/>
              <w:left w:type="dxa" w:w="70"/>
              <w:bottom w:type="dxa" w:w="40"/>
              <w:right w:type="dxa" w:w="70"/>
            </w:tcMar>
          </w:tcPr>
          <w:p>
            <w:pPr>
              <w:spacing w:after="0"/>
            </w:pPr>
            <w:r>
              <w:rPr>
                <w:sz w:val="17"/>
                <w:szCs w:val="17"/>
              </w:rPr>
              <w:t xml:space="preserve">$6.90 → $12.07 (+75%, dose)</w:t>
            </w:r>
          </w:p>
        </w:tc>
        <w:tc>
          <w:tcPr>
            <w:tcW w:type="dxa" w:w="806"/>
            <w:shd w:fill="FFFFFF" w:color="auto" w:val="clear"/>
            <w:tcMar>
              <w:top w:type="dxa" w:w="40"/>
              <w:left w:type="dxa" w:w="70"/>
              <w:bottom w:type="dxa" w:w="40"/>
              <w:right w:type="dxa" w:w="70"/>
            </w:tcMar>
          </w:tcPr>
          <w:p>
            <w:pPr>
              <w:spacing w:after="0"/>
            </w:pPr>
            <w:r>
              <w:rPr>
                <w:sz w:val="17"/>
                <w:szCs w:val="17"/>
              </w:rPr>
              <w:t xml:space="preserve">$88</w:t>
            </w:r>
          </w:p>
        </w:tc>
        <w:tc>
          <w:tcPr>
            <w:tcW w:type="dxa" w:w="1511"/>
            <w:shd w:fill="FFFFFF" w:color="auto" w:val="clear"/>
            <w:tcMar>
              <w:top w:type="dxa" w:w="40"/>
              <w:left w:type="dxa" w:w="70"/>
              <w:bottom w:type="dxa" w:w="40"/>
              <w:right w:type="dxa" w:w="70"/>
            </w:tcMar>
          </w:tcPr>
          <w:p>
            <w:pPr>
              <w:spacing w:after="0"/>
            </w:pPr>
            <w:r>
              <w:rPr>
                <w:sz w:val="17"/>
                <w:szCs w:val="17"/>
              </w:rPr>
              <w:t xml:space="preserve">$11.42 → $22.91 (code-held)</w:t>
            </w:r>
          </w:p>
        </w:tc>
        <w:tc>
          <w:tcPr>
            <w:tcW w:type="dxa" w:w="906"/>
            <w:shd w:fill="FFFFFF" w:color="auto" w:val="clear"/>
            <w:tcMar>
              <w:top w:type="dxa" w:w="40"/>
              <w:left w:type="dxa" w:w="70"/>
              <w:bottom w:type="dxa" w:w="40"/>
              <w:right w:type="dxa" w:w="70"/>
            </w:tcMar>
          </w:tcPr>
          <w:p>
            <w:pPr>
              <w:spacing w:after="0"/>
            </w:pPr>
            <w:r>
              <w:rPr>
                <w:sz w:val="17"/>
                <w:szCs w:val="17"/>
              </w:rPr>
              <w:t xml:space="preserve">pass</w:t>
            </w:r>
          </w:p>
        </w:tc>
      </w:tr>
      <w:tr>
        <w:tc>
          <w:tcPr>
            <w:tcW w:type="dxa" w:w="453"/>
            <w:shd w:fill="F2F5F9" w:color="auto" w:val="clear"/>
            <w:tcMar>
              <w:top w:type="dxa" w:w="40"/>
              <w:left w:type="dxa" w:w="70"/>
              <w:bottom w:type="dxa" w:w="40"/>
              <w:right w:type="dxa" w:w="70"/>
            </w:tcMar>
          </w:tcPr>
          <w:p>
            <w:pPr>
              <w:spacing w:after="0"/>
            </w:pPr>
            <w:r>
              <w:rPr>
                <w:sz w:val="17"/>
                <w:szCs w:val="17"/>
              </w:rPr>
              <w:t xml:space="preserve">398</w:t>
            </w:r>
          </w:p>
        </w:tc>
        <w:tc>
          <w:tcPr>
            <w:tcW w:type="dxa" w:w="2367"/>
            <w:shd w:fill="F2F5F9" w:color="auto" w:val="clear"/>
            <w:tcMar>
              <w:top w:type="dxa" w:w="40"/>
              <w:left w:type="dxa" w:w="70"/>
              <w:bottom w:type="dxa" w:w="40"/>
              <w:right w:type="dxa" w:w="70"/>
            </w:tcMar>
          </w:tcPr>
          <w:p>
            <w:pPr>
              <w:spacing w:after="0"/>
            </w:pPr>
            <w:r>
              <w:rPr>
                <w:sz w:val="17"/>
                <w:szCs w:val="17"/>
              </w:rPr>
              <w:t xml:space="preserve">Cooling Bamboo Sheets (MSV) · cooling bamboo sheets</w:t>
            </w:r>
          </w:p>
        </w:tc>
        <w:tc>
          <w:tcPr>
            <w:tcW w:type="dxa" w:w="907"/>
            <w:shd w:fill="F2F5F9" w:color="auto" w:val="clear"/>
            <w:tcMar>
              <w:top w:type="dxa" w:w="40"/>
              <w:left w:type="dxa" w:w="70"/>
              <w:bottom w:type="dxa" w:w="40"/>
              <w:right w:type="dxa" w:w="70"/>
            </w:tcMar>
          </w:tcPr>
          <w:p>
            <w:pPr>
              <w:spacing w:after="0"/>
            </w:pPr>
            <w:r>
              <w:rPr>
                <w:sz w:val="17"/>
                <w:szCs w:val="17"/>
              </w:rPr>
              <w:t xml:space="preserve">12 (30)</w:t>
            </w:r>
          </w:p>
        </w:tc>
        <w:tc>
          <w:tcPr>
            <w:tcW w:type="dxa" w:w="806"/>
            <w:shd w:fill="F2F5F9" w:color="auto" w:val="clear"/>
            <w:tcMar>
              <w:top w:type="dxa" w:w="40"/>
              <w:left w:type="dxa" w:w="70"/>
              <w:bottom w:type="dxa" w:w="40"/>
              <w:right w:type="dxa" w:w="70"/>
            </w:tcMar>
          </w:tcPr>
          <w:p>
            <w:pPr>
              <w:spacing w:after="0"/>
            </w:pPr>
            <w:r>
              <w:rPr>
                <w:sz w:val="17"/>
                <w:szCs w:val="17"/>
              </w:rPr>
              <w:t xml:space="preserve">7 / 0</w:t>
            </w:r>
          </w:p>
        </w:tc>
        <w:tc>
          <w:tcPr>
            <w:tcW w:type="dxa" w:w="705"/>
            <w:shd w:fill="F2F5F9" w:color="auto" w:val="clear"/>
            <w:tcMar>
              <w:top w:type="dxa" w:w="40"/>
              <w:left w:type="dxa" w:w="70"/>
              <w:bottom w:type="dxa" w:w="40"/>
              <w:right w:type="dxa" w:w="70"/>
            </w:tcMar>
          </w:tcPr>
          <w:p>
            <w:pPr>
              <w:spacing w:after="0"/>
            </w:pPr>
            <w:r>
              <w:rPr>
                <w:sz w:val="17"/>
                <w:szCs w:val="17"/>
              </w:rPr>
              <w:t xml:space="preserve">$20</w:t>
            </w:r>
          </w:p>
        </w:tc>
        <w:tc>
          <w:tcPr>
            <w:tcW w:type="dxa" w:w="1511"/>
            <w:shd w:fill="F2F5F9" w:color="auto" w:val="clear"/>
            <w:tcMar>
              <w:top w:type="dxa" w:w="40"/>
              <w:left w:type="dxa" w:w="70"/>
              <w:bottom w:type="dxa" w:w="40"/>
              <w:right w:type="dxa" w:w="70"/>
            </w:tcMar>
          </w:tcPr>
          <w:p>
            <w:pPr>
              <w:spacing w:after="0"/>
            </w:pPr>
            <w:r>
              <w:rPr>
                <w:sz w:val="17"/>
                <w:szCs w:val="17"/>
              </w:rPr>
              <w:t xml:space="preserve">$4.60 → $8.04 (+75%, dose)</w:t>
            </w:r>
          </w:p>
        </w:tc>
        <w:tc>
          <w:tcPr>
            <w:tcW w:type="dxa" w:w="806"/>
            <w:shd w:fill="F2F5F9" w:color="auto" w:val="clear"/>
            <w:tcMar>
              <w:top w:type="dxa" w:w="40"/>
              <w:left w:type="dxa" w:w="70"/>
              <w:bottom w:type="dxa" w:w="40"/>
              <w:right w:type="dxa" w:w="70"/>
            </w:tcMar>
          </w:tcPr>
          <w:p>
            <w:pPr>
              <w:spacing w:after="0"/>
            </w:pPr>
            <w:r>
              <w:rPr>
                <w:sz w:val="17"/>
                <w:szCs w:val="17"/>
              </w:rPr>
              <w:t xml:space="preserve">$59</w:t>
            </w:r>
          </w:p>
        </w:tc>
        <w:tc>
          <w:tcPr>
            <w:tcW w:type="dxa" w:w="1511"/>
            <w:shd w:fill="F2F5F9" w:color="auto" w:val="clear"/>
            <w:tcMar>
              <w:top w:type="dxa" w:w="40"/>
              <w:left w:type="dxa" w:w="70"/>
              <w:bottom w:type="dxa" w:w="40"/>
              <w:right w:type="dxa" w:w="70"/>
            </w:tcMar>
          </w:tcPr>
          <w:p>
            <w:pPr>
              <w:spacing w:after="0"/>
            </w:pPr>
            <w:r>
              <w:rPr>
                <w:sz w:val="17"/>
                <w:szCs w:val="17"/>
              </w:rPr>
              <w:t xml:space="preserve">$10 → $14.21 (code-held)</w:t>
            </w:r>
          </w:p>
        </w:tc>
        <w:tc>
          <w:tcPr>
            <w:tcW w:type="dxa" w:w="906"/>
            <w:shd w:fill="F2F5F9" w:color="auto" w:val="clear"/>
            <w:tcMar>
              <w:top w:type="dxa" w:w="40"/>
              <w:left w:type="dxa" w:w="70"/>
              <w:bottom w:type="dxa" w:w="40"/>
              <w:right w:type="dxa" w:w="70"/>
            </w:tcMar>
          </w:tcPr>
          <w:p>
            <w:pPr>
              <w:spacing w:after="0"/>
            </w:pPr>
            <w:r>
              <w:rPr>
                <w:sz w:val="17"/>
                <w:szCs w:val="17"/>
              </w:rPr>
              <w:t xml:space="preserve">pass</w:t>
            </w:r>
          </w:p>
        </w:tc>
      </w:tr>
      <w:tr>
        <w:tc>
          <w:tcPr>
            <w:tcW w:type="dxa" w:w="453"/>
            <w:shd w:fill="FFFFFF" w:color="auto" w:val="clear"/>
            <w:tcMar>
              <w:top w:type="dxa" w:w="40"/>
              <w:left w:type="dxa" w:w="70"/>
              <w:bottom w:type="dxa" w:w="40"/>
              <w:right w:type="dxa" w:w="70"/>
            </w:tcMar>
          </w:tcPr>
          <w:p>
            <w:pPr>
              <w:spacing w:after="0"/>
            </w:pPr>
            <w:r>
              <w:rPr>
                <w:sz w:val="17"/>
                <w:szCs w:val="17"/>
              </w:rPr>
              <w:t xml:space="preserve">374</w:t>
            </w:r>
          </w:p>
        </w:tc>
        <w:tc>
          <w:tcPr>
            <w:tcW w:type="dxa" w:w="2367"/>
            <w:shd w:fill="FFFFFF" w:color="auto" w:val="clear"/>
            <w:tcMar>
              <w:top w:type="dxa" w:w="40"/>
              <w:left w:type="dxa" w:w="70"/>
              <w:bottom w:type="dxa" w:w="40"/>
              <w:right w:type="dxa" w:w="70"/>
            </w:tcMar>
          </w:tcPr>
          <w:p>
            <w:pPr>
              <w:spacing w:after="0"/>
            </w:pPr>
            <w:r>
              <w:rPr>
                <w:sz w:val="17"/>
                <w:szCs w:val="17"/>
              </w:rPr>
              <w:t xml:space="preserve">Bamboo Sheets Cal King (VLSV) · bamboo sheets cal king</w:t>
            </w:r>
          </w:p>
        </w:tc>
        <w:tc>
          <w:tcPr>
            <w:tcW w:type="dxa" w:w="907"/>
            <w:shd w:fill="FFFFFF" w:color="auto" w:val="clear"/>
            <w:tcMar>
              <w:top w:type="dxa" w:w="40"/>
              <w:left w:type="dxa" w:w="70"/>
              <w:bottom w:type="dxa" w:w="40"/>
              <w:right w:type="dxa" w:w="70"/>
            </w:tcMar>
          </w:tcPr>
          <w:p>
            <w:pPr>
              <w:spacing w:after="0"/>
            </w:pPr>
            <w:r>
              <w:rPr>
                <w:sz w:val="17"/>
                <w:szCs w:val="17"/>
              </w:rPr>
              <w:t xml:space="preserve">39 (23)</w:t>
            </w:r>
          </w:p>
        </w:tc>
        <w:tc>
          <w:tcPr>
            <w:tcW w:type="dxa" w:w="806"/>
            <w:shd w:fill="FFFFFF" w:color="auto" w:val="clear"/>
            <w:tcMar>
              <w:top w:type="dxa" w:w="40"/>
              <w:left w:type="dxa" w:w="70"/>
              <w:bottom w:type="dxa" w:w="40"/>
              <w:right w:type="dxa" w:w="70"/>
            </w:tcMar>
          </w:tcPr>
          <w:p>
            <w:pPr>
              <w:spacing w:after="0"/>
            </w:pPr>
            <w:r>
              <w:rPr>
                <w:sz w:val="17"/>
                <w:szCs w:val="17"/>
              </w:rPr>
              <w:t xml:space="preserve">5 / 2</w:t>
            </w:r>
          </w:p>
        </w:tc>
        <w:tc>
          <w:tcPr>
            <w:tcW w:type="dxa" w:w="705"/>
            <w:shd w:fill="FFFFFF" w:color="auto" w:val="clear"/>
            <w:tcMar>
              <w:top w:type="dxa" w:w="40"/>
              <w:left w:type="dxa" w:w="70"/>
              <w:bottom w:type="dxa" w:w="40"/>
              <w:right w:type="dxa" w:w="70"/>
            </w:tcMar>
          </w:tcPr>
          <w:p>
            <w:pPr>
              <w:spacing w:after="0"/>
            </w:pPr>
            <w:r>
              <w:rPr>
                <w:sz w:val="17"/>
                <w:szCs w:val="17"/>
              </w:rPr>
              <w:t xml:space="preserve">$28</w:t>
            </w:r>
          </w:p>
        </w:tc>
        <w:tc>
          <w:tcPr>
            <w:tcW w:type="dxa" w:w="1511"/>
            <w:shd w:fill="FFFFFF" w:color="auto" w:val="clear"/>
            <w:tcMar>
              <w:top w:type="dxa" w:w="40"/>
              <w:left w:type="dxa" w:w="70"/>
              <w:bottom w:type="dxa" w:w="40"/>
              <w:right w:type="dxa" w:w="70"/>
            </w:tcMar>
          </w:tcPr>
          <w:p>
            <w:pPr>
              <w:spacing w:after="0"/>
            </w:pPr>
            <w:r>
              <w:rPr>
                <w:sz w:val="17"/>
                <w:szCs w:val="17"/>
              </w:rPr>
              <w:t xml:space="preserve">$5.71 → $6.62 (+16%)</w:t>
            </w:r>
          </w:p>
        </w:tc>
        <w:tc>
          <w:tcPr>
            <w:tcW w:type="dxa" w:w="806"/>
            <w:shd w:fill="FFFFFF" w:color="auto" w:val="clear"/>
            <w:tcMar>
              <w:top w:type="dxa" w:w="40"/>
              <w:left w:type="dxa" w:w="70"/>
              <w:bottom w:type="dxa" w:w="40"/>
              <w:right w:type="dxa" w:w="70"/>
            </w:tcMar>
          </w:tcPr>
          <w:p>
            <w:pPr>
              <w:spacing w:after="0"/>
            </w:pPr>
            <w:r>
              <w:rPr>
                <w:sz w:val="17"/>
                <w:szCs w:val="17"/>
              </w:rPr>
              <w:t xml:space="preserve">$48</w:t>
            </w:r>
          </w:p>
        </w:tc>
        <w:tc>
          <w:tcPr>
            <w:tcW w:type="dxa" w:w="1511"/>
            <w:shd w:fill="FFFFFF" w:color="auto" w:val="clear"/>
            <w:tcMar>
              <w:top w:type="dxa" w:w="40"/>
              <w:left w:type="dxa" w:w="70"/>
              <w:bottom w:type="dxa" w:w="40"/>
              <w:right w:type="dxa" w:w="70"/>
            </w:tcMar>
          </w:tcPr>
          <w:p>
            <w:pPr>
              <w:spacing w:after="0"/>
            </w:pPr>
            <w:r>
              <w:rPr>
                <w:sz w:val="17"/>
                <w:szCs w:val="17"/>
              </w:rPr>
              <w:t xml:space="preserve">$5</w:t>
            </w:r>
          </w:p>
        </w:tc>
        <w:tc>
          <w:tcPr>
            <w:tcW w:type="dxa" w:w="906"/>
            <w:shd w:fill="FFFFFF" w:color="auto" w:val="clear"/>
            <w:tcMar>
              <w:top w:type="dxa" w:w="40"/>
              <w:left w:type="dxa" w:w="70"/>
              <w:bottom w:type="dxa" w:w="40"/>
              <w:right w:type="dxa" w:w="70"/>
            </w:tcMar>
          </w:tcPr>
          <w:p>
            <w:pPr>
              <w:spacing w:after="0"/>
            </w:pPr>
            <w:r>
              <w:rPr>
                <w:sz w:val="17"/>
                <w:szCs w:val="17"/>
              </w:rPr>
              <w:t xml:space="preserve">pass</w:t>
            </w:r>
          </w:p>
        </w:tc>
      </w:tr>
      <w:tr>
        <w:tc>
          <w:tcPr>
            <w:tcW w:type="dxa" w:w="453"/>
            <w:shd w:fill="F2F5F9" w:color="auto" w:val="clear"/>
            <w:tcMar>
              <w:top w:type="dxa" w:w="40"/>
              <w:left w:type="dxa" w:w="70"/>
              <w:bottom w:type="dxa" w:w="40"/>
              <w:right w:type="dxa" w:w="70"/>
            </w:tcMar>
          </w:tcPr>
          <w:p>
            <w:pPr>
              <w:spacing w:after="0"/>
            </w:pPr>
            <w:r>
              <w:rPr>
                <w:sz w:val="17"/>
                <w:szCs w:val="17"/>
              </w:rPr>
              <w:t xml:space="preserve">462</w:t>
            </w:r>
          </w:p>
        </w:tc>
        <w:tc>
          <w:tcPr>
            <w:tcW w:type="dxa" w:w="2367"/>
            <w:shd w:fill="F2F5F9" w:color="auto" w:val="clear"/>
            <w:tcMar>
              <w:top w:type="dxa" w:w="40"/>
              <w:left w:type="dxa" w:w="70"/>
              <w:bottom w:type="dxa" w:w="40"/>
              <w:right w:type="dxa" w:w="70"/>
            </w:tcMar>
          </w:tcPr>
          <w:p>
            <w:pPr>
              <w:spacing w:after="0"/>
            </w:pPr>
            <w:r>
              <w:rPr>
                <w:sz w:val="17"/>
                <w:szCs w:val="17"/>
              </w:rPr>
              <w:t xml:space="preserve">Bamboo Cal King Sheets (VLSV) · bamboo cal king sheets</w:t>
            </w:r>
          </w:p>
        </w:tc>
        <w:tc>
          <w:tcPr>
            <w:tcW w:type="dxa" w:w="907"/>
            <w:shd w:fill="F2F5F9" w:color="auto" w:val="clear"/>
            <w:tcMar>
              <w:top w:type="dxa" w:w="40"/>
              <w:left w:type="dxa" w:w="70"/>
              <w:bottom w:type="dxa" w:w="40"/>
              <w:right w:type="dxa" w:w="70"/>
            </w:tcMar>
          </w:tcPr>
          <w:p>
            <w:pPr>
              <w:spacing w:after="0"/>
            </w:pPr>
            <w:r>
              <w:rPr>
                <w:sz w:val="17"/>
                <w:szCs w:val="17"/>
              </w:rPr>
              <w:t xml:space="preserve">unranked</w:t>
            </w:r>
          </w:p>
        </w:tc>
        <w:tc>
          <w:tcPr>
            <w:tcW w:type="dxa" w:w="806"/>
            <w:shd w:fill="F2F5F9" w:color="auto" w:val="clear"/>
            <w:tcMar>
              <w:top w:type="dxa" w:w="40"/>
              <w:left w:type="dxa" w:w="70"/>
              <w:bottom w:type="dxa" w:w="40"/>
              <w:right w:type="dxa" w:w="70"/>
            </w:tcMar>
          </w:tcPr>
          <w:p>
            <w:pPr>
              <w:spacing w:after="0"/>
            </w:pPr>
            <w:r>
              <w:rPr>
                <w:sz w:val="17"/>
                <w:szCs w:val="17"/>
              </w:rPr>
              <w:t xml:space="preserve">4 / 0</w:t>
            </w:r>
          </w:p>
        </w:tc>
        <w:tc>
          <w:tcPr>
            <w:tcW w:type="dxa" w:w="705"/>
            <w:shd w:fill="F2F5F9" w:color="auto" w:val="clear"/>
            <w:tcMar>
              <w:top w:type="dxa" w:w="40"/>
              <w:left w:type="dxa" w:w="70"/>
              <w:bottom w:type="dxa" w:w="40"/>
              <w:right w:type="dxa" w:w="70"/>
            </w:tcMar>
          </w:tcPr>
          <w:p>
            <w:pPr>
              <w:spacing w:after="0"/>
            </w:pPr>
            <w:r>
              <w:rPr>
                <w:sz w:val="17"/>
                <w:szCs w:val="17"/>
              </w:rPr>
              <w:t xml:space="preserve">$14</w:t>
            </w:r>
          </w:p>
        </w:tc>
        <w:tc>
          <w:tcPr>
            <w:tcW w:type="dxa" w:w="1511"/>
            <w:shd w:fill="F2F5F9" w:color="auto" w:val="clear"/>
            <w:tcMar>
              <w:top w:type="dxa" w:w="40"/>
              <w:left w:type="dxa" w:w="70"/>
              <w:bottom w:type="dxa" w:w="40"/>
              <w:right w:type="dxa" w:w="70"/>
            </w:tcMar>
          </w:tcPr>
          <w:p>
            <w:pPr>
              <w:spacing w:after="0"/>
            </w:pPr>
            <w:r>
              <w:rPr>
                <w:sz w:val="17"/>
                <w:szCs w:val="17"/>
              </w:rPr>
              <w:t xml:space="preserve">$4.82 → $6.03 (+25%; 509% modifier)</w:t>
            </w:r>
          </w:p>
        </w:tc>
        <w:tc>
          <w:tcPr>
            <w:tcW w:type="dxa" w:w="806"/>
            <w:shd w:fill="F2F5F9" w:color="auto" w:val="clear"/>
            <w:tcMar>
              <w:top w:type="dxa" w:w="40"/>
              <w:left w:type="dxa" w:w="70"/>
              <w:bottom w:type="dxa" w:w="40"/>
              <w:right w:type="dxa" w:w="70"/>
            </w:tcMar>
          </w:tcPr>
          <w:p>
            <w:pPr>
              <w:spacing w:after="0"/>
            </w:pPr>
            <w:r>
              <w:rPr>
                <w:sz w:val="17"/>
                <w:szCs w:val="17"/>
              </w:rPr>
              <w:t xml:space="preserve">$44</w:t>
            </w:r>
          </w:p>
        </w:tc>
        <w:tc>
          <w:tcPr>
            <w:tcW w:type="dxa" w:w="1511"/>
            <w:shd w:fill="F2F5F9" w:color="auto" w:val="clear"/>
            <w:tcMar>
              <w:top w:type="dxa" w:w="40"/>
              <w:left w:type="dxa" w:w="70"/>
              <w:bottom w:type="dxa" w:w="40"/>
              <w:right w:type="dxa" w:w="70"/>
            </w:tcMar>
          </w:tcPr>
          <w:p>
            <w:pPr>
              <w:spacing w:after="0"/>
            </w:pPr>
            <w:r>
              <w:rPr>
                <w:sz w:val="17"/>
                <w:szCs w:val="17"/>
              </w:rPr>
              <w:t xml:space="preserve">$5</w:t>
            </w:r>
          </w:p>
        </w:tc>
        <w:tc>
          <w:tcPr>
            <w:tcW w:type="dxa" w:w="906"/>
            <w:shd w:fill="F2F5F9" w:color="auto" w:val="clear"/>
            <w:tcMar>
              <w:top w:type="dxa" w:w="40"/>
              <w:left w:type="dxa" w:w="70"/>
              <w:bottom w:type="dxa" w:w="40"/>
              <w:right w:type="dxa" w:w="70"/>
            </w:tcMar>
          </w:tcPr>
          <w:p>
            <w:pPr>
              <w:spacing w:after="0"/>
            </w:pPr>
            <w:r>
              <w:rPr>
                <w:sz w:val="17"/>
                <w:szCs w:val="17"/>
              </w:rPr>
              <w:t xml:space="preserve">pass</w:t>
            </w:r>
          </w:p>
        </w:tc>
      </w:tr>
      <w:tr>
        <w:tc>
          <w:tcPr>
            <w:tcW w:type="dxa" w:w="453"/>
            <w:shd w:fill="FFFFFF" w:color="auto" w:val="clear"/>
            <w:tcMar>
              <w:top w:type="dxa" w:w="40"/>
              <w:left w:type="dxa" w:w="70"/>
              <w:bottom w:type="dxa" w:w="40"/>
              <w:right w:type="dxa" w:w="70"/>
            </w:tcMar>
          </w:tcPr>
          <w:p>
            <w:pPr>
              <w:spacing w:after="0"/>
            </w:pPr>
            <w:r>
              <w:rPr>
                <w:sz w:val="17"/>
                <w:szCs w:val="17"/>
              </w:rPr>
              <w:t xml:space="preserve">526</w:t>
            </w:r>
          </w:p>
        </w:tc>
        <w:tc>
          <w:tcPr>
            <w:tcW w:type="dxa" w:w="2367"/>
            <w:shd w:fill="FFFFFF" w:color="auto" w:val="clear"/>
            <w:tcMar>
              <w:top w:type="dxa" w:w="40"/>
              <w:left w:type="dxa" w:w="70"/>
              <w:bottom w:type="dxa" w:w="40"/>
              <w:right w:type="dxa" w:w="70"/>
            </w:tcMar>
          </w:tcPr>
          <w:p>
            <w:pPr>
              <w:spacing w:after="0"/>
            </w:pPr>
            <w:r>
              <w:rPr>
                <w:sz w:val="17"/>
                <w:szCs w:val="17"/>
              </w:rPr>
              <w:t xml:space="preserve">Bamboo California King Sheets (LSV) · bamboo california king sheets</w:t>
            </w:r>
          </w:p>
        </w:tc>
        <w:tc>
          <w:tcPr>
            <w:tcW w:type="dxa" w:w="907"/>
            <w:shd w:fill="FFFFFF" w:color="auto" w:val="clear"/>
            <w:tcMar>
              <w:top w:type="dxa" w:w="40"/>
              <w:left w:type="dxa" w:w="70"/>
              <w:bottom w:type="dxa" w:w="40"/>
              <w:right w:type="dxa" w:w="70"/>
            </w:tcMar>
          </w:tcPr>
          <w:p>
            <w:pPr>
              <w:spacing w:after="0"/>
            </w:pPr>
            <w:r>
              <w:rPr>
                <w:sz w:val="17"/>
                <w:szCs w:val="17"/>
              </w:rPr>
              <w:t xml:space="preserve">14 (12; 5 in window)</w:t>
            </w:r>
          </w:p>
        </w:tc>
        <w:tc>
          <w:tcPr>
            <w:tcW w:type="dxa" w:w="806"/>
            <w:shd w:fill="FFFFFF" w:color="auto" w:val="clear"/>
            <w:tcMar>
              <w:top w:type="dxa" w:w="40"/>
              <w:left w:type="dxa" w:w="70"/>
              <w:bottom w:type="dxa" w:w="40"/>
              <w:right w:type="dxa" w:w="70"/>
            </w:tcMar>
          </w:tcPr>
          <w:p>
            <w:pPr>
              <w:spacing w:after="0"/>
            </w:pPr>
            <w:r>
              <w:rPr>
                <w:sz w:val="17"/>
                <w:szCs w:val="17"/>
              </w:rPr>
              <w:t xml:space="preserve">27 / 1</w:t>
            </w:r>
          </w:p>
        </w:tc>
        <w:tc>
          <w:tcPr>
            <w:tcW w:type="dxa" w:w="705"/>
            <w:shd w:fill="FFFFFF" w:color="auto" w:val="clear"/>
            <w:tcMar>
              <w:top w:type="dxa" w:w="40"/>
              <w:left w:type="dxa" w:w="70"/>
              <w:bottom w:type="dxa" w:w="40"/>
              <w:right w:type="dxa" w:w="70"/>
            </w:tcMar>
          </w:tcPr>
          <w:p>
            <w:pPr>
              <w:spacing w:after="0"/>
            </w:pPr>
            <w:r>
              <w:rPr>
                <w:sz w:val="17"/>
                <w:szCs w:val="17"/>
              </w:rPr>
              <w:t xml:space="preserve">$14</w:t>
            </w:r>
          </w:p>
        </w:tc>
        <w:tc>
          <w:tcPr>
            <w:tcW w:type="dxa" w:w="1511"/>
            <w:shd w:fill="FFFFFF" w:color="auto" w:val="clear"/>
            <w:tcMar>
              <w:top w:type="dxa" w:w="40"/>
              <w:left w:type="dxa" w:w="70"/>
              <w:bottom w:type="dxa" w:w="40"/>
              <w:right w:type="dxa" w:w="70"/>
            </w:tcMar>
          </w:tcPr>
          <w:p>
            <w:pPr>
              <w:spacing w:after="0"/>
            </w:pPr>
            <w:r>
              <w:rPr>
                <w:sz w:val="17"/>
                <w:szCs w:val="17"/>
              </w:rPr>
              <w:t xml:space="preserve">$4.80 → $5.32 (+11%)</w:t>
            </w:r>
          </w:p>
        </w:tc>
        <w:tc>
          <w:tcPr>
            <w:tcW w:type="dxa" w:w="806"/>
            <w:shd w:fill="FFFFFF" w:color="auto" w:val="clear"/>
            <w:tcMar>
              <w:top w:type="dxa" w:w="40"/>
              <w:left w:type="dxa" w:w="70"/>
              <w:bottom w:type="dxa" w:w="40"/>
              <w:right w:type="dxa" w:w="70"/>
            </w:tcMar>
          </w:tcPr>
          <w:p>
            <w:pPr>
              <w:spacing w:after="0"/>
            </w:pPr>
            <w:r>
              <w:rPr>
                <w:sz w:val="17"/>
                <w:szCs w:val="17"/>
              </w:rPr>
              <w:t xml:space="preserve">$39</w:t>
            </w:r>
          </w:p>
        </w:tc>
        <w:tc>
          <w:tcPr>
            <w:tcW w:type="dxa" w:w="1511"/>
            <w:shd w:fill="FFFFFF" w:color="auto" w:val="clear"/>
            <w:tcMar>
              <w:top w:type="dxa" w:w="40"/>
              <w:left w:type="dxa" w:w="70"/>
              <w:bottom w:type="dxa" w:w="40"/>
              <w:right w:type="dxa" w:w="70"/>
            </w:tcMar>
          </w:tcPr>
          <w:p>
            <w:pPr>
              <w:spacing w:after="0"/>
            </w:pPr>
            <w:r>
              <w:rPr>
                <w:sz w:val="17"/>
                <w:szCs w:val="17"/>
              </w:rPr>
              <w:t xml:space="preserve">$10</w:t>
            </w:r>
          </w:p>
        </w:tc>
        <w:tc>
          <w:tcPr>
            <w:tcW w:type="dxa" w:w="906"/>
            <w:shd w:fill="FFFFFF" w:color="auto" w:val="clear"/>
            <w:tcMar>
              <w:top w:type="dxa" w:w="40"/>
              <w:left w:type="dxa" w:w="70"/>
              <w:bottom w:type="dxa" w:w="40"/>
              <w:right w:type="dxa" w:w="70"/>
            </w:tcMar>
          </w:tcPr>
          <w:p>
            <w:pPr>
              <w:spacing w:after="0"/>
            </w:pPr>
            <w:r>
              <w:rPr>
                <w:sz w:val="17"/>
                <w:szCs w:val="17"/>
              </w:rPr>
              <w:t xml:space="preserve">pass</w:t>
            </w:r>
          </w:p>
        </w:tc>
      </w:tr>
      <w:tr>
        <w:tc>
          <w:tcPr>
            <w:tcW w:type="dxa" w:w="453"/>
            <w:shd w:fill="F2F5F9" w:color="auto" w:val="clear"/>
            <w:tcMar>
              <w:top w:type="dxa" w:w="40"/>
              <w:left w:type="dxa" w:w="70"/>
              <w:bottom w:type="dxa" w:w="40"/>
              <w:right w:type="dxa" w:w="70"/>
            </w:tcMar>
          </w:tcPr>
          <w:p>
            <w:pPr>
              <w:spacing w:after="0"/>
            </w:pPr>
            <w:r>
              <w:rPr>
                <w:sz w:val="17"/>
                <w:szCs w:val="17"/>
              </w:rPr>
              <w:t xml:space="preserve">571</w:t>
            </w:r>
          </w:p>
        </w:tc>
        <w:tc>
          <w:tcPr>
            <w:tcW w:type="dxa" w:w="2367"/>
            <w:shd w:fill="F2F5F9" w:color="auto" w:val="clear"/>
            <w:tcMar>
              <w:top w:type="dxa" w:w="40"/>
              <w:left w:type="dxa" w:w="70"/>
              <w:bottom w:type="dxa" w:w="40"/>
              <w:right w:type="dxa" w:w="70"/>
            </w:tcMar>
          </w:tcPr>
          <w:p>
            <w:pPr>
              <w:spacing w:after="0"/>
            </w:pPr>
            <w:r>
              <w:rPr>
                <w:sz w:val="17"/>
                <w:szCs w:val="17"/>
              </w:rPr>
              <w:t xml:space="preserve">California King Sheets Bamboo (VLSV) · california king sheets bamboo</w:t>
            </w:r>
          </w:p>
        </w:tc>
        <w:tc>
          <w:tcPr>
            <w:tcW w:type="dxa" w:w="907"/>
            <w:shd w:fill="F2F5F9" w:color="auto" w:val="clear"/>
            <w:tcMar>
              <w:top w:type="dxa" w:w="40"/>
              <w:left w:type="dxa" w:w="70"/>
              <w:bottom w:type="dxa" w:w="40"/>
              <w:right w:type="dxa" w:w="70"/>
            </w:tcMar>
          </w:tcPr>
          <w:p>
            <w:pPr>
              <w:spacing w:after="0"/>
            </w:pPr>
            <w:r>
              <w:rPr>
                <w:sz w:val="17"/>
                <w:szCs w:val="17"/>
              </w:rPr>
              <w:t xml:space="preserve">23 (a 26 June reading)</w:t>
            </w:r>
          </w:p>
        </w:tc>
        <w:tc>
          <w:tcPr>
            <w:tcW w:type="dxa" w:w="806"/>
            <w:shd w:fill="F2F5F9" w:color="auto" w:val="clear"/>
            <w:tcMar>
              <w:top w:type="dxa" w:w="40"/>
              <w:left w:type="dxa" w:w="70"/>
              <w:bottom w:type="dxa" w:w="40"/>
              <w:right w:type="dxa" w:w="70"/>
            </w:tcMar>
          </w:tcPr>
          <w:p>
            <w:pPr>
              <w:spacing w:after="0"/>
            </w:pPr>
            <w:r>
              <w:rPr>
                <w:sz w:val="17"/>
                <w:szCs w:val="17"/>
              </w:rPr>
              <w:t xml:space="preserve">9 / 2</w:t>
            </w:r>
          </w:p>
        </w:tc>
        <w:tc>
          <w:tcPr>
            <w:tcW w:type="dxa" w:w="705"/>
            <w:shd w:fill="F2F5F9" w:color="auto" w:val="clear"/>
            <w:tcMar>
              <w:top w:type="dxa" w:w="40"/>
              <w:left w:type="dxa" w:w="70"/>
              <w:bottom w:type="dxa" w:w="40"/>
              <w:right w:type="dxa" w:w="70"/>
            </w:tcMar>
          </w:tcPr>
          <w:p>
            <w:pPr>
              <w:spacing w:after="0"/>
            </w:pPr>
            <w:r>
              <w:rPr>
                <w:sz w:val="17"/>
                <w:szCs w:val="17"/>
              </w:rPr>
              <w:t xml:space="preserve">$7</w:t>
            </w:r>
          </w:p>
        </w:tc>
        <w:tc>
          <w:tcPr>
            <w:tcW w:type="dxa" w:w="1511"/>
            <w:shd w:fill="F2F5F9" w:color="auto" w:val="clear"/>
            <w:tcMar>
              <w:top w:type="dxa" w:w="40"/>
              <w:left w:type="dxa" w:w="70"/>
              <w:bottom w:type="dxa" w:w="40"/>
              <w:right w:type="dxa" w:w="70"/>
            </w:tcMar>
          </w:tcPr>
          <w:p>
            <w:pPr>
              <w:spacing w:after="0"/>
            </w:pPr>
            <w:r>
              <w:rPr>
                <w:sz w:val="17"/>
                <w:szCs w:val="17"/>
              </w:rPr>
              <w:t xml:space="preserve">$4.75 → $5.95 (+25%)</w:t>
            </w:r>
          </w:p>
        </w:tc>
        <w:tc>
          <w:tcPr>
            <w:tcW w:type="dxa" w:w="806"/>
            <w:shd w:fill="F2F5F9" w:color="auto" w:val="clear"/>
            <w:tcMar>
              <w:top w:type="dxa" w:w="40"/>
              <w:left w:type="dxa" w:w="70"/>
              <w:bottom w:type="dxa" w:w="40"/>
              <w:right w:type="dxa" w:w="70"/>
            </w:tcMar>
          </w:tcPr>
          <w:p>
            <w:pPr>
              <w:spacing w:after="0"/>
            </w:pPr>
            <w:r>
              <w:rPr>
                <w:sz w:val="17"/>
                <w:szCs w:val="17"/>
              </w:rPr>
              <w:t xml:space="preserve">$43</w:t>
            </w:r>
          </w:p>
        </w:tc>
        <w:tc>
          <w:tcPr>
            <w:tcW w:type="dxa" w:w="1511"/>
            <w:shd w:fill="F2F5F9" w:color="auto" w:val="clear"/>
            <w:tcMar>
              <w:top w:type="dxa" w:w="40"/>
              <w:left w:type="dxa" w:w="70"/>
              <w:bottom w:type="dxa" w:w="40"/>
              <w:right w:type="dxa" w:w="70"/>
            </w:tcMar>
          </w:tcPr>
          <w:p>
            <w:pPr>
              <w:spacing w:after="0"/>
            </w:pPr>
            <w:r>
              <w:rPr>
                <w:sz w:val="17"/>
                <w:szCs w:val="17"/>
              </w:rPr>
              <w:t xml:space="preserve">$5</w:t>
            </w:r>
          </w:p>
        </w:tc>
        <w:tc>
          <w:tcPr>
            <w:tcW w:type="dxa" w:w="906"/>
            <w:shd w:fill="F2F5F9" w:color="auto" w:val="clear"/>
            <w:tcMar>
              <w:top w:type="dxa" w:w="40"/>
              <w:left w:type="dxa" w:w="70"/>
              <w:bottom w:type="dxa" w:w="40"/>
              <w:right w:type="dxa" w:w="70"/>
            </w:tcMar>
          </w:tcPr>
          <w:p>
            <w:pPr>
              <w:spacing w:after="0"/>
            </w:pPr>
            <w:r>
              <w:rPr>
                <w:sz w:val="17"/>
                <w:szCs w:val="17"/>
              </w:rPr>
              <w:t xml:space="preserve">pass</w:t>
            </w:r>
          </w:p>
        </w:tc>
      </w:tr>
      <w:tr>
        <w:tc>
          <w:tcPr>
            <w:tcW w:type="dxa" w:w="453"/>
            <w:shd w:fill="FFFFFF" w:color="auto" w:val="clear"/>
            <w:tcMar>
              <w:top w:type="dxa" w:w="40"/>
              <w:left w:type="dxa" w:w="70"/>
              <w:bottom w:type="dxa" w:w="40"/>
              <w:right w:type="dxa" w:w="70"/>
            </w:tcMar>
          </w:tcPr>
          <w:p>
            <w:pPr>
              <w:spacing w:after="0"/>
            </w:pPr>
            <w:r>
              <w:rPr>
                <w:sz w:val="17"/>
                <w:szCs w:val="17"/>
              </w:rPr>
              <w:t xml:space="preserve">293</w:t>
            </w:r>
          </w:p>
        </w:tc>
        <w:tc>
          <w:tcPr>
            <w:tcW w:type="dxa" w:w="2367"/>
            <w:shd w:fill="FFFFFF" w:color="auto" w:val="clear"/>
            <w:tcMar>
              <w:top w:type="dxa" w:w="40"/>
              <w:left w:type="dxa" w:w="70"/>
              <w:bottom w:type="dxa" w:w="40"/>
              <w:right w:type="dxa" w:w="70"/>
            </w:tcMar>
          </w:tcPr>
          <w:p>
            <w:pPr>
              <w:spacing w:after="0"/>
            </w:pPr>
            <w:r>
              <w:rPr>
                <w:sz w:val="17"/>
                <w:szCs w:val="17"/>
              </w:rPr>
              <w:t xml:space="preserve">Cal King Bamboo Sheets (VLSV) · california king bamboo sheets</w:t>
            </w:r>
          </w:p>
        </w:tc>
        <w:tc>
          <w:tcPr>
            <w:tcW w:type="dxa" w:w="907"/>
            <w:shd w:fill="FFFFFF" w:color="auto" w:val="clear"/>
            <w:tcMar>
              <w:top w:type="dxa" w:w="40"/>
              <w:left w:type="dxa" w:w="70"/>
              <w:bottom w:type="dxa" w:w="40"/>
              <w:right w:type="dxa" w:w="70"/>
            </w:tcMar>
          </w:tcPr>
          <w:p>
            <w:pPr>
              <w:spacing w:after="0"/>
            </w:pPr>
            <w:r>
              <w:rPr>
                <w:sz w:val="17"/>
                <w:szCs w:val="17"/>
              </w:rPr>
              <w:t xml:space="preserve">10 (7)</w:t>
            </w:r>
          </w:p>
        </w:tc>
        <w:tc>
          <w:tcPr>
            <w:tcW w:type="dxa" w:w="806"/>
            <w:shd w:fill="FFFFFF" w:color="auto" w:val="clear"/>
            <w:tcMar>
              <w:top w:type="dxa" w:w="40"/>
              <w:left w:type="dxa" w:w="70"/>
              <w:bottom w:type="dxa" w:w="40"/>
              <w:right w:type="dxa" w:w="70"/>
            </w:tcMar>
          </w:tcPr>
          <w:p>
            <w:pPr>
              <w:spacing w:after="0"/>
            </w:pPr>
            <w:r>
              <w:rPr>
                <w:sz w:val="17"/>
                <w:szCs w:val="17"/>
              </w:rPr>
              <w:t xml:space="preserve">58 / 7</w:t>
            </w:r>
          </w:p>
        </w:tc>
        <w:tc>
          <w:tcPr>
            <w:tcW w:type="dxa" w:w="705"/>
            <w:shd w:fill="FFFFFF" w:color="auto" w:val="clear"/>
            <w:tcMar>
              <w:top w:type="dxa" w:w="40"/>
              <w:left w:type="dxa" w:w="70"/>
              <w:bottom w:type="dxa" w:w="40"/>
              <w:right w:type="dxa" w:w="70"/>
            </w:tcMar>
          </w:tcPr>
          <w:p>
            <w:pPr>
              <w:spacing w:after="0"/>
            </w:pPr>
            <w:r>
              <w:rPr>
                <w:sz w:val="17"/>
                <w:szCs w:val="17"/>
              </w:rPr>
              <w:t xml:space="preserve">$0</w:t>
            </w:r>
          </w:p>
        </w:tc>
        <w:tc>
          <w:tcPr>
            <w:tcW w:type="dxa" w:w="1511"/>
            <w:shd w:fill="FFFFFF" w:color="auto" w:val="clear"/>
            <w:tcMar>
              <w:top w:type="dxa" w:w="40"/>
              <w:left w:type="dxa" w:w="70"/>
              <w:bottom w:type="dxa" w:w="40"/>
              <w:right w:type="dxa" w:w="70"/>
            </w:tcMar>
          </w:tcPr>
          <w:p>
            <w:pPr>
              <w:spacing w:after="0"/>
            </w:pPr>
            <w:r>
              <w:rPr>
                <w:sz w:val="17"/>
                <w:szCs w:val="17"/>
              </w:rPr>
              <w:t xml:space="preserve">$3.84 → $4.79 (+25%)</w:t>
            </w:r>
          </w:p>
        </w:tc>
        <w:tc>
          <w:tcPr>
            <w:tcW w:type="dxa" w:w="806"/>
            <w:shd w:fill="FFFFFF" w:color="auto" w:val="clear"/>
            <w:tcMar>
              <w:top w:type="dxa" w:w="40"/>
              <w:left w:type="dxa" w:w="70"/>
              <w:bottom w:type="dxa" w:w="40"/>
              <w:right w:type="dxa" w:w="70"/>
            </w:tcMar>
          </w:tcPr>
          <w:p>
            <w:pPr>
              <w:spacing w:after="0"/>
            </w:pPr>
            <w:r>
              <w:rPr>
                <w:sz w:val="17"/>
                <w:szCs w:val="17"/>
              </w:rPr>
              <w:t xml:space="preserve">$35</w:t>
            </w:r>
          </w:p>
        </w:tc>
        <w:tc>
          <w:tcPr>
            <w:tcW w:type="dxa" w:w="1511"/>
            <w:shd w:fill="FFFFFF" w:color="auto" w:val="clear"/>
            <w:tcMar>
              <w:top w:type="dxa" w:w="40"/>
              <w:left w:type="dxa" w:w="70"/>
              <w:bottom w:type="dxa" w:w="40"/>
              <w:right w:type="dxa" w:w="70"/>
            </w:tcMar>
          </w:tcPr>
          <w:p>
            <w:pPr>
              <w:spacing w:after="0"/>
            </w:pPr>
            <w:r>
              <w:rPr>
                <w:sz w:val="17"/>
                <w:szCs w:val="17"/>
              </w:rPr>
              <w:t xml:space="preserve">$8.23</w:t>
            </w:r>
          </w:p>
        </w:tc>
        <w:tc>
          <w:tcPr>
            <w:tcW w:type="dxa" w:w="906"/>
            <w:shd w:fill="FFFFFF" w:color="auto" w:val="clear"/>
            <w:tcMar>
              <w:top w:type="dxa" w:w="40"/>
              <w:left w:type="dxa" w:w="70"/>
              <w:bottom w:type="dxa" w:w="40"/>
              <w:right w:type="dxa" w:w="70"/>
            </w:tcMar>
          </w:tcPr>
          <w:p>
            <w:pPr>
              <w:spacing w:after="0"/>
            </w:pPr>
            <w:r>
              <w:rPr>
                <w:sz w:val="17"/>
                <w:szCs w:val="17"/>
              </w:rPr>
              <w:t xml:space="preserve">corrected: hold $3.84</w:t>
            </w:r>
          </w:p>
        </w:tc>
      </w:tr>
      <w:tr>
        <w:tc>
          <w:tcPr>
            <w:tcW w:type="dxa" w:w="453"/>
            <w:shd w:fill="F2F5F9" w:color="auto" w:val="clear"/>
            <w:tcMar>
              <w:top w:type="dxa" w:w="40"/>
              <w:left w:type="dxa" w:w="70"/>
              <w:bottom w:type="dxa" w:w="40"/>
              <w:right w:type="dxa" w:w="70"/>
            </w:tcMar>
          </w:tcPr>
          <w:p>
            <w:pPr>
              <w:spacing w:after="0"/>
            </w:pPr>
            <w:r>
              <w:rPr>
                <w:sz w:val="17"/>
                <w:szCs w:val="17"/>
              </w:rPr>
              <w:t xml:space="preserve">687</w:t>
            </w:r>
          </w:p>
        </w:tc>
        <w:tc>
          <w:tcPr>
            <w:tcW w:type="dxa" w:w="2367"/>
            <w:shd w:fill="F2F5F9" w:color="auto" w:val="clear"/>
            <w:tcMar>
              <w:top w:type="dxa" w:w="40"/>
              <w:left w:type="dxa" w:w="70"/>
              <w:bottom w:type="dxa" w:w="40"/>
              <w:right w:type="dxa" w:w="70"/>
            </w:tcMar>
          </w:tcPr>
          <w:p>
            <w:pPr>
              <w:spacing w:after="0"/>
            </w:pPr>
            <w:r>
              <w:rPr>
                <w:sz w:val="17"/>
                <w:szCs w:val="17"/>
              </w:rPr>
              <w:t xml:space="preserve">Bamboo Cooling Sheets King Size (LSV) · bamboo cooling sheets king</w:t>
            </w:r>
          </w:p>
        </w:tc>
        <w:tc>
          <w:tcPr>
            <w:tcW w:type="dxa" w:w="907"/>
            <w:shd w:fill="F2F5F9" w:color="auto" w:val="clear"/>
            <w:tcMar>
              <w:top w:type="dxa" w:w="40"/>
              <w:left w:type="dxa" w:w="70"/>
              <w:bottom w:type="dxa" w:w="40"/>
              <w:right w:type="dxa" w:w="70"/>
            </w:tcMar>
          </w:tcPr>
          <w:p>
            <w:pPr>
              <w:spacing w:after="0"/>
            </w:pPr>
            <w:r>
              <w:rPr>
                <w:sz w:val="17"/>
                <w:szCs w:val="17"/>
              </w:rPr>
              <w:t xml:space="preserve">27 (37; 12 in window)</w:t>
            </w:r>
          </w:p>
        </w:tc>
        <w:tc>
          <w:tcPr>
            <w:tcW w:type="dxa" w:w="806"/>
            <w:shd w:fill="F2F5F9" w:color="auto" w:val="clear"/>
            <w:tcMar>
              <w:top w:type="dxa" w:w="40"/>
              <w:left w:type="dxa" w:w="70"/>
              <w:bottom w:type="dxa" w:w="40"/>
              <w:right w:type="dxa" w:w="70"/>
            </w:tcMar>
          </w:tcPr>
          <w:p>
            <w:pPr>
              <w:spacing w:after="0"/>
            </w:pPr>
            <w:r>
              <w:rPr>
                <w:sz w:val="17"/>
                <w:szCs w:val="17"/>
              </w:rPr>
              <w:t xml:space="preserve">238 / 29</w:t>
            </w:r>
          </w:p>
        </w:tc>
        <w:tc>
          <w:tcPr>
            <w:tcW w:type="dxa" w:w="705"/>
            <w:shd w:fill="F2F5F9" w:color="auto" w:val="clear"/>
            <w:tcMar>
              <w:top w:type="dxa" w:w="40"/>
              <w:left w:type="dxa" w:w="70"/>
              <w:bottom w:type="dxa" w:w="40"/>
              <w:right w:type="dxa" w:w="70"/>
            </w:tcMar>
          </w:tcPr>
          <w:p>
            <w:pPr>
              <w:spacing w:after="0"/>
            </w:pPr>
            <w:r>
              <w:rPr>
                <w:sz w:val="17"/>
                <w:szCs w:val="17"/>
              </w:rPr>
              <w:t xml:space="preserve">$0</w:t>
            </w:r>
          </w:p>
        </w:tc>
        <w:tc>
          <w:tcPr>
            <w:tcW w:type="dxa" w:w="1511"/>
            <w:shd w:fill="F2F5F9" w:color="auto" w:val="clear"/>
            <w:tcMar>
              <w:top w:type="dxa" w:w="40"/>
              <w:left w:type="dxa" w:w="70"/>
              <w:bottom w:type="dxa" w:w="40"/>
              <w:right w:type="dxa" w:w="70"/>
            </w:tcMar>
          </w:tcPr>
          <w:p>
            <w:pPr>
              <w:spacing w:after="0"/>
            </w:pPr>
            <w:r>
              <w:rPr>
                <w:sz w:val="17"/>
                <w:szCs w:val="17"/>
              </w:rPr>
              <w:t xml:space="preserve">$2.55 → $3.19 (+25%)</w:t>
            </w:r>
          </w:p>
        </w:tc>
        <w:tc>
          <w:tcPr>
            <w:tcW w:type="dxa" w:w="806"/>
            <w:shd w:fill="F2F5F9" w:color="auto" w:val="clear"/>
            <w:tcMar>
              <w:top w:type="dxa" w:w="40"/>
              <w:left w:type="dxa" w:w="70"/>
              <w:bottom w:type="dxa" w:w="40"/>
              <w:right w:type="dxa" w:w="70"/>
            </w:tcMar>
          </w:tcPr>
          <w:p>
            <w:pPr>
              <w:spacing w:after="0"/>
            </w:pPr>
            <w:r>
              <w:rPr>
                <w:sz w:val="17"/>
                <w:szCs w:val="17"/>
              </w:rPr>
              <w:t xml:space="preserve">$23</w:t>
            </w:r>
          </w:p>
        </w:tc>
        <w:tc>
          <w:tcPr>
            <w:tcW w:type="dxa" w:w="1511"/>
            <w:shd w:fill="F2F5F9" w:color="auto" w:val="clear"/>
            <w:tcMar>
              <w:top w:type="dxa" w:w="40"/>
              <w:left w:type="dxa" w:w="70"/>
              <w:bottom w:type="dxa" w:w="40"/>
              <w:right w:type="dxa" w:w="70"/>
            </w:tcMar>
          </w:tcPr>
          <w:p>
            <w:pPr>
              <w:spacing w:after="0"/>
            </w:pPr>
            <w:r>
              <w:rPr>
                <w:sz w:val="17"/>
                <w:szCs w:val="17"/>
              </w:rPr>
              <w:t xml:space="preserve">$5 → $6.51 (code-held)</w:t>
            </w:r>
          </w:p>
        </w:tc>
        <w:tc>
          <w:tcPr>
            <w:tcW w:type="dxa" w:w="906"/>
            <w:shd w:fill="F2F5F9" w:color="auto" w:val="clear"/>
            <w:tcMar>
              <w:top w:type="dxa" w:w="40"/>
              <w:left w:type="dxa" w:w="70"/>
              <w:bottom w:type="dxa" w:w="40"/>
              <w:right w:type="dxa" w:w="70"/>
            </w:tcMar>
          </w:tcPr>
          <w:p>
            <w:pPr>
              <w:spacing w:after="0"/>
            </w:pPr>
            <w:r>
              <w:rPr>
                <w:sz w:val="17"/>
                <w:szCs w:val="17"/>
              </w:rPr>
              <w:t xml:space="preserve">pass</w:t>
            </w:r>
          </w:p>
        </w:tc>
      </w:tr>
      <w:tr>
        <w:tc>
          <w:tcPr>
            <w:tcW w:type="dxa" w:w="453"/>
            <w:shd w:fill="FFFFFF" w:color="auto" w:val="clear"/>
            <w:tcMar>
              <w:top w:type="dxa" w:w="40"/>
              <w:left w:type="dxa" w:w="70"/>
              <w:bottom w:type="dxa" w:w="40"/>
              <w:right w:type="dxa" w:w="70"/>
            </w:tcMar>
          </w:tcPr>
          <w:p>
            <w:pPr>
              <w:spacing w:after="0"/>
            </w:pPr>
            <w:r>
              <w:rPr>
                <w:sz w:val="17"/>
                <w:szCs w:val="17"/>
              </w:rPr>
              <w:t xml:space="preserve">1002</w:t>
            </w:r>
          </w:p>
        </w:tc>
        <w:tc>
          <w:tcPr>
            <w:tcW w:type="dxa" w:w="2367"/>
            <w:shd w:fill="FFFFFF" w:color="auto" w:val="clear"/>
            <w:tcMar>
              <w:top w:type="dxa" w:w="40"/>
              <w:left w:type="dxa" w:w="70"/>
              <w:bottom w:type="dxa" w:w="40"/>
              <w:right w:type="dxa" w:w="70"/>
            </w:tcMar>
          </w:tcPr>
          <w:p>
            <w:pPr>
              <w:spacing w:after="0"/>
            </w:pPr>
            <w:r>
              <w:rPr>
                <w:sz w:val="17"/>
                <w:szCs w:val="17"/>
              </w:rPr>
              <w:t xml:space="preserve">Cooling Bamboo Sheets Queen Size (LSV) · cooling bamboo sheets queen size</w:t>
            </w:r>
          </w:p>
        </w:tc>
        <w:tc>
          <w:tcPr>
            <w:tcW w:type="dxa" w:w="907"/>
            <w:shd w:fill="FFFFFF" w:color="auto" w:val="clear"/>
            <w:tcMar>
              <w:top w:type="dxa" w:w="40"/>
              <w:left w:type="dxa" w:w="70"/>
              <w:bottom w:type="dxa" w:w="40"/>
              <w:right w:type="dxa" w:w="70"/>
            </w:tcMar>
          </w:tcPr>
          <w:p>
            <w:pPr>
              <w:spacing w:after="0"/>
            </w:pPr>
            <w:r>
              <w:rPr>
                <w:sz w:val="17"/>
                <w:szCs w:val="17"/>
              </w:rPr>
              <w:t xml:space="preserve">55 (43; 11 in window)</w:t>
            </w:r>
          </w:p>
        </w:tc>
        <w:tc>
          <w:tcPr>
            <w:tcW w:type="dxa" w:w="806"/>
            <w:shd w:fill="FFFFFF" w:color="auto" w:val="clear"/>
            <w:tcMar>
              <w:top w:type="dxa" w:w="40"/>
              <w:left w:type="dxa" w:w="70"/>
              <w:bottom w:type="dxa" w:w="40"/>
              <w:right w:type="dxa" w:w="70"/>
            </w:tcMar>
          </w:tcPr>
          <w:p>
            <w:pPr>
              <w:spacing w:after="0"/>
            </w:pPr>
            <w:r>
              <w:rPr>
                <w:sz w:val="17"/>
                <w:szCs w:val="17"/>
              </w:rPr>
              <w:t xml:space="preserve">54 / 7</w:t>
            </w:r>
          </w:p>
        </w:tc>
        <w:tc>
          <w:tcPr>
            <w:tcW w:type="dxa" w:w="705"/>
            <w:shd w:fill="FFFFFF" w:color="auto" w:val="clear"/>
            <w:tcMar>
              <w:top w:type="dxa" w:w="40"/>
              <w:left w:type="dxa" w:w="70"/>
              <w:bottom w:type="dxa" w:w="40"/>
              <w:right w:type="dxa" w:w="70"/>
            </w:tcMar>
          </w:tcPr>
          <w:p>
            <w:pPr>
              <w:spacing w:after="0"/>
            </w:pPr>
            <w:r>
              <w:rPr>
                <w:sz w:val="17"/>
                <w:szCs w:val="17"/>
              </w:rPr>
              <w:t xml:space="preserve">$0</w:t>
            </w:r>
          </w:p>
        </w:tc>
        <w:tc>
          <w:tcPr>
            <w:tcW w:type="dxa" w:w="1511"/>
            <w:shd w:fill="FFFFFF" w:color="auto" w:val="clear"/>
            <w:tcMar>
              <w:top w:type="dxa" w:w="40"/>
              <w:left w:type="dxa" w:w="70"/>
              <w:bottom w:type="dxa" w:w="40"/>
              <w:right w:type="dxa" w:w="70"/>
            </w:tcMar>
          </w:tcPr>
          <w:p>
            <w:pPr>
              <w:spacing w:after="0"/>
            </w:pPr>
            <w:r>
              <w:rPr>
                <w:sz w:val="17"/>
                <w:szCs w:val="17"/>
              </w:rPr>
              <w:t xml:space="preserve">$1.67 → $2.17 (+30%)</w:t>
            </w:r>
          </w:p>
        </w:tc>
        <w:tc>
          <w:tcPr>
            <w:tcW w:type="dxa" w:w="806"/>
            <w:shd w:fill="FFFFFF" w:color="auto" w:val="clear"/>
            <w:tcMar>
              <w:top w:type="dxa" w:w="40"/>
              <w:left w:type="dxa" w:w="70"/>
              <w:bottom w:type="dxa" w:w="40"/>
              <w:right w:type="dxa" w:w="70"/>
            </w:tcMar>
          </w:tcPr>
          <w:p>
            <w:pPr>
              <w:spacing w:after="0"/>
            </w:pPr>
            <w:r>
              <w:rPr>
                <w:sz w:val="17"/>
                <w:szCs w:val="17"/>
              </w:rPr>
              <w:t xml:space="preserve">$16</w:t>
            </w:r>
          </w:p>
        </w:tc>
        <w:tc>
          <w:tcPr>
            <w:tcW w:type="dxa" w:w="1511"/>
            <w:shd w:fill="FFFFFF" w:color="auto" w:val="clear"/>
            <w:tcMar>
              <w:top w:type="dxa" w:w="40"/>
              <w:left w:type="dxa" w:w="70"/>
              <w:bottom w:type="dxa" w:w="40"/>
              <w:right w:type="dxa" w:w="70"/>
            </w:tcMar>
          </w:tcPr>
          <w:p>
            <w:pPr>
              <w:spacing w:after="0"/>
            </w:pPr>
            <w:r>
              <w:rPr>
                <w:sz w:val="17"/>
                <w:szCs w:val="17"/>
              </w:rPr>
              <w:t xml:space="preserve">$9.94</w:t>
            </w:r>
          </w:p>
        </w:tc>
        <w:tc>
          <w:tcPr>
            <w:tcW w:type="dxa" w:w="906"/>
            <w:shd w:fill="FFFFFF" w:color="auto" w:val="clear"/>
            <w:tcMar>
              <w:top w:type="dxa" w:w="40"/>
              <w:left w:type="dxa" w:w="70"/>
              <w:bottom w:type="dxa" w:w="40"/>
              <w:right w:type="dxa" w:w="70"/>
            </w:tcMar>
          </w:tcPr>
          <w:p>
            <w:pPr>
              <w:spacing w:after="0"/>
            </w:pPr>
            <w:r>
              <w:rPr>
                <w:sz w:val="17"/>
                <w:szCs w:val="17"/>
              </w:rPr>
              <w:t xml:space="preserve">pass</w:t>
            </w:r>
          </w:p>
        </w:tc>
      </w:tr>
    </w:tbl>
    <w:p>
      <w:pPr>
        <w:spacing w:after="120"/>
      </w:pPr>
      <w:r>
        <w:rPr>
          <w:i/>
          <w:iCs/>
          <w:color w:val="555555"/>
          <w:sz w:val="17"/>
          <w:szCs w:val="17"/>
        </w:rPr>
        <w:t xml:space="preserve">TOS price = the plan keyword’s bid × (1 + top-of-search modifier), recomputed from the export. Cost per top-of-search order = price ÷ 13.7%, the engine’s lane prior (none of these campaigns has 15 top-of-search clicks of its own). “In window” is the best rank the term held in the last 30 days.</w:t>
      </w:r>
    </w:p>
    <w:p>
      <w:pPr>
        <w:spacing w:after="100"/>
      </w:pPr>
      <w:r>
        <w:t xml:space="preserve">The market bound is $6.62 on the California King rows and $5.74 on Bamboo|Cooling. All three dose rows are written past it ($8.04, $12.07, $8.04), and each says “no cap bound this write”. The logic (§8) requires the binding bound to be named on the row with the loss per order it implies. 369 was already above its bound before the write ($6.90 against $5.74). Every in-focus row is on down-only bidding (LEGACY_FOR_SALES), and none is delivering, so the §10 suppression check applies to all of them. Their ceilings are the engine’s “lane” figures ($3.51 and $3.77: a 13.7% lane conversion and a $25.57 lane contribution), not the serving child’s, which is what §2, §3 and §8 require. The four budget halves were not held on judgement. Their prediction reads “no claim — budget-follows-price”, which the prediction check cannot parse, so the code held them. The export itself calls a failed check an engine bug. The price halves shipped without them.</w:t>
      </w:r>
    </w:p>
    <w:p>
      <w:pPr>
        <w:pStyle w:val="Heading1"/>
      </w:pPr>
      <w:r>
        <w:t xml:space="preserve">A2. Three dose pushes at +75%: past the market bound, with no rank prediction, on terms with no orders</w:t>
      </w:r>
    </w:p>
    <w:p>
      <w:pPr>
        <w:spacing w:after="100"/>
      </w:pPr>
      <w:r>
        <w:rPr>
          <w:b/>
          <w:bCs/>
          <w:color w:val="1F3A5F"/>
        </w:rPr>
        <w:t xml:space="preserve">The rule (the logic, §4, §6, §8, §11). </w:t>
      </w:r>
      <w:r>
        <w:t xml:space="preserve">Price toward the target the gap sets, held to the market bound, in steps of at most 20–30% of the current price. The binding bound is named on the row with its loss per order. A push carries a rank prediction; without one it is priced at the ceiling. A wide gap is funded only when the four conditions are all present: sales velocity in the window, click-through above the market, conversion above the market, and stock to sustain it.</w:t>
      </w:r>
    </w:p>
    <w:p>
      <w:pPr>
        <w:spacing w:after="100"/>
      </w:pPr>
      <w:r>
        <w:rPr>
          <w:b/>
          <w:bCs/>
          <w:color w:val="1F3A5F"/>
        </w:rPr>
        <w:t xml:space="preserve">What the run did. </w:t>
      </w:r>
      <w:r>
        <w:t xml:space="preserve">Raised all three by +75% (288, 369, 398) under a “dose push” rule that sets aside the climb cap and the market bound. None carries a rank prediction (“UNGRADEABLE — no rank claim until it lands”), so under §11 none is a push. The budget halves were held by the code check, and the review passed all three.</w:t>
      </w:r>
    </w:p>
    <w:p>
      <w:pPr>
        <w:spacing w:after="100"/>
      </w:pPr>
      <w:r>
        <w:rPr>
          <w:b/>
          <w:bCs/>
        </w:rPr>
        <w:t xml:space="preserve">Bamboo Cooling Sheets King Size-[Bamboo|Cooling]-(LSV)-Exact-(Ranking)-DO-BAMBOO-KING-WHITE</w:t>
      </w:r>
      <w:r>
        <w:t xml:space="preserve"> — “bamboo cooling sheets king size” rank 31 (35 thirty days ago). It held 7 earlier in the window, so 24 positions have been lost. 90 days: 7 clicks, 0 orders; 3 top-of-search clicks on 141 impressions, top-of-search impression share 0.51%. The run writes modifier 200% → 425%: top of search $6.90 → $12.07, about $88 a top-of-search order at 13.7%. The logic’s arithmetic: gap 31 ÷ 7 = 4.4, lift 1.71, so the target is $3.51 × 2.71 = $9.53. The Bamboo|Cooling market bound of $5.74 binds, which puts the target below today’s $6.90. The row’s own BASE WRITE says the same thing (“held to 200%” by the market bound), and its TIMELINE says “not pushed this run”. Correction: a descent to a named point (§9): top of search $5.74, modifier 150% on the $2.30 base, about $42 an order. The current $11.42 budget already buys 14 clicks a week at that price, so drop the raise to $22.91 (368). Name the cause of the fall from 7 to 31 before any climb (§12).</w:t>
      </w:r>
    </w:p>
    <w:p>
      <w:pPr>
        <w:spacing w:after="100"/>
      </w:pPr>
      <w:r>
        <w:rPr>
          <w:b/>
          <w:bCs/>
        </w:rPr>
        <w:t xml:space="preserve">Bamboo Sheets California King-(LSV)-Exact-(Ranking)-DO-BAMBOO-CALIFKING-WHITE</w:t>
      </w:r>
      <w:r>
        <w:t xml:space="preserve"> — “bamboo sheets california king” rank 16, from 4 thirty days ago (12 positions lost). 90 days: 9 clicks, 0 orders; top-of-search impression share 2.82%, and the budget is not capping ($27 in 14 days on $10 a day), so price is the lever (§6). The run writes 238% → 491%: $4.60 → $8.04 (+75%), about $59 an order. The logic’s arithmetic: gap 16 ÷ 6 = 2.67, lift 0.83, so the target is $3.51 × 1.83 = $6.43, inside the $6.62 bound. The 30% cap binds this write. The same row’s “certain-win press” section holds this term because “the child that serves the term has no stock room”, and it prices the prize at about 0.4 orders a week ($4.83 a day in sales). Row 2161 moves this campaign’s ad to BAMBOO-CALIFKING-BURGUNDY-NEW while the rank target is read on BAMBOO-CALIFKING-WHITE (A4). Correction: $5.98, modifier 340% on the $1.36 base, about $44 an order. The budget is 16 required clicks a week × $5.98, about $13.70 a day, so load the row’s $13.98. Write the rank prediction the row omits (16 → a dated target), and confirm the tracked child before the re-point.</w:t>
      </w:r>
    </w:p>
    <w:p>
      <w:pPr>
        <w:spacing w:after="100"/>
      </w:pPr>
      <w:r>
        <w:rPr>
          <w:b/>
          <w:bCs/>
        </w:rPr>
        <w:t xml:space="preserve">Cooling Bamboo Sheets-[Bamboo|Cooling]-(MSV)-Exact-(Ranking)-DO-BAMBOO-KING-WHITE</w:t>
      </w:r>
      <w:r>
        <w:t xml:space="preserve"> — “cooling bamboo sheets” rank 12, climbing from 30. 90 days: 7 clicks, 0 orders; top-of-search impression share 1.27%. The run writes 130% → 302%: $4.60 → $8.04. The row’s own prose says “the run had written 187%”, and its PRICES line still quotes $5.32 a click. The logic’s arithmetic: gap 12 ÷ 5 = 2.4, lift 0.70, so the target is $5.97, and the $5.74 bound binds. 187% is exactly the bound: $2.00 × 2.87 = $5.74. Correction: $5.74, modifier 187%, written with the bound named. The budget at the plan’s 40 clicks a week is $32.80 a day against the $14.21 written. Under §11 that is an $18.59-a-day shortfall, stated as such: fund it or hold it with the number named. It is not a funded push at $14.21.</w:t>
      </w:r>
    </w:p>
    <w:p>
      <w:pPr>
        <w:spacing w:after="100"/>
      </w:pPr>
      <w:r>
        <w:rPr>
          <w:b/>
          <w:bCs/>
          <w:color w:val="1F3A5F"/>
        </w:rPr>
        <w:t xml:space="preserve">Correction. </w:t>
      </w:r>
      <w:r>
        <w:t xml:space="preserve">Write 288 at 340% ($5.98), 369 down to 150% ($5.74) and 398 at 187% ($5.74), each with its bound, its loss per order and a rank prediction. Two of the four §6 conditions are not yet shown on these terms. Conversion is unread (0 orders on 7–9 clicks), and there is no sales-velocity window until the 10-26 Lightning Deal. So these steps are tests that earn the conversion read, not a funded climb. 288 and 398 fit both the deal rules and the logic, so they can load now. 369’s descent waits until 10-01, because the deal rules keep the market limit off until then. Read the steps at 10-07 on the first clean week, and size the funded push for the 10-26 window with §7’s budget.</w:t>
      </w:r>
    </w:p>
    <w:p>
      <w:pPr>
        <w:pStyle w:val="Heading1"/>
      </w:pPr>
      <w:r>
        <w:t xml:space="preserve">A3. Three in-focus campaigns with a real record took no clicks in the deal: check down-only suppression before the price rises again</w:t>
      </w:r>
    </w:p>
    <w:p>
      <w:pPr>
        <w:spacing w:after="100"/>
      </w:pPr>
      <w:r>
        <w:rPr>
          <w:b/>
          <w:bCs/>
          <w:color w:val="1F3A5F"/>
        </w:rPr>
        <w:t xml:space="preserve">The rule (the logic, §10, §12). </w:t>
      </w:r>
      <w:r>
        <w:t xml:space="preserve">Campaign on, no clicks arriving: hold the base and push the modifier only, because cutting the base of a row that isn’t delivering makes delivery worse. Down-only bidding can quietly lower the price at the placement being funded, so a push that is not delivering is checked for suppression before its price is raised again. If it is suppressed, the next move is fixed bidding, stated as a trade. A budget is raised only when it is running out (§6).</w:t>
      </w:r>
    </w:p>
    <w:p>
      <w:pPr>
        <w:spacing w:after="100"/>
      </w:pPr>
      <w:r>
        <w:rPr>
          <w:b/>
          <w:bCs/>
          <w:color w:val="1F3A5F"/>
        </w:rPr>
        <w:t xml:space="preserve">What the run did. </w:t>
      </w:r>
      <w:r>
        <w:t xml:space="preserve">Raised the modifier on all three, by +25% to +30%, with the base held on two (687, 1002) and cut on the third (293). All three are down-only (LEGACY_FOR_SALES) and spent $0.00 in the last 14 days. The review corrected 293 to hold the price but kept its base cut, and passed the other two.</w:t>
      </w:r>
    </w:p>
    <w:p>
      <w:pPr>
        <w:spacing w:after="100"/>
      </w:pPr>
      <w:r>
        <w:rPr>
          <w:b/>
          <w:bCs/>
        </w:rPr>
        <w:t xml:space="preserve">Bamboo Cooling Sheets King Size-(LSV)-Exact-(Ranking)-DO-BAMBOO-KING-WHITE</w:t>
      </w:r>
      <w:r>
        <w:t xml:space="preserve"> — “bamboo cooling sheets king” rank 27 (37; it held 12 earlier in the window). 90 days: 238 clicks, 29 orders, the best record in the focus. Last 14 days: $0.00. The modifier-only step ($2.55 → $3.19, +25%, inside the $5.74 bound) is the move §12 prescribes. What is missing is §10’s check: a down-only campaign that went from 29 orders to zero spend may be suppressed, not under-priced. The row also says “BUDGET CAPPED … the budget goes first”, but a campaign that spent nothing is not capping, so the budget raise (686) has nothing to fix. Correction: check suppression, the ad and the child (BAMBOO-KING-WHITE) first. If they are clear, load the +25%. If it is suppressed, switch to fixed bids at today’s $2.55, stated as a trade. Drop 686.</w:t>
      </w:r>
    </w:p>
    <w:p>
      <w:pPr>
        <w:spacing w:after="100"/>
      </w:pPr>
      <w:r>
        <w:rPr>
          <w:b/>
          <w:bCs/>
        </w:rPr>
        <w:t xml:space="preserve">Cal King Bamboo Sheets-[Bamboo|California King]-(VLSV)-Exact-(Ranking)-DO-BAMBOO-CALIFKING-WHITE</w:t>
      </w:r>
      <w:r>
        <w:t xml:space="preserve"> — “california king bamboo sheets” rank 10 (7). 90 days: 58 clicks, 7 orders, 91% of them on product pages; last 14 days $0.00. The run cuts the base $1.02 → $0.92 and writes 421% (+25%). The review corrected it to 317%, holding $3.84, which is a distribution fix. The logic reads it the other way: with no clicks arriving there is no distribution to fix (§10: “none arriving means there is no distribution to fix — hold the base and move the modifier only”). The 91% is a 90-day mix of clicks that have stopped. Correction: hold the $1.02 base and drop 296 and 297. Run the §10 suppression check, then take a modifier-only step toward the $6.62 bound if it clears.</w:t>
      </w:r>
    </w:p>
    <w:p>
      <w:pPr>
        <w:spacing w:after="100"/>
      </w:pPr>
      <w:r>
        <w:rPr>
          <w:b/>
          <w:bCs/>
        </w:rPr>
        <w:t xml:space="preserve">Cooling Bamboo Sheets Queen Size-[Bamboo|Cooling]-(LSV)-Exact-(Ranking)-DO-BAMBOO-QUEEN-WHITE</w:t>
      </w:r>
      <w:r>
        <w:t xml:space="preserve"> — “cooling bamboo sheets queen size” rank 55 (43; 11 earlier in the window). 90 days: 54 clicks, 7 orders, but no top-of-search impressions at all, and $0.00 in the last 14 days. The modifier-only step (69% → 119%, $1.67 → $2.17) fits §12. The prediction does not: 0 → 32 top-of-search clicks a week, priced in the outcome at $35.22 a day on a $9.94 budget, with a rank claim of 55 → 11 in two weeks, while the Rank tab lists the term as “not pushed”. It also advertises BAMBOO-QUEEN-WHITE, the Queen hero the run pivots off, and is not among the 33 Queen re-points. Correction: suppression check first, then the step. Re-point it to BAMBOO-QUEEN-OLIVE, re-derive the base from Olive (§8, bound 1), and cut the claim to what the book buys on a +30% step (about ×2.6 of today’s near-zero).</w:t>
      </w:r>
    </w:p>
    <w:p>
      <w:pPr>
        <w:spacing w:after="100"/>
      </w:pPr>
      <w:r>
        <w:rPr>
          <w:b/>
          <w:bCs/>
          <w:color w:val="1F3A5F"/>
        </w:rPr>
        <w:t xml:space="preserve">Correction. </w:t>
      </w:r>
      <w:r>
        <w:t xml:space="preserve">Run the §10 check on all three before loading. 526 (Bamboo California King Sheets) is serving but has the same forecasting fault: it predicts 0.23 → 32 top-of-search clicks a week from an +11% step and is priced at $21.79 a day on a $10 budget. Keep its step and cut its claim to under one click a week.</w:t>
      </w:r>
    </w:p>
    <w:p>
      <w:pPr>
        <w:pStyle w:val="Heading1"/>
      </w:pPr>
      <w:r>
        <w:t xml:space="preserve">A4. California King: the push goes on the size with the least stock, re-pointed to a child the tracker may not read</w:t>
      </w:r>
    </w:p>
    <w:p>
      <w:pPr>
        <w:spacing w:after="100"/>
      </w:pPr>
      <w:r>
        <w:rPr>
          <w:b/>
          <w:bCs/>
          <w:color w:val="1F3A5F"/>
        </w:rPr>
        <w:t xml:space="preserve">The rule. </w:t>
      </w:r>
      <w:r>
        <w:t xml:space="preserve">First check which child the rank tracker reads for each term. If the ad moves to another child, the push buys sales the tracker doesn’t watch, and the read shows a miss that is not one. A push on a child that runs out before the next arrival rents the position instead of buying it.</w:t>
      </w:r>
    </w:p>
    <w:p>
      <w:pPr>
        <w:spacing w:after="100"/>
      </w:pPr>
      <w:r>
        <w:rPr>
          <w:b/>
          <w:bCs/>
          <w:color w:val="1F3A5F"/>
        </w:rPr>
        <w:t xml:space="preserve">What the run did. </w:t>
      </w:r>
      <w:r>
        <w:t xml:space="preserve">Re-pointed 15 California King campaigns from BAMBOO-CALIFKING-WHITE to BAMBOO-CALIFKING-BURGUNDY-NEW (2151, 2154, 2157, 2159, 2160, 2161, 2167, 2169, 2176, 2178, 2191, 2194, 2204, 2208, 2211). Every California King push row still names its rank target “on BAMBOO-CALIFKING-WHITE”.</w:t>
      </w:r>
    </w:p>
    <w:p>
      <w:pPr>
        <w:pStyle w:val="ListParagraph"/>
        <w:numPr>
          <w:ilvl w:val="0"/>
          <w:numId w:val="2"/>
        </w:numPr>
        <w:spacing w:after="60"/>
      </w:pPr>
      <w:r>
        <w:rPr>
          <w:b/>
          <w:bCs/>
        </w:rPr>
        <w:t xml:space="preserve">Stock. </w:t>
      </w:r>
      <w:r>
        <w:t xml:space="preserve">The hero, White, has 44 units: 27 days at 1.63 a day, 18 at the push pace. There is no dated arrival, and the next PO is 11-05 for 36 units. Burgundy-New has 76. The size holds 495 units across 16 colours (54 days).</w:t>
      </w:r>
    </w:p>
    <w:p>
      <w:pPr>
        <w:pStyle w:val="ListParagraph"/>
        <w:numPr>
          <w:ilvl w:val="0"/>
          <w:numId w:val="2"/>
        </w:numPr>
        <w:spacing w:after="60"/>
      </w:pPr>
      <w:r>
        <w:rPr>
          <w:b/>
          <w:bCs/>
        </w:rPr>
        <w:t xml:space="preserve">What the deal did here. </w:t>
      </w:r>
      <w:r>
        <w:t xml:space="preserve">09-15 → 09-27: $16 a day, 50 clicks, 4 orders, ACoS 67.9%, CVR 8.0% (21.4% in the 13 days before). Group rank (7-day median) went from 19 to 17.</w:t>
      </w:r>
    </w:p>
    <w:p>
      <w:pPr>
        <w:pStyle w:val="ListParagraph"/>
        <w:numPr>
          <w:ilvl w:val="0"/>
          <w:numId w:val="2"/>
        </w:numPr>
        <w:spacing w:after="60"/>
      </w:pPr>
      <w:r>
        <w:rPr>
          <w:b/>
          <w:bCs/>
        </w:rPr>
        <w:t xml:space="preserve">Keyword ranks (tracker). </w:t>
      </w:r>
      <w:r>
        <w:t xml:space="preserve">“bamboo sheets california king” 4 → 16, “bamboo sheets cal king” 23 → 39, “bamboo sheets california king size” 19 → 30, “california king bamboo sheets” 7 → 10.</w:t>
      </w:r>
    </w:p>
    <w:p>
      <w:pPr>
        <w:pStyle w:val="ListParagraph"/>
        <w:numPr>
          <w:ilvl w:val="0"/>
          <w:numId w:val="2"/>
        </w:numPr>
        <w:spacing w:after="60"/>
      </w:pPr>
      <w:r>
        <w:rPr>
          <w:b/>
          <w:bCs/>
        </w:rPr>
        <w:t xml:space="preserve">Two pushed terms have no rank on file. </w:t>
      </w:r>
      <w:r>
        <w:t xml:space="preserve">“bamboo cal king sheets” (462) is unranked, and “california king sheets bamboo” (571) has only a 26 June reading. The engine gates both to “change → HOLD” and still writes +25%. The logic (§6, fourth row of its table) says a term with no rank on file is “enabled at the ceiling with no premium” and becomes a push candidate once a rank read exists. Both sit above their ceilings today ($4.82 against $3.51, and $4.75 against $3.77) with almost no delivery. §10 allows “any size, straight to the derived price” for a row with no delivery. Correction, from 1 October once the second deal ends: 462 → $3.51 (modifier 255% on $0.99); 571 → $3.77 (modifier 98% on $1.90). Until then, pull the +25% raises.</w:t>
      </w:r>
    </w:p>
    <w:p>
      <w:pPr>
        <w:pStyle w:val="ListParagraph"/>
        <w:numPr>
          <w:ilvl w:val="0"/>
          <w:numId w:val="2"/>
        </w:numPr>
        <w:spacing w:after="60"/>
      </w:pPr>
      <w:r>
        <w:rPr>
          <w:b/>
          <w:bCs/>
        </w:rPr>
        <w:t xml:space="preserve">The base follows the serving child. </w:t>
      </w:r>
      <w:r>
        <w:t xml:space="preserve">The logic’s first bound is that the base is derived from the serving child, never inherited (§8). The 15 re-points change the serving child, but the rows keep bases and ceilings built on lane figures. Re-derive them from Burgundy-New’s contribution and product-page rate in the same write.</w:t>
      </w:r>
    </w:p>
    <w:p>
      <w:pPr>
        <w:pStyle w:val="ListParagraph"/>
        <w:numPr>
          <w:ilvl w:val="0"/>
          <w:numId w:val="2"/>
        </w:numPr>
        <w:spacing w:after="60"/>
      </w:pPr>
      <w:r>
        <w:rPr>
          <w:b/>
          <w:bCs/>
        </w:rPr>
        <w:t xml:space="preserve">A child that cannot ship voids the read. </w:t>
      </w:r>
      <w:r>
        <w:t xml:space="preserve">The logic (§12) says reads are void when the serving child cannot ship. White is under its horizon, which is why the size pivots, so any California King rate read on White is not a basis for pricing the Burgundy-New ads.</w:t>
      </w:r>
    </w:p>
    <w:p>
      <w:pPr>
        <w:spacing w:after="100"/>
      </w:pPr>
      <w:r>
        <w:rPr>
          <w:b/>
          <w:bCs/>
          <w:color w:val="1F3A5F"/>
        </w:rPr>
        <w:t xml:space="preserve">Correction. </w:t>
      </w:r>
      <w:r>
        <w:t xml:space="preserve">Confirm which child the tracker reads for the California King terms before the 15 re-points load. If it reads White, there are two options. Keep the pushed campaigns (288, 374, 526) on White and accept 44 units as the limit of the read. Or move them, and grade the push on Burgundy-New’s sales rather than on the White rank. Name the cause of the fall from 4 to 16 on the head California King term the same day: the rival now ahead, the child, or the listing. Part D asks whether California King belongs in the focus at all.</w:t>
      </w:r>
    </w:p>
    <w:p>
      <w:pPr>
        <w:pStyle w:val="Heading1"/>
      </w:pPr>
      <w:r>
        <w:t xml:space="preserve">A5. Focus terms the run does not push, including the largest one</w:t>
      </w:r>
    </w:p>
    <w:p>
      <w:pPr>
        <w:spacing w:after="100"/>
      </w:pPr>
      <w:r>
        <w:rPr>
          <w:b/>
          <w:bCs/>
          <w:color w:val="1F3A5F"/>
        </w:rPr>
        <w:t xml:space="preserve">The rule. </w:t>
      </w:r>
      <w:r>
        <w:t xml:space="preserve">The focus is a group. Every term in it with a rank gap gets a capped step toward its target, or a written reason why not. A term that collapsed more than 10 positions despite delivery gets no more spend until the cause is named: the listing, then the competitor now ahead, then whether the fall is category-wide (the logic, §12).</w:t>
      </w:r>
    </w:p>
    <w:p>
      <w:pPr>
        <w:spacing w:after="100"/>
      </w:pPr>
      <w:r>
        <w:rPr>
          <w:b/>
          <w:bCs/>
          <w:color w:val="1F3A5F"/>
        </w:rPr>
        <w:t xml:space="preserve">What the run did. </w:t>
      </w:r>
      <w:r>
        <w:t xml:space="preserve">The Rank tab marks 16 of the 27 focus terms “not pushed this run (tapering / out of the focus)”, because their campaigns are tagged to another group. Nine focus terms lost more than 10 positions in 30 days. No row names a cause for any of them.</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200"/>
        <w:gridCol w:w="1000"/>
        <w:gridCol w:w="1500"/>
        <w:gridCol w:w="4272"/>
      </w:tblGrid>
      <w:tr>
        <w:trPr>
          <w:tblHeader/>
        </w:trPr>
        <w:tc>
          <w:tcPr>
            <w:tcW w:type="dxa" w:w="3200"/>
            <w:shd w:fill="1F3A5F" w:color="auto" w:val="clear"/>
            <w:tcMar>
              <w:top w:type="dxa" w:w="40"/>
              <w:left w:type="dxa" w:w="70"/>
              <w:bottom w:type="dxa" w:w="40"/>
              <w:right w:type="dxa" w:w="70"/>
            </w:tcMar>
          </w:tcPr>
          <w:p>
            <w:pPr>
              <w:spacing w:after="0"/>
            </w:pPr>
            <w:r>
              <w:rPr>
                <w:b/>
                <w:bCs/>
                <w:color w:val="FFFFFF"/>
                <w:sz w:val="17"/>
                <w:szCs w:val="17"/>
              </w:rPr>
              <w:t xml:space="preserve">Focus term (group)</w:t>
            </w:r>
          </w:p>
        </w:tc>
        <w:tc>
          <w:tcPr>
            <w:tcW w:type="dxa" w:w="1000"/>
            <w:shd w:fill="1F3A5F" w:color="auto" w:val="clear"/>
            <w:tcMar>
              <w:top w:type="dxa" w:w="40"/>
              <w:left w:type="dxa" w:w="70"/>
              <w:bottom w:type="dxa" w:w="40"/>
              <w:right w:type="dxa" w:w="70"/>
            </w:tcMar>
          </w:tcPr>
          <w:p>
            <w:pPr>
              <w:spacing w:after="0"/>
            </w:pPr>
            <w:r>
              <w:rPr>
                <w:b/>
                <w:bCs/>
                <w:color w:val="FFFFFF"/>
                <w:sz w:val="17"/>
                <w:szCs w:val="17"/>
              </w:rPr>
              <w:t xml:space="preserve">Searches</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Rank now (30 d ago)</w:t>
            </w:r>
          </w:p>
        </w:tc>
        <w:tc>
          <w:tcPr>
            <w:tcW w:type="dxa" w:w="4272"/>
            <w:shd w:fill="1F3A5F" w:color="auto" w:val="clear"/>
            <w:tcMar>
              <w:top w:type="dxa" w:w="40"/>
              <w:left w:type="dxa" w:w="70"/>
              <w:bottom w:type="dxa" w:w="40"/>
              <w:right w:type="dxa" w:w="70"/>
            </w:tcMar>
          </w:tcPr>
          <w:p>
            <w:pPr>
              <w:spacing w:after="0"/>
            </w:pPr>
            <w:r>
              <w:rPr>
                <w:b/>
                <w:bCs/>
                <w:color w:val="FFFFFF"/>
                <w:sz w:val="17"/>
                <w:szCs w:val="17"/>
              </w:rPr>
              <w:t xml:space="preserve">What the run does</w:t>
            </w:r>
          </w:p>
        </w:tc>
      </w:tr>
      <w:tr>
        <w:tc>
          <w:tcPr>
            <w:tcW w:type="dxa" w:w="3200"/>
            <w:shd w:fill="FFFFFF" w:color="auto" w:val="clear"/>
            <w:tcMar>
              <w:top w:type="dxa" w:w="40"/>
              <w:left w:type="dxa" w:w="70"/>
              <w:bottom w:type="dxa" w:w="40"/>
              <w:right w:type="dxa" w:w="70"/>
            </w:tcMar>
          </w:tcPr>
          <w:p>
            <w:pPr>
              <w:spacing w:after="0"/>
            </w:pPr>
            <w:r>
              <w:rPr>
                <w:sz w:val="17"/>
                <w:szCs w:val="17"/>
              </w:rPr>
              <w:t xml:space="preserve">bamboo cooling sheets queen (Bamboo|Cooling)</w:t>
            </w:r>
          </w:p>
        </w:tc>
        <w:tc>
          <w:tcPr>
            <w:tcW w:type="dxa" w:w="1000"/>
            <w:shd w:fill="FFFFFF" w:color="auto" w:val="clear"/>
            <w:tcMar>
              <w:top w:type="dxa" w:w="40"/>
              <w:left w:type="dxa" w:w="70"/>
              <w:bottom w:type="dxa" w:w="40"/>
              <w:right w:type="dxa" w:w="70"/>
            </w:tcMar>
          </w:tcPr>
          <w:p>
            <w:pPr>
              <w:spacing w:after="0"/>
            </w:pPr>
            <w:r>
              <w:rPr>
                <w:sz w:val="17"/>
                <w:szCs w:val="17"/>
              </w:rPr>
              <w:t xml:space="preserve">2,271</w:t>
            </w:r>
          </w:p>
        </w:tc>
        <w:tc>
          <w:tcPr>
            <w:tcW w:type="dxa" w:w="1500"/>
            <w:shd w:fill="FFFFFF" w:color="auto" w:val="clear"/>
            <w:tcMar>
              <w:top w:type="dxa" w:w="40"/>
              <w:left w:type="dxa" w:w="70"/>
              <w:bottom w:type="dxa" w:w="40"/>
              <w:right w:type="dxa" w:w="70"/>
            </w:tcMar>
          </w:tcPr>
          <w:p>
            <w:pPr>
              <w:spacing w:after="0"/>
            </w:pPr>
            <w:r>
              <w:rPr>
                <w:sz w:val="17"/>
                <w:szCs w:val="17"/>
              </w:rPr>
              <w:t xml:space="preserve">52 (23)</w:t>
            </w:r>
          </w:p>
        </w:tc>
        <w:tc>
          <w:tcPr>
            <w:tcW w:type="dxa" w:w="4272"/>
            <w:shd w:fill="FFFFFF" w:color="auto" w:val="clear"/>
            <w:tcMar>
              <w:top w:type="dxa" w:w="40"/>
              <w:left w:type="dxa" w:w="70"/>
              <w:bottom w:type="dxa" w:w="40"/>
              <w:right w:type="dxa" w:w="70"/>
            </w:tcMar>
          </w:tcPr>
          <w:p>
            <w:pPr>
              <w:spacing w:after="0"/>
            </w:pPr>
            <w:r>
              <w:rPr>
                <w:sz w:val="17"/>
                <w:szCs w:val="17"/>
              </w:rPr>
              <w:t xml:space="preserve">nothing: not pushed</w:t>
            </w:r>
          </w:p>
        </w:tc>
      </w:tr>
      <w:tr>
        <w:tc>
          <w:tcPr>
            <w:tcW w:type="dxa" w:w="3200"/>
            <w:shd w:fill="F2F5F9" w:color="auto" w:val="clear"/>
            <w:tcMar>
              <w:top w:type="dxa" w:w="40"/>
              <w:left w:type="dxa" w:w="70"/>
              <w:bottom w:type="dxa" w:w="40"/>
              <w:right w:type="dxa" w:w="70"/>
            </w:tcMar>
          </w:tcPr>
          <w:p>
            <w:pPr>
              <w:spacing w:after="0"/>
            </w:pPr>
            <w:r>
              <w:rPr>
                <w:sz w:val="17"/>
                <w:szCs w:val="17"/>
              </w:rPr>
              <w:t xml:space="preserve">bamboo queen bed sheets cooling (Bamboo|Cooling)</w:t>
            </w:r>
          </w:p>
        </w:tc>
        <w:tc>
          <w:tcPr>
            <w:tcW w:type="dxa" w:w="1000"/>
            <w:shd w:fill="F2F5F9" w:color="auto" w:val="clear"/>
            <w:tcMar>
              <w:top w:type="dxa" w:w="40"/>
              <w:left w:type="dxa" w:w="70"/>
              <w:bottom w:type="dxa" w:w="40"/>
              <w:right w:type="dxa" w:w="70"/>
            </w:tcMar>
          </w:tcPr>
          <w:p>
            <w:pPr>
              <w:spacing w:after="0"/>
            </w:pPr>
            <w:r>
              <w:rPr>
                <w:sz w:val="17"/>
                <w:szCs w:val="17"/>
              </w:rPr>
              <w:t xml:space="preserve">649</w:t>
            </w:r>
          </w:p>
        </w:tc>
        <w:tc>
          <w:tcPr>
            <w:tcW w:type="dxa" w:w="1500"/>
            <w:shd w:fill="F2F5F9" w:color="auto" w:val="clear"/>
            <w:tcMar>
              <w:top w:type="dxa" w:w="40"/>
              <w:left w:type="dxa" w:w="70"/>
              <w:bottom w:type="dxa" w:w="40"/>
              <w:right w:type="dxa" w:w="70"/>
            </w:tcMar>
          </w:tcPr>
          <w:p>
            <w:pPr>
              <w:spacing w:after="0"/>
            </w:pPr>
            <w:r>
              <w:rPr>
                <w:sz w:val="17"/>
                <w:szCs w:val="17"/>
              </w:rPr>
              <w:t xml:space="preserve">61 (42)</w:t>
            </w:r>
          </w:p>
        </w:tc>
        <w:tc>
          <w:tcPr>
            <w:tcW w:type="dxa" w:w="4272"/>
            <w:shd w:fill="F2F5F9" w:color="auto" w:val="clear"/>
            <w:tcMar>
              <w:top w:type="dxa" w:w="40"/>
              <w:left w:type="dxa" w:w="70"/>
              <w:bottom w:type="dxa" w:w="40"/>
              <w:right w:type="dxa" w:w="70"/>
            </w:tcMar>
          </w:tcPr>
          <w:p>
            <w:pPr>
              <w:spacing w:after="0"/>
            </w:pPr>
            <w:r>
              <w:rPr>
                <w:sz w:val="17"/>
                <w:szCs w:val="17"/>
              </w:rPr>
              <w:t xml:space="preserve">retag sweep 2252: +9% modifier, +25% base</w:t>
            </w:r>
          </w:p>
        </w:tc>
      </w:tr>
      <w:tr>
        <w:tc>
          <w:tcPr>
            <w:tcW w:type="dxa" w:w="3200"/>
            <w:shd w:fill="FFFFFF" w:color="auto" w:val="clear"/>
            <w:tcMar>
              <w:top w:type="dxa" w:w="40"/>
              <w:left w:type="dxa" w:w="70"/>
              <w:bottom w:type="dxa" w:w="40"/>
              <w:right w:type="dxa" w:w="70"/>
            </w:tcMar>
          </w:tcPr>
          <w:p>
            <w:pPr>
              <w:spacing w:after="0"/>
            </w:pPr>
            <w:r>
              <w:rPr>
                <w:sz w:val="17"/>
                <w:szCs w:val="17"/>
              </w:rPr>
              <w:t xml:space="preserve">cooling sheets bamboo (Bamboo|Cooling)</w:t>
            </w:r>
          </w:p>
        </w:tc>
        <w:tc>
          <w:tcPr>
            <w:tcW w:type="dxa" w:w="1000"/>
            <w:shd w:fill="FFFFFF" w:color="auto" w:val="clear"/>
            <w:tcMar>
              <w:top w:type="dxa" w:w="40"/>
              <w:left w:type="dxa" w:w="70"/>
              <w:bottom w:type="dxa" w:w="40"/>
              <w:right w:type="dxa" w:w="70"/>
            </w:tcMar>
          </w:tcPr>
          <w:p>
            <w:pPr>
              <w:spacing w:after="0"/>
            </w:pPr>
            <w:r>
              <w:rPr>
                <w:sz w:val="17"/>
                <w:szCs w:val="17"/>
              </w:rPr>
              <w:t xml:space="preserve">580</w:t>
            </w:r>
          </w:p>
        </w:tc>
        <w:tc>
          <w:tcPr>
            <w:tcW w:type="dxa" w:w="1500"/>
            <w:shd w:fill="FFFFFF" w:color="auto" w:val="clear"/>
            <w:tcMar>
              <w:top w:type="dxa" w:w="40"/>
              <w:left w:type="dxa" w:w="70"/>
              <w:bottom w:type="dxa" w:w="40"/>
              <w:right w:type="dxa" w:w="70"/>
            </w:tcMar>
          </w:tcPr>
          <w:p>
            <w:pPr>
              <w:spacing w:after="0"/>
            </w:pPr>
            <w:r>
              <w:rPr>
                <w:sz w:val="17"/>
                <w:szCs w:val="17"/>
              </w:rPr>
              <w:t xml:space="preserve">45 (28)</w:t>
            </w:r>
          </w:p>
        </w:tc>
        <w:tc>
          <w:tcPr>
            <w:tcW w:type="dxa" w:w="4272"/>
            <w:shd w:fill="FFFFFF" w:color="auto" w:val="clear"/>
            <w:tcMar>
              <w:top w:type="dxa" w:w="40"/>
              <w:left w:type="dxa" w:w="70"/>
              <w:bottom w:type="dxa" w:w="40"/>
              <w:right w:type="dxa" w:w="70"/>
            </w:tcMar>
          </w:tcPr>
          <w:p>
            <w:pPr>
              <w:spacing w:after="0"/>
            </w:pPr>
            <w:r>
              <w:rPr>
                <w:sz w:val="17"/>
                <w:szCs w:val="17"/>
              </w:rPr>
              <w:t xml:space="preserve">retag sweep 2243: +9% modifier, +25% base</w:t>
            </w:r>
          </w:p>
        </w:tc>
      </w:tr>
      <w:tr>
        <w:tc>
          <w:tcPr>
            <w:tcW w:type="dxa" w:w="3200"/>
            <w:shd w:fill="F2F5F9" w:color="auto" w:val="clear"/>
            <w:tcMar>
              <w:top w:type="dxa" w:w="40"/>
              <w:left w:type="dxa" w:w="70"/>
              <w:bottom w:type="dxa" w:w="40"/>
              <w:right w:type="dxa" w:w="70"/>
            </w:tcMar>
          </w:tcPr>
          <w:p>
            <w:pPr>
              <w:spacing w:after="0"/>
            </w:pPr>
            <w:r>
              <w:rPr>
                <w:sz w:val="17"/>
                <w:szCs w:val="17"/>
              </w:rPr>
              <w:t xml:space="preserve">bamboo sheets cal king (Cal King)</w:t>
            </w:r>
          </w:p>
        </w:tc>
        <w:tc>
          <w:tcPr>
            <w:tcW w:type="dxa" w:w="1000"/>
            <w:shd w:fill="F2F5F9" w:color="auto" w:val="clear"/>
            <w:tcMar>
              <w:top w:type="dxa" w:w="40"/>
              <w:left w:type="dxa" w:w="70"/>
              <w:bottom w:type="dxa" w:w="40"/>
              <w:right w:type="dxa" w:w="70"/>
            </w:tcMar>
          </w:tcPr>
          <w:p>
            <w:pPr>
              <w:spacing w:after="0"/>
            </w:pPr>
            <w:r>
              <w:rPr>
                <w:sz w:val="17"/>
                <w:szCs w:val="17"/>
              </w:rPr>
              <w:t xml:space="preserve">529</w:t>
            </w:r>
          </w:p>
        </w:tc>
        <w:tc>
          <w:tcPr>
            <w:tcW w:type="dxa" w:w="1500"/>
            <w:shd w:fill="F2F5F9" w:color="auto" w:val="clear"/>
            <w:tcMar>
              <w:top w:type="dxa" w:w="40"/>
              <w:left w:type="dxa" w:w="70"/>
              <w:bottom w:type="dxa" w:w="40"/>
              <w:right w:type="dxa" w:w="70"/>
            </w:tcMar>
          </w:tcPr>
          <w:p>
            <w:pPr>
              <w:spacing w:after="0"/>
            </w:pPr>
            <w:r>
              <w:rPr>
                <w:sz w:val="17"/>
                <w:szCs w:val="17"/>
              </w:rPr>
              <w:t xml:space="preserve">39 (23)</w:t>
            </w:r>
          </w:p>
        </w:tc>
        <w:tc>
          <w:tcPr>
            <w:tcW w:type="dxa" w:w="4272"/>
            <w:shd w:fill="F2F5F9" w:color="auto" w:val="clear"/>
            <w:tcMar>
              <w:top w:type="dxa" w:w="40"/>
              <w:left w:type="dxa" w:w="70"/>
              <w:bottom w:type="dxa" w:w="40"/>
              <w:right w:type="dxa" w:w="70"/>
            </w:tcMar>
          </w:tcPr>
          <w:p>
            <w:pPr>
              <w:spacing w:after="0"/>
            </w:pPr>
            <w:r>
              <w:rPr>
                <w:sz w:val="17"/>
                <w:szCs w:val="17"/>
              </w:rPr>
              <w:t xml:space="preserve">Rank tab: not pushed; row 374 raises it +16%</w:t>
            </w:r>
          </w:p>
        </w:tc>
      </w:tr>
      <w:tr>
        <w:tc>
          <w:tcPr>
            <w:tcW w:type="dxa" w:w="3200"/>
            <w:shd w:fill="FFFFFF" w:color="auto" w:val="clear"/>
            <w:tcMar>
              <w:top w:type="dxa" w:w="40"/>
              <w:left w:type="dxa" w:w="70"/>
              <w:bottom w:type="dxa" w:w="40"/>
              <w:right w:type="dxa" w:w="70"/>
            </w:tcMar>
          </w:tcPr>
          <w:p>
            <w:pPr>
              <w:spacing w:after="0"/>
            </w:pPr>
            <w:r>
              <w:rPr>
                <w:sz w:val="17"/>
                <w:szCs w:val="17"/>
              </w:rPr>
              <w:t xml:space="preserve">king size bamboo sheet sets cooling (Bamboo|Cooling)</w:t>
            </w:r>
          </w:p>
        </w:tc>
        <w:tc>
          <w:tcPr>
            <w:tcW w:type="dxa" w:w="1000"/>
            <w:shd w:fill="FFFFFF" w:color="auto" w:val="clear"/>
            <w:tcMar>
              <w:top w:type="dxa" w:w="40"/>
              <w:left w:type="dxa" w:w="70"/>
              <w:bottom w:type="dxa" w:w="40"/>
              <w:right w:type="dxa" w:w="70"/>
            </w:tcMar>
          </w:tcPr>
          <w:p>
            <w:pPr>
              <w:spacing w:after="0"/>
            </w:pPr>
            <w:r>
              <w:rPr>
                <w:sz w:val="17"/>
                <w:szCs w:val="17"/>
              </w:rPr>
              <w:t xml:space="preserve">311</w:t>
            </w:r>
          </w:p>
        </w:tc>
        <w:tc>
          <w:tcPr>
            <w:tcW w:type="dxa" w:w="1500"/>
            <w:shd w:fill="FFFFFF" w:color="auto" w:val="clear"/>
            <w:tcMar>
              <w:top w:type="dxa" w:w="40"/>
              <w:left w:type="dxa" w:w="70"/>
              <w:bottom w:type="dxa" w:w="40"/>
              <w:right w:type="dxa" w:w="70"/>
            </w:tcMar>
          </w:tcPr>
          <w:p>
            <w:pPr>
              <w:spacing w:after="0"/>
            </w:pPr>
            <w:r>
              <w:rPr>
                <w:sz w:val="17"/>
                <w:szCs w:val="17"/>
              </w:rPr>
              <w:t xml:space="preserve">41 (27)</w:t>
            </w:r>
          </w:p>
        </w:tc>
        <w:tc>
          <w:tcPr>
            <w:tcW w:type="dxa" w:w="4272"/>
            <w:shd w:fill="FFFFFF" w:color="auto" w:val="clear"/>
            <w:tcMar>
              <w:top w:type="dxa" w:w="40"/>
              <w:left w:type="dxa" w:w="70"/>
              <w:bottom w:type="dxa" w:w="40"/>
              <w:right w:type="dxa" w:w="70"/>
            </w:tcMar>
          </w:tcPr>
          <w:p>
            <w:pPr>
              <w:spacing w:after="0"/>
            </w:pPr>
            <w:r>
              <w:rPr>
                <w:sz w:val="17"/>
                <w:szCs w:val="17"/>
              </w:rPr>
              <w:t xml:space="preserve">nothing: not pushed</w:t>
            </w:r>
          </w:p>
        </w:tc>
      </w:tr>
      <w:tr>
        <w:tc>
          <w:tcPr>
            <w:tcW w:type="dxa" w:w="3200"/>
            <w:shd w:fill="F2F5F9" w:color="auto" w:val="clear"/>
            <w:tcMar>
              <w:top w:type="dxa" w:w="40"/>
              <w:left w:type="dxa" w:w="70"/>
              <w:bottom w:type="dxa" w:w="40"/>
              <w:right w:type="dxa" w:w="70"/>
            </w:tcMar>
          </w:tcPr>
          <w:p>
            <w:pPr>
              <w:spacing w:after="0"/>
            </w:pPr>
            <w:r>
              <w:rPr>
                <w:sz w:val="17"/>
                <w:szCs w:val="17"/>
              </w:rPr>
              <w:t xml:space="preserve">bamboo sheets california king (Cal King)</w:t>
            </w:r>
          </w:p>
        </w:tc>
        <w:tc>
          <w:tcPr>
            <w:tcW w:type="dxa" w:w="1000"/>
            <w:shd w:fill="F2F5F9" w:color="auto" w:val="clear"/>
            <w:tcMar>
              <w:top w:type="dxa" w:w="40"/>
              <w:left w:type="dxa" w:w="70"/>
              <w:bottom w:type="dxa" w:w="40"/>
              <w:right w:type="dxa" w:w="70"/>
            </w:tcMar>
          </w:tcPr>
          <w:p>
            <w:pPr>
              <w:spacing w:after="0"/>
            </w:pPr>
            <w:r>
              <w:rPr>
                <w:sz w:val="17"/>
                <w:szCs w:val="17"/>
              </w:rPr>
              <w:t xml:space="preserve">1,671</w:t>
            </w:r>
          </w:p>
        </w:tc>
        <w:tc>
          <w:tcPr>
            <w:tcW w:type="dxa" w:w="1500"/>
            <w:shd w:fill="F2F5F9" w:color="auto" w:val="clear"/>
            <w:tcMar>
              <w:top w:type="dxa" w:w="40"/>
              <w:left w:type="dxa" w:w="70"/>
              <w:bottom w:type="dxa" w:w="40"/>
              <w:right w:type="dxa" w:w="70"/>
            </w:tcMar>
          </w:tcPr>
          <w:p>
            <w:pPr>
              <w:spacing w:after="0"/>
            </w:pPr>
            <w:r>
              <w:rPr>
                <w:sz w:val="17"/>
                <w:szCs w:val="17"/>
              </w:rPr>
              <w:t xml:space="preserve">16 (4)</w:t>
            </w:r>
          </w:p>
        </w:tc>
        <w:tc>
          <w:tcPr>
            <w:tcW w:type="dxa" w:w="4272"/>
            <w:shd w:fill="F2F5F9" w:color="auto" w:val="clear"/>
            <w:tcMar>
              <w:top w:type="dxa" w:w="40"/>
              <w:left w:type="dxa" w:w="70"/>
              <w:bottom w:type="dxa" w:w="40"/>
              <w:right w:type="dxa" w:w="70"/>
            </w:tcMar>
          </w:tcPr>
          <w:p>
            <w:pPr>
              <w:spacing w:after="0"/>
            </w:pPr>
            <w:r>
              <w:rPr>
                <w:sz w:val="17"/>
                <w:szCs w:val="17"/>
              </w:rPr>
              <w:t xml:space="preserve">dose 288 (A2)</w:t>
            </w:r>
          </w:p>
        </w:tc>
      </w:tr>
      <w:tr>
        <w:tc>
          <w:tcPr>
            <w:tcW w:type="dxa" w:w="3200"/>
            <w:shd w:fill="FFFFFF" w:color="auto" w:val="clear"/>
            <w:tcMar>
              <w:top w:type="dxa" w:w="40"/>
              <w:left w:type="dxa" w:w="70"/>
              <w:bottom w:type="dxa" w:w="40"/>
              <w:right w:type="dxa" w:w="70"/>
            </w:tcMar>
          </w:tcPr>
          <w:p>
            <w:pPr>
              <w:spacing w:after="0"/>
            </w:pPr>
            <w:r>
              <w:rPr>
                <w:sz w:val="17"/>
                <w:szCs w:val="17"/>
              </w:rPr>
              <w:t xml:space="preserve">cooling bamboo sheets queen size (Bamboo|Cooling)</w:t>
            </w:r>
          </w:p>
        </w:tc>
        <w:tc>
          <w:tcPr>
            <w:tcW w:type="dxa" w:w="1000"/>
            <w:shd w:fill="FFFFFF" w:color="auto" w:val="clear"/>
            <w:tcMar>
              <w:top w:type="dxa" w:w="40"/>
              <w:left w:type="dxa" w:w="70"/>
              <w:bottom w:type="dxa" w:w="40"/>
              <w:right w:type="dxa" w:w="70"/>
            </w:tcMar>
          </w:tcPr>
          <w:p>
            <w:pPr>
              <w:spacing w:after="0"/>
            </w:pPr>
            <w:r>
              <w:rPr>
                <w:sz w:val="17"/>
                <w:szCs w:val="17"/>
              </w:rPr>
              <w:t xml:space="preserve">1,216</w:t>
            </w:r>
          </w:p>
        </w:tc>
        <w:tc>
          <w:tcPr>
            <w:tcW w:type="dxa" w:w="1500"/>
            <w:shd w:fill="FFFFFF" w:color="auto" w:val="clear"/>
            <w:tcMar>
              <w:top w:type="dxa" w:w="40"/>
              <w:left w:type="dxa" w:w="70"/>
              <w:bottom w:type="dxa" w:w="40"/>
              <w:right w:type="dxa" w:w="70"/>
            </w:tcMar>
          </w:tcPr>
          <w:p>
            <w:pPr>
              <w:spacing w:after="0"/>
            </w:pPr>
            <w:r>
              <w:rPr>
                <w:sz w:val="17"/>
                <w:szCs w:val="17"/>
              </w:rPr>
              <w:t xml:space="preserve">55 (43)</w:t>
            </w:r>
          </w:p>
        </w:tc>
        <w:tc>
          <w:tcPr>
            <w:tcW w:type="dxa" w:w="4272"/>
            <w:shd w:fill="FFFFFF" w:color="auto" w:val="clear"/>
            <w:tcMar>
              <w:top w:type="dxa" w:w="40"/>
              <w:left w:type="dxa" w:w="70"/>
              <w:bottom w:type="dxa" w:w="40"/>
              <w:right w:type="dxa" w:w="70"/>
            </w:tcMar>
          </w:tcPr>
          <w:p>
            <w:pPr>
              <w:spacing w:after="0"/>
            </w:pPr>
            <w:r>
              <w:rPr>
                <w:sz w:val="17"/>
                <w:szCs w:val="17"/>
              </w:rPr>
              <w:t xml:space="preserve">Rank tab: not pushed; row 1002 raises it (A3)</w:t>
            </w:r>
          </w:p>
        </w:tc>
      </w:tr>
      <w:tr>
        <w:tc>
          <w:tcPr>
            <w:tcW w:type="dxa" w:w="3200"/>
            <w:shd w:fill="F2F5F9" w:color="auto" w:val="clear"/>
            <w:tcMar>
              <w:top w:type="dxa" w:w="40"/>
              <w:left w:type="dxa" w:w="70"/>
              <w:bottom w:type="dxa" w:w="40"/>
              <w:right w:type="dxa" w:w="70"/>
            </w:tcMar>
          </w:tcPr>
          <w:p>
            <w:pPr>
              <w:spacing w:after="0"/>
            </w:pPr>
            <w:r>
              <w:rPr>
                <w:sz w:val="17"/>
                <w:szCs w:val="17"/>
              </w:rPr>
              <w:t xml:space="preserve">bamboo sheets california king size (Cal King)</w:t>
            </w:r>
          </w:p>
        </w:tc>
        <w:tc>
          <w:tcPr>
            <w:tcW w:type="dxa" w:w="1000"/>
            <w:shd w:fill="F2F5F9" w:color="auto" w:val="clear"/>
            <w:tcMar>
              <w:top w:type="dxa" w:w="40"/>
              <w:left w:type="dxa" w:w="70"/>
              <w:bottom w:type="dxa" w:w="40"/>
              <w:right w:type="dxa" w:w="70"/>
            </w:tcMar>
          </w:tcPr>
          <w:p>
            <w:pPr>
              <w:spacing w:after="0"/>
            </w:pPr>
            <w:r>
              <w:rPr>
                <w:sz w:val="17"/>
                <w:szCs w:val="17"/>
              </w:rPr>
              <w:t xml:space="preserve">491</w:t>
            </w:r>
          </w:p>
        </w:tc>
        <w:tc>
          <w:tcPr>
            <w:tcW w:type="dxa" w:w="1500"/>
            <w:shd w:fill="F2F5F9" w:color="auto" w:val="clear"/>
            <w:tcMar>
              <w:top w:type="dxa" w:w="40"/>
              <w:left w:type="dxa" w:w="70"/>
              <w:bottom w:type="dxa" w:w="40"/>
              <w:right w:type="dxa" w:w="70"/>
            </w:tcMar>
          </w:tcPr>
          <w:p>
            <w:pPr>
              <w:spacing w:after="0"/>
            </w:pPr>
            <w:r>
              <w:rPr>
                <w:sz w:val="17"/>
                <w:szCs w:val="17"/>
              </w:rPr>
              <w:t xml:space="preserve">30 (19)</w:t>
            </w:r>
          </w:p>
        </w:tc>
        <w:tc>
          <w:tcPr>
            <w:tcW w:type="dxa" w:w="4272"/>
            <w:shd w:fill="F2F5F9" w:color="auto" w:val="clear"/>
            <w:tcMar>
              <w:top w:type="dxa" w:w="40"/>
              <w:left w:type="dxa" w:w="70"/>
              <w:bottom w:type="dxa" w:w="40"/>
              <w:right w:type="dxa" w:w="70"/>
            </w:tcMar>
          </w:tcPr>
          <w:p>
            <w:pPr>
              <w:spacing w:after="0"/>
            </w:pPr>
            <w:r>
              <w:rPr>
                <w:sz w:val="17"/>
                <w:szCs w:val="17"/>
              </w:rPr>
              <w:t xml:space="preserve">nothing: not pushed</w:t>
            </w:r>
          </w:p>
        </w:tc>
      </w:tr>
      <w:tr>
        <w:tc>
          <w:tcPr>
            <w:tcW w:type="dxa" w:w="3200"/>
            <w:shd w:fill="FFFFFF" w:color="auto" w:val="clear"/>
            <w:tcMar>
              <w:top w:type="dxa" w:w="40"/>
              <w:left w:type="dxa" w:w="70"/>
              <w:bottom w:type="dxa" w:w="40"/>
              <w:right w:type="dxa" w:w="70"/>
            </w:tcMar>
          </w:tcPr>
          <w:p>
            <w:pPr>
              <w:spacing w:after="0"/>
            </w:pPr>
            <w:r>
              <w:rPr>
                <w:sz w:val="17"/>
                <w:szCs w:val="17"/>
              </w:rPr>
              <w:t xml:space="preserve">bamboo cooling queen sheets (Bamboo|Cooling)</w:t>
            </w:r>
          </w:p>
        </w:tc>
        <w:tc>
          <w:tcPr>
            <w:tcW w:type="dxa" w:w="1000"/>
            <w:shd w:fill="FFFFFF" w:color="auto" w:val="clear"/>
            <w:tcMar>
              <w:top w:type="dxa" w:w="40"/>
              <w:left w:type="dxa" w:w="70"/>
              <w:bottom w:type="dxa" w:w="40"/>
              <w:right w:type="dxa" w:w="70"/>
            </w:tcMar>
          </w:tcPr>
          <w:p>
            <w:pPr>
              <w:spacing w:after="0"/>
            </w:pPr>
            <w:r>
              <w:rPr>
                <w:sz w:val="17"/>
                <w:szCs w:val="17"/>
              </w:rPr>
              <w:t xml:space="preserve">522</w:t>
            </w:r>
          </w:p>
        </w:tc>
        <w:tc>
          <w:tcPr>
            <w:tcW w:type="dxa" w:w="1500"/>
            <w:shd w:fill="FFFFFF" w:color="auto" w:val="clear"/>
            <w:tcMar>
              <w:top w:type="dxa" w:w="40"/>
              <w:left w:type="dxa" w:w="70"/>
              <w:bottom w:type="dxa" w:w="40"/>
              <w:right w:type="dxa" w:w="70"/>
            </w:tcMar>
          </w:tcPr>
          <w:p>
            <w:pPr>
              <w:spacing w:after="0"/>
            </w:pPr>
            <w:r>
              <w:rPr>
                <w:sz w:val="17"/>
                <w:szCs w:val="17"/>
              </w:rPr>
              <w:t xml:space="preserve">56 (45)</w:t>
            </w:r>
          </w:p>
        </w:tc>
        <w:tc>
          <w:tcPr>
            <w:tcW w:type="dxa" w:w="4272"/>
            <w:shd w:fill="FFFFFF" w:color="auto" w:val="clear"/>
            <w:tcMar>
              <w:top w:type="dxa" w:w="40"/>
              <w:left w:type="dxa" w:w="70"/>
              <w:bottom w:type="dxa" w:w="40"/>
              <w:right w:type="dxa" w:w="70"/>
            </w:tcMar>
          </w:tcPr>
          <w:p>
            <w:pPr>
              <w:spacing w:after="0"/>
            </w:pPr>
            <w:r>
              <w:rPr>
                <w:sz w:val="17"/>
                <w:szCs w:val="17"/>
              </w:rPr>
              <w:t xml:space="preserve">nothing: not pushed</w:t>
            </w:r>
          </w:p>
        </w:tc>
      </w:tr>
    </w:tbl>
    <w:p>
      <w:pPr>
        <w:spacing w:after="40"/>
      </w:pPr>
    </w:p>
    <w:p>
      <w:pPr>
        <w:spacing w:after="100"/>
      </w:pPr>
      <w:r>
        <w:rPr>
          <w:b/>
          <w:bCs/>
        </w:rPr>
        <w:t xml:space="preserve">Bamboo Cooling Sheets-(MSV)-Exact-(Ranking)-DO-BAMBOO-QUEEN-WHITE</w:t>
      </w:r>
      <w:r>
        <w:t xml:space="preserve"> — the only campaign on “bamboo cooling sheets”, the largest focus term (8,166 searches, rank 30 from 36). 90 days: 418 clicks, 42 orders; $415 in the last 14 days on a $40 budget. The run raises the modifier 718% → 818% (31) and trims the base (34). The review held both on open record 2150 (the 09-15 raise, behind on rank with its traffic delivered) and on the previous review’s hold of the same move. We agree with the hold. It leaves the focus’s head term with no move this run, and the campaign keeps advertising BAMBOO-QUEEN-WHITE for a term that names no size. It is not among the Queen re-points.</w:t>
      </w:r>
    </w:p>
    <w:p>
      <w:pPr>
        <w:spacing w:after="100"/>
      </w:pPr>
      <w:r>
        <w:rPr>
          <w:b/>
          <w:bCs/>
          <w:color w:val="1F3A5F"/>
        </w:rPr>
        <w:t xml:space="preserve">Correction. </w:t>
      </w:r>
      <w:r>
        <w:t xml:space="preserve">Write the focus term list with each term’s owning campaign. Give each short term a capped step toward its gap-set target inside its bound, or write down why not, and name the causes of the nine falls. Re-point 31’s ad to a serving child with room (the review’s choice for this term’s brand ads is BAMBOO-KING-CREME), and read record 2150 at the 10-02 checkpoint before re-proposing its price.</w:t>
      </w:r>
    </w:p>
    <w:p>
      <w:pPr>
        <w:pStyle w:val="Heading1"/>
      </w:pPr>
      <w:r>
        <w:t xml:space="preserve">Part B — Out of focus: the taper</w:t>
      </w:r>
    </w:p>
    <w:p>
      <w:pPr>
        <w:pStyle w:val="Heading1"/>
      </w:pPr>
      <w:r>
        <w:t xml:space="preserve">B1. The flagship “Bamboo Sheets” campaign: the hold is right, but it is not written as the funding decision it is</w:t>
      </w:r>
    </w:p>
    <w:p>
      <w:pPr>
        <w:spacing w:after="100"/>
      </w:pPr>
      <w:r>
        <w:rPr>
          <w:b/>
          <w:bCs/>
          <w:color w:val="1F3A5F"/>
        </w:rPr>
        <w:t xml:space="preserve">The rule (the logic, §6, §11, §14). </w:t>
      </w:r>
      <w:r>
        <w:t xml:space="preserve">A push is not cut back until it has delivered 70% of its required top-of-search clicks a day with product pages under 20%. Below that there are three verdicts only: continue, fix delivery, or stop on the dated loss ceiling. When delivery is short and the budget is running out, the budget is the cause, not the price. A push that cannot be funded is stated with its shortfall and becomes a decision: fund it, or hold it with the number named.</w:t>
      </w:r>
    </w:p>
    <w:p>
      <w:pPr>
        <w:spacing w:after="100"/>
      </w:pPr>
      <w:r>
        <w:rPr>
          <w:b/>
          <w:bCs/>
          <w:color w:val="1F3A5F"/>
        </w:rPr>
        <w:t xml:space="preserve">What the run did. </w:t>
      </w:r>
      <w:r>
        <w:t xml:space="preserve">Holds the budget at $340 and the modifier at 299% (considered rows 0 and 1): “the step down is HELD and the money decision is surfaced: release this spend to the focus … or keep the campaign and lift its share. A human decides.” No decision row carries that choice. It is one of 1,988 holds, and the review read none of the engine’s holds (engine_holds_read = 0).</w:t>
      </w:r>
    </w:p>
    <w:p>
      <w:pPr>
        <w:spacing w:after="100"/>
      </w:pPr>
      <w:r>
        <w:rPr>
          <w:b/>
          <w:bCs/>
        </w:rPr>
        <w:t xml:space="preserve">Bamboo Sheets-(VHSV)-Exact-(Ranking)-DO-BAMBOO-KING-WHITE</w:t>
      </w:r>
      <w:r>
        <w:t xml:space="preserve"> — “bamboo sheets”, the product’s largest term (490 plan clicks a week, target 10). $4,463 in the last 14 days, or $319 a day and 29% of the engine’s spend baseline. 90 days on the target: 1,155 clicks, 131 orders. The run reads delivery as 79 top-of-search clicks a week, which is a 90-day average; in the deal it took about 331 a week (21 September document, D5). Top-of-search impression share is 3.3%. The Bamboo group in the deal: $937 a day, ACoS 50.3% (33.8% before), CVR 10.7% (13.1%), orders 25.9 a day (17.6), rank 35 → 33. The brief has no current rank for “bamboo sheets” (null), while the campaign’s claim uses 36.</w:t>
      </w:r>
    </w:p>
    <w:p>
      <w:pPr>
        <w:spacing w:after="100"/>
      </w:pPr>
      <w:r>
        <w:rPr>
          <w:b/>
          <w:bCs/>
        </w:rPr>
        <w:t xml:space="preserve">Bamboo Sheets King Size-(HSV)-Exact-(Ranking)-DO-BAMBOO-KING-WHITE</w:t>
      </w:r>
      <w:r>
        <w:t xml:space="preserve"> — “bamboo sheets king size”, 21,541 searches, rank 35 (24 thirty days ago: 11 positions lost). Top-of-search impression share 0.97%. The 21 September corrections pushed it +30%; that was never loaded (modifier still 210%). This run reshapes it instead: base −16% on four targets, modifier 210% → 268%, price held at $4.96. No row names why it fell.</w:t>
      </w:r>
    </w:p>
    <w:p>
      <w:pPr>
        <w:spacing w:after="100"/>
      </w:pPr>
      <w:r>
        <w:rPr>
          <w:b/>
          <w:bCs/>
          <w:color w:val="1F3A5F"/>
        </w:rPr>
        <w:t xml:space="preserve">Correction. </w:t>
      </w:r>
      <w:r>
        <w:t xml:space="preserve">The engine’s hold is what §14 requires. The campaign delivered about 68% of 490 in the deal and 16% on its 90-day read, so both the 21 September step-down to break-even and the run’s own −10% taper would cut a push that never received its clicks. I withdraw the taper rung I proposed in the first version of this document. What is missing is §11. At today’s $7.42, 490 clicks a week is 70 a day, or $519 a day, against a $340 budget that is already spending $319 (94%): a $179-a-day shortfall, and budget is the first cause §6 names. At 12.9% top-of-search conversion each order costs about $57.50 against $24.49 contribution, so funding it fully is roughly $300 a day of deliberate loss. Write it as one decision row for the owner by 09-30 (Part D): fund it at $519 a day at today’s price with no climb, or stop it on a dated loss ceiling. For “bamboo sheets king size”, name the cause of the 11-position fall before the reshape loads (§12: a collapse of more than 10 positions is never answered with spend).</w:t>
      </w:r>
    </w:p>
    <w:p>
      <w:pPr>
        <w:pStyle w:val="Heading1"/>
      </w:pPr>
      <w:r>
        <w:t xml:space="preserve">B2. Reshapes that ship the modifier without its base half</w:t>
      </w:r>
    </w:p>
    <w:p>
      <w:pPr>
        <w:spacing w:after="100"/>
      </w:pPr>
      <w:r>
        <w:rPr>
          <w:b/>
          <w:bCs/>
          <w:color w:val="1F3A5F"/>
        </w:rPr>
        <w:t xml:space="preserve">The rule. </w:t>
      </w:r>
      <w:r>
        <w:t xml:space="preserve">A reshape moves the base down and re-solves the modifier so the top-of-search price holds to the cent. Out of focus, the price does not climb.</w:t>
      </w:r>
    </w:p>
    <w:p>
      <w:pPr>
        <w:spacing w:after="100"/>
      </w:pPr>
      <w:r>
        <w:rPr>
          <w:b/>
          <w:bCs/>
          <w:color w:val="1F3A5F"/>
        </w:rPr>
        <w:t xml:space="preserve">What the run did. </w:t>
      </w:r>
      <w:r>
        <w:t xml:space="preserve">Recomputed from the export, 13 out-of-focus reshapes hold the price to the cent and six step it down as the taper intends. Four climb instead: 7 ($6.69 → $8.37, +25%, a modifier that doesn’t match the base the row describes), 257 ($5.87 → $6.51), 413 ($4.99 → $5.54) and 493 ($2.67 → $2.96). Each of the last three ships its modifier while the base half is held. 293, in focus, is the same fault. The review caught all five.</w:t>
      </w:r>
    </w:p>
    <w:p>
      <w:pPr>
        <w:spacing w:after="100"/>
      </w:pPr>
      <w:r>
        <w:rPr>
          <w:b/>
          <w:bCs/>
          <w:color w:val="1F3A5F"/>
        </w:rPr>
        <w:t xml:space="preserve">Correction. </w:t>
      </w:r>
      <w:r>
        <w:t xml:space="preserve">Agree with the review. The fault sits in the loader: the modifier row and its base rows load independently, so any held base row turns a price-neutral reshape into a climb. Bind the pair so it loads together or not at all (C8).</w:t>
      </w:r>
    </w:p>
    <w:p>
      <w:pPr>
        <w:pStyle w:val="Heading1"/>
      </w:pPr>
      <w:r>
        <w:t xml:space="preserve">B3. Taper rows on paused campaigns, duplicate rows, and rows the engine marks HOLD</w:t>
      </w:r>
    </w:p>
    <w:p>
      <w:pPr>
        <w:spacing w:after="100"/>
      </w:pPr>
      <w:r>
        <w:rPr>
          <w:b/>
          <w:bCs/>
          <w:color w:val="1F3A5F"/>
        </w:rPr>
        <w:t xml:space="preserve">The rule. </w:t>
      </w:r>
      <w:r>
        <w:t xml:space="preserve">A row loads only if it changes something live, once, and its own gate lets it through.</w:t>
      </w:r>
    </w:p>
    <w:p>
      <w:pPr>
        <w:spacing w:after="100"/>
      </w:pPr>
      <w:r>
        <w:rPr>
          <w:b/>
          <w:bCs/>
          <w:color w:val="1F3A5F"/>
        </w:rPr>
        <w:t xml:space="preserve">What the run did. </w:t>
      </w:r>
      <w:r>
        <w:t xml:space="preserve">Exports 40 rows whose rank claim reads “change → HOLD” (the engine’s own gate: no gradeable rank claim) as changes, and the review passed 39 of them. It also writes 17 rows on three paused campaigns and 11 duplicate bid rows. The 21 September file had 35 such “change → HOLD” rows.</w:t>
      </w:r>
    </w:p>
    <w:p>
      <w:pPr>
        <w:spacing w:after="100"/>
      </w:pPr>
      <w:r>
        <w:rPr>
          <w:b/>
          <w:bCs/>
        </w:rPr>
        <w:t xml:space="preserve">B0CH885XPG-(PAT)-Targeting-(Ranking)-DO-BAMBOO-KING-WHITE</w:t>
      </w:r>
      <w:r>
        <w:t xml:space="preserve"> — 759 clicks, 76 orders in 90 days. Taper rows 71–77 cut six ASIN bids $1.98 → $1.78 and rest of search 40% → 0%. Every row’s claim reads “UNGRADEABLE — no rank observation … change → HOLD”.</w:t>
      </w:r>
    </w:p>
    <w:p>
      <w:pPr>
        <w:spacing w:after="100"/>
      </w:pPr>
      <w:r>
        <w:rPr>
          <w:b/>
          <w:bCs/>
        </w:rPr>
        <w:t xml:space="preserve">Bamboo King Size Sheet-(VLSV)-Exact-(Conversion)-DO-BAMBOO-KING-WHITE</w:t>
      </w:r>
      <w:r>
        <w:t xml:space="preserve"> — PAUSED. Six bid rows (2127–2132) move three keywords $3.00 → $1.73, each twice, plus a modifier cut (2215). The outcome counts the saving.</w:t>
      </w:r>
    </w:p>
    <w:p>
      <w:pPr>
        <w:spacing w:after="100"/>
      </w:pPr>
      <w:r>
        <w:rPr>
          <w:b/>
          <w:bCs/>
        </w:rPr>
        <w:t xml:space="preserve">Extra Deep 20-24 Inch Pocket King Size Bamboo Sheets-[Bamboo|King]-(LSV)-Exact-(Conversion)</w:t>
      </w:r>
      <w:r>
        <w:t xml:space="preserve"> — 2116 and 2117 move the same keyword $3.17 → $1.59, and the outcome counts −$5.72 a day twice: once by target id, once by keyword.</w:t>
      </w:r>
    </w:p>
    <w:p>
      <w:pPr>
        <w:spacing w:after="100"/>
      </w:pPr>
      <w:r>
        <w:rPr>
          <w:b/>
          <w:bCs/>
          <w:color w:val="1F3A5F"/>
        </w:rPr>
        <w:t xml:space="preserve">Correction. </w:t>
      </w:r>
      <w:r>
        <w:t xml:space="preserve">Pull the 40 “change → HOLD” rows (listed in C7), the 17 paused-campaign rows (Bamboo Sheets King Deep Pocket 86–94, Twin Bamboo Sheets Set 156–160, Bamboo King Size Sheet 2127–2132 and 2215), and the second copy of each duplicate (2112–2115, 2117, 2119, 2130–2132, 2134, 2136).</w:t>
      </w:r>
    </w:p>
    <w:p>
      <w:pPr>
        <w:pStyle w:val="Heading1"/>
      </w:pPr>
      <w:r>
        <w:t xml:space="preserve">B4. Rank collapses: frozen correctly, but for some the cause is already known</w:t>
      </w:r>
    </w:p>
    <w:p>
      <w:pPr>
        <w:spacing w:after="100"/>
      </w:pPr>
      <w:r>
        <w:rPr>
          <w:b/>
          <w:bCs/>
          <w:color w:val="1F3A5F"/>
        </w:rPr>
        <w:t xml:space="preserve">The rule. </w:t>
      </w:r>
      <w:r>
        <w:t xml:space="preserve">A collapse has a cause: the listing, a stock-out on the child, a rival’s entry or a suppressed offer. Name it before any lever moves (SOP-24).</w:t>
      </w:r>
    </w:p>
    <w:p>
      <w:pPr>
        <w:spacing w:after="100"/>
      </w:pPr>
      <w:r>
        <w:rPr>
          <w:b/>
          <w:bCs/>
          <w:color w:val="1F3A5F"/>
        </w:rPr>
        <w:t xml:space="preserve">What the run did. </w:t>
      </w:r>
      <w:r>
        <w:t xml:space="preserve">Froze seven campaigns with losses of 31–87 positions (2399–2405). “0 rows held”, because no lever was proposed on them. Two carry child swaps anyway: 2155 (Bamboo Sheets Twin → BAMBOO-TWIN-BURGUNDY-NEW) and 2209 (Sheets Queen Cooling → BAMBOO-QUEEN-OLIVE).</w:t>
      </w:r>
    </w:p>
    <w:p>
      <w:pPr>
        <w:pStyle w:val="ListParagraph"/>
        <w:numPr>
          <w:ilvl w:val="0"/>
          <w:numId w:val="2"/>
        </w:numPr>
        <w:spacing w:after="60"/>
      </w:pPr>
      <w:r>
        <w:rPr>
          <w:b/>
          <w:bCs/>
        </w:rPr>
        <w:t xml:space="preserve">“bamboo sheets twin” 21 → 52. </w:t>
      </w:r>
      <w:r>
        <w:t xml:space="preserve">The Twin hero BAMBOO-TWIN-WHITE is at 0 units (RED). That is the cause, and 2155 is the fix: load it first.</w:t>
      </w:r>
    </w:p>
    <w:p>
      <w:pPr>
        <w:pStyle w:val="ListParagraph"/>
        <w:numPr>
          <w:ilvl w:val="0"/>
          <w:numId w:val="2"/>
        </w:numPr>
        <w:spacing w:after="60"/>
      </w:pPr>
      <w:r>
        <w:rPr>
          <w:b/>
          <w:bCs/>
        </w:rPr>
        <w:t xml:space="preserve">“cooling full size sheets” 47 → 127 and “full bed sheets cooling” 48 → 135 </w:t>
      </w:r>
      <w:r>
        <w:t xml:space="preserve">(Full Light Blue campaigns). The Full hero is also at 0 units; check whether the Light Blue child ran short in the same weeks.</w:t>
      </w:r>
    </w:p>
    <w:p>
      <w:pPr>
        <w:pStyle w:val="ListParagraph"/>
        <w:numPr>
          <w:ilvl w:val="0"/>
          <w:numId w:val="2"/>
        </w:numPr>
        <w:spacing w:after="60"/>
      </w:pPr>
      <w:r>
        <w:rPr>
          <w:b/>
          <w:bCs/>
        </w:rPr>
        <w:t xml:space="preserve">“bed sheets cooling” 64 → 136, “sheets queen cooling” 37 → 85, “cooling fitted sheet full” 84 → 115, “cooling sheets for hot sleepers” 99 → 130. </w:t>
      </w:r>
      <w:r>
        <w:t xml:space="preserve">No stock cause in the brief. Check the listing and the rival now ahead, and hold 2209 until the cause is named.</w:t>
      </w:r>
    </w:p>
    <w:p>
      <w:pPr>
        <w:spacing w:after="100"/>
      </w:pPr>
      <w:r>
        <w:rPr>
          <w:b/>
          <w:bCs/>
          <w:color w:val="1F3A5F"/>
        </w:rPr>
        <w:t xml:space="preserve">Correction. </w:t>
      </w:r>
      <w:r>
        <w:t xml:space="preserve">Name the cause on each and load the Twin swap first. The freeze starts at 30 positions, while the 21 September rule was 10. Out of focus, “bamboo sheets king size” (24 → 35) and “cooling bed sheets” (21 → 35, 12,715 searches) are reshaped or held without a named cause.</w:t>
      </w:r>
    </w:p>
    <w:p>
      <w:pPr>
        <w:pStyle w:val="Heading1"/>
      </w:pPr>
      <w:r>
        <w:t xml:space="preserve">Part C — Across the run</w:t>
      </w:r>
    </w:p>
    <w:p>
      <w:pPr>
        <w:pStyle w:val="Heading1"/>
      </w:pPr>
      <w:r>
        <w:t xml:space="preserve">C1. What the deal and the last corrections did</w:t>
      </w:r>
    </w:p>
    <w:p>
      <w:pPr>
        <w:spacing w:after="100"/>
      </w:pPr>
      <w:r>
        <w:rPr>
          <w:b/>
          <w:bCs/>
          <w:color w:val="1F3A5F"/>
        </w:rPr>
        <w:t xml:space="preserve">The rule. </w:t>
      </w:r>
      <w:r>
        <w:t xml:space="preserve">Every write is a test. Verify what loaded (approved ≠ uploaded), then read what it did before sizing the next one.</w:t>
      </w:r>
    </w:p>
    <w:p>
      <w:pPr>
        <w:spacing w:after="100"/>
      </w:pPr>
      <w:r>
        <w:t xml:space="preserve">The 15/16 September round is the only price move that shows in the account. The effective top-of-search bid went from about $4.40 to $5.50, and top-of-search clicks from 94 to about 150 a day. Nothing moved after that. The second week had the same bid ($5.40) and slightly fewer top-of-search clicks, and product pages grew to match top of search. The jump on 09-27 is the second deal (26–30 September) starting, not a price move.</w:t>
      </w:r>
    </w:p>
    <w:p>
      <w:pPr>
        <w:spacing w:after="100"/>
      </w:pPr>
      <w:r>
        <w:t xml:space="preserve">None of the 21 September corrections for 09-24 is in the account:</w:t>
      </w:r>
    </w:p>
    <w:p>
      <w:pPr>
        <w:pStyle w:val="ListParagraph"/>
        <w:numPr>
          <w:ilvl w:val="0"/>
          <w:numId w:val="2"/>
        </w:numPr>
        <w:spacing w:after="60"/>
      </w:pPr>
      <w:r>
        <w:t xml:space="preserve">the flagship’s modifier is 299% at this audit (the correction wrote 419%);</w:t>
      </w:r>
    </w:p>
    <w:p>
      <w:pPr>
        <w:pStyle w:val="ListParagraph"/>
        <w:numPr>
          <w:ilvl w:val="0"/>
          <w:numId w:val="2"/>
        </w:numPr>
        <w:spacing w:after="60"/>
      </w:pPr>
      <w:r>
        <w:t xml:space="preserve">“Bamboo Sheets King Size” is at 210% (437%);</w:t>
      </w:r>
    </w:p>
    <w:p>
      <w:pPr>
        <w:pStyle w:val="ListParagraph"/>
        <w:numPr>
          <w:ilvl w:val="0"/>
          <w:numId w:val="2"/>
        </w:numPr>
        <w:spacing w:after="60"/>
      </w:pPr>
      <w:r>
        <w:t xml:space="preserve">“Bamboo Sheets Queen Size” is still on dynamic up-and-down bidding (the correction: fixed bids near $12).</w:t>
      </w:r>
    </w:p>
    <w:p>
      <w:pPr>
        <w:spacing w:after="100"/>
      </w:pPr>
      <w:r>
        <w:t xml:space="preserve">The 19 September review’s correction on “Cal King Bamboo Sheets” (276% → 389%) was not loaded either: the modifier is 276% today, and this run proposes 421%. The brief’s “previous run” is the 19 September run, and the 21 September run is not on record at all.</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200"/>
        <w:gridCol w:w="1350"/>
        <w:gridCol w:w="1350"/>
        <w:gridCol w:w="1350"/>
        <w:gridCol w:w="1350"/>
        <w:gridCol w:w="1372"/>
      </w:tblGrid>
      <w:tr>
        <w:trPr>
          <w:tblHeader/>
        </w:trPr>
        <w:tc>
          <w:tcPr>
            <w:tcW w:type="dxa" w:w="3200"/>
            <w:shd w:fill="1F3A5F" w:color="auto" w:val="clear"/>
            <w:tcMar>
              <w:top w:type="dxa" w:w="40"/>
              <w:left w:type="dxa" w:w="70"/>
              <w:bottom w:type="dxa" w:w="40"/>
              <w:right w:type="dxa" w:w="70"/>
            </w:tcMar>
          </w:tcPr>
          <w:p>
            <w:pPr>
              <w:spacing w:after="0"/>
            </w:pPr>
            <w:r>
              <w:rPr>
                <w:b/>
                <w:bCs/>
                <w:color w:val="FFFFFF"/>
                <w:sz w:val="17"/>
                <w:szCs w:val="17"/>
              </w:rPr>
              <w:t xml:space="preserve">Group (7-day median organic rank)</w:t>
            </w:r>
          </w:p>
        </w:tc>
        <w:tc>
          <w:tcPr>
            <w:tcW w:type="dxa" w:w="1350"/>
            <w:shd w:fill="1F3A5F" w:color="auto" w:val="clear"/>
            <w:tcMar>
              <w:top w:type="dxa" w:w="40"/>
              <w:left w:type="dxa" w:w="70"/>
              <w:bottom w:type="dxa" w:w="40"/>
              <w:right w:type="dxa" w:w="70"/>
            </w:tcMar>
          </w:tcPr>
          <w:p>
            <w:pPr>
              <w:spacing w:after="0"/>
            </w:pPr>
            <w:r>
              <w:rPr>
                <w:b/>
                <w:bCs/>
                <w:color w:val="FFFFFF"/>
                <w:sz w:val="17"/>
                <w:szCs w:val="17"/>
              </w:rPr>
              <w:t xml:space="preserve">30 Aug</w:t>
            </w:r>
          </w:p>
        </w:tc>
        <w:tc>
          <w:tcPr>
            <w:tcW w:type="dxa" w:w="1350"/>
            <w:shd w:fill="1F3A5F" w:color="auto" w:val="clear"/>
            <w:tcMar>
              <w:top w:type="dxa" w:w="40"/>
              <w:left w:type="dxa" w:w="70"/>
              <w:bottom w:type="dxa" w:w="40"/>
              <w:right w:type="dxa" w:w="70"/>
            </w:tcMar>
          </w:tcPr>
          <w:p>
            <w:pPr>
              <w:spacing w:after="0"/>
            </w:pPr>
            <w:r>
              <w:rPr>
                <w:b/>
                <w:bCs/>
                <w:color w:val="FFFFFF"/>
                <w:sz w:val="17"/>
                <w:szCs w:val="17"/>
              </w:rPr>
              <w:t xml:space="preserve">14 Sep (deal start)</w:t>
            </w:r>
          </w:p>
        </w:tc>
        <w:tc>
          <w:tcPr>
            <w:tcW w:type="dxa" w:w="1350"/>
            <w:shd w:fill="1F3A5F" w:color="auto" w:val="clear"/>
            <w:tcMar>
              <w:top w:type="dxa" w:w="40"/>
              <w:left w:type="dxa" w:w="70"/>
              <w:bottom w:type="dxa" w:w="40"/>
              <w:right w:type="dxa" w:w="70"/>
            </w:tcMar>
          </w:tcPr>
          <w:p>
            <w:pPr>
              <w:spacing w:after="0"/>
            </w:pPr>
            <w:r>
              <w:rPr>
                <w:b/>
                <w:bCs/>
                <w:color w:val="FFFFFF"/>
                <w:sz w:val="17"/>
                <w:szCs w:val="17"/>
              </w:rPr>
              <w:t xml:space="preserve">21 Sep</w:t>
            </w:r>
          </w:p>
        </w:tc>
        <w:tc>
          <w:tcPr>
            <w:tcW w:type="dxa" w:w="1350"/>
            <w:shd w:fill="1F3A5F" w:color="auto" w:val="clear"/>
            <w:tcMar>
              <w:top w:type="dxa" w:w="40"/>
              <w:left w:type="dxa" w:w="70"/>
              <w:bottom w:type="dxa" w:w="40"/>
              <w:right w:type="dxa" w:w="70"/>
            </w:tcMar>
          </w:tcPr>
          <w:p>
            <w:pPr>
              <w:spacing w:after="0"/>
            </w:pPr>
            <w:r>
              <w:rPr>
                <w:b/>
                <w:bCs/>
                <w:color w:val="FFFFFF"/>
                <w:sz w:val="17"/>
                <w:szCs w:val="17"/>
              </w:rPr>
              <w:t xml:space="preserve">28 Sep (deal end)</w:t>
            </w:r>
          </w:p>
        </w:tc>
        <w:tc>
          <w:tcPr>
            <w:tcW w:type="dxa" w:w="1372"/>
            <w:shd w:fill="1F3A5F" w:color="auto" w:val="clear"/>
            <w:tcMar>
              <w:top w:type="dxa" w:w="40"/>
              <w:left w:type="dxa" w:w="70"/>
              <w:bottom w:type="dxa" w:w="40"/>
              <w:right w:type="dxa" w:w="70"/>
            </w:tcMar>
          </w:tcPr>
          <w:p>
            <w:pPr>
              <w:spacing w:after="0"/>
            </w:pPr>
            <w:r>
              <w:rPr>
                <w:b/>
                <w:bCs/>
                <w:color w:val="FFFFFF"/>
                <w:sz w:val="17"/>
                <w:szCs w:val="17"/>
              </w:rPr>
              <w:t xml:space="preserve">Deal move</w:t>
            </w:r>
          </w:p>
        </w:tc>
      </w:tr>
      <w:tr>
        <w:tc>
          <w:tcPr>
            <w:tcW w:type="dxa" w:w="3200"/>
            <w:shd w:fill="FFFFFF" w:color="auto" w:val="clear"/>
            <w:tcMar>
              <w:top w:type="dxa" w:w="40"/>
              <w:left w:type="dxa" w:w="70"/>
              <w:bottom w:type="dxa" w:w="40"/>
              <w:right w:type="dxa" w:w="70"/>
            </w:tcMar>
          </w:tcPr>
          <w:p>
            <w:pPr>
              <w:spacing w:after="0"/>
            </w:pPr>
            <w:r>
              <w:rPr>
                <w:sz w:val="17"/>
                <w:szCs w:val="17"/>
              </w:rPr>
              <w:t xml:space="preserve">Bamboo</w:t>
            </w:r>
          </w:p>
        </w:tc>
        <w:tc>
          <w:tcPr>
            <w:tcW w:type="dxa" w:w="1350"/>
            <w:shd w:fill="FFFFFF" w:color="auto" w:val="clear"/>
            <w:tcMar>
              <w:top w:type="dxa" w:w="40"/>
              <w:left w:type="dxa" w:w="70"/>
              <w:bottom w:type="dxa" w:w="40"/>
              <w:right w:type="dxa" w:w="70"/>
            </w:tcMar>
          </w:tcPr>
          <w:p>
            <w:pPr>
              <w:spacing w:after="0"/>
            </w:pPr>
            <w:r>
              <w:rPr>
                <w:sz w:val="17"/>
                <w:szCs w:val="17"/>
              </w:rPr>
              <w:t xml:space="preserve">31</w:t>
            </w:r>
          </w:p>
        </w:tc>
        <w:tc>
          <w:tcPr>
            <w:tcW w:type="dxa" w:w="1350"/>
            <w:shd w:fill="FFFFFF" w:color="auto" w:val="clear"/>
            <w:tcMar>
              <w:top w:type="dxa" w:w="40"/>
              <w:left w:type="dxa" w:w="70"/>
              <w:bottom w:type="dxa" w:w="40"/>
              <w:right w:type="dxa" w:w="70"/>
            </w:tcMar>
          </w:tcPr>
          <w:p>
            <w:pPr>
              <w:spacing w:after="0"/>
            </w:pPr>
            <w:r>
              <w:rPr>
                <w:sz w:val="17"/>
                <w:szCs w:val="17"/>
              </w:rPr>
              <w:t xml:space="preserve">35</w:t>
            </w:r>
          </w:p>
        </w:tc>
        <w:tc>
          <w:tcPr>
            <w:tcW w:type="dxa" w:w="1350"/>
            <w:shd w:fill="FFFFFF" w:color="auto" w:val="clear"/>
            <w:tcMar>
              <w:top w:type="dxa" w:w="40"/>
              <w:left w:type="dxa" w:w="70"/>
              <w:bottom w:type="dxa" w:w="40"/>
              <w:right w:type="dxa" w:w="70"/>
            </w:tcMar>
          </w:tcPr>
          <w:p>
            <w:pPr>
              <w:spacing w:after="0"/>
            </w:pPr>
            <w:r>
              <w:rPr>
                <w:sz w:val="17"/>
                <w:szCs w:val="17"/>
              </w:rPr>
              <w:t xml:space="preserve">34</w:t>
            </w:r>
          </w:p>
        </w:tc>
        <w:tc>
          <w:tcPr>
            <w:tcW w:type="dxa" w:w="1350"/>
            <w:shd w:fill="FFFFFF" w:color="auto" w:val="clear"/>
            <w:tcMar>
              <w:top w:type="dxa" w:w="40"/>
              <w:left w:type="dxa" w:w="70"/>
              <w:bottom w:type="dxa" w:w="40"/>
              <w:right w:type="dxa" w:w="70"/>
            </w:tcMar>
          </w:tcPr>
          <w:p>
            <w:pPr>
              <w:spacing w:after="0"/>
            </w:pPr>
            <w:r>
              <w:rPr>
                <w:sz w:val="17"/>
                <w:szCs w:val="17"/>
              </w:rPr>
              <w:t xml:space="preserve">33</w:t>
            </w:r>
          </w:p>
        </w:tc>
        <w:tc>
          <w:tcPr>
            <w:tcW w:type="dxa" w:w="1372"/>
            <w:shd w:fill="FFFFFF" w:color="auto" w:val="clear"/>
            <w:tcMar>
              <w:top w:type="dxa" w:w="40"/>
              <w:left w:type="dxa" w:w="70"/>
              <w:bottom w:type="dxa" w:w="40"/>
              <w:right w:type="dxa" w:w="70"/>
            </w:tcMar>
          </w:tcPr>
          <w:p>
            <w:pPr>
              <w:spacing w:after="0"/>
            </w:pPr>
            <w:r>
              <w:rPr>
                <w:sz w:val="17"/>
                <w:szCs w:val="17"/>
              </w:rPr>
              <w:t xml:space="preserve">+2</w:t>
            </w:r>
          </w:p>
        </w:tc>
      </w:tr>
      <w:tr>
        <w:tc>
          <w:tcPr>
            <w:tcW w:type="dxa" w:w="3200"/>
            <w:shd w:fill="F2F5F9" w:color="auto" w:val="clear"/>
            <w:tcMar>
              <w:top w:type="dxa" w:w="40"/>
              <w:left w:type="dxa" w:w="70"/>
              <w:bottom w:type="dxa" w:w="40"/>
              <w:right w:type="dxa" w:w="70"/>
            </w:tcMar>
          </w:tcPr>
          <w:p>
            <w:pPr>
              <w:spacing w:after="0"/>
            </w:pPr>
            <w:r>
              <w:rPr>
                <w:sz w:val="17"/>
                <w:szCs w:val="17"/>
              </w:rPr>
              <w:t xml:space="preserve">Bamboo|Queen</w:t>
            </w:r>
          </w:p>
        </w:tc>
        <w:tc>
          <w:tcPr>
            <w:tcW w:type="dxa" w:w="1350"/>
            <w:shd w:fill="F2F5F9" w:color="auto" w:val="clear"/>
            <w:tcMar>
              <w:top w:type="dxa" w:w="40"/>
              <w:left w:type="dxa" w:w="70"/>
              <w:bottom w:type="dxa" w:w="40"/>
              <w:right w:type="dxa" w:w="70"/>
            </w:tcMar>
          </w:tcPr>
          <w:p>
            <w:pPr>
              <w:spacing w:after="0"/>
            </w:pPr>
            <w:r>
              <w:rPr>
                <w:sz w:val="17"/>
                <w:szCs w:val="17"/>
              </w:rPr>
              <w:t xml:space="preserve">39</w:t>
            </w:r>
          </w:p>
        </w:tc>
        <w:tc>
          <w:tcPr>
            <w:tcW w:type="dxa" w:w="1350"/>
            <w:shd w:fill="F2F5F9" w:color="auto" w:val="clear"/>
            <w:tcMar>
              <w:top w:type="dxa" w:w="40"/>
              <w:left w:type="dxa" w:w="70"/>
              <w:bottom w:type="dxa" w:w="40"/>
              <w:right w:type="dxa" w:w="70"/>
            </w:tcMar>
          </w:tcPr>
          <w:p>
            <w:pPr>
              <w:spacing w:after="0"/>
            </w:pPr>
            <w:r>
              <w:rPr>
                <w:sz w:val="17"/>
                <w:szCs w:val="17"/>
              </w:rPr>
              <w:t xml:space="preserve">44</w:t>
            </w:r>
          </w:p>
        </w:tc>
        <w:tc>
          <w:tcPr>
            <w:tcW w:type="dxa" w:w="1350"/>
            <w:shd w:fill="F2F5F9" w:color="auto" w:val="clear"/>
            <w:tcMar>
              <w:top w:type="dxa" w:w="40"/>
              <w:left w:type="dxa" w:w="70"/>
              <w:bottom w:type="dxa" w:w="40"/>
              <w:right w:type="dxa" w:w="70"/>
            </w:tcMar>
          </w:tcPr>
          <w:p>
            <w:pPr>
              <w:spacing w:after="0"/>
            </w:pPr>
            <w:r>
              <w:rPr>
                <w:sz w:val="17"/>
                <w:szCs w:val="17"/>
              </w:rPr>
              <w:t xml:space="preserve">43</w:t>
            </w:r>
          </w:p>
        </w:tc>
        <w:tc>
          <w:tcPr>
            <w:tcW w:type="dxa" w:w="1350"/>
            <w:shd w:fill="F2F5F9" w:color="auto" w:val="clear"/>
            <w:tcMar>
              <w:top w:type="dxa" w:w="40"/>
              <w:left w:type="dxa" w:w="70"/>
              <w:bottom w:type="dxa" w:w="40"/>
              <w:right w:type="dxa" w:w="70"/>
            </w:tcMar>
          </w:tcPr>
          <w:p>
            <w:pPr>
              <w:spacing w:after="0"/>
            </w:pPr>
            <w:r>
              <w:rPr>
                <w:sz w:val="17"/>
                <w:szCs w:val="17"/>
              </w:rPr>
              <w:t xml:space="preserve">43</w:t>
            </w:r>
          </w:p>
        </w:tc>
        <w:tc>
          <w:tcPr>
            <w:tcW w:type="dxa" w:w="1372"/>
            <w:shd w:fill="F2F5F9" w:color="auto" w:val="clear"/>
            <w:tcMar>
              <w:top w:type="dxa" w:w="40"/>
              <w:left w:type="dxa" w:w="70"/>
              <w:bottom w:type="dxa" w:w="40"/>
              <w:right w:type="dxa" w:w="70"/>
            </w:tcMar>
          </w:tcPr>
          <w:p>
            <w:pPr>
              <w:spacing w:after="0"/>
            </w:pPr>
            <w:r>
              <w:rPr>
                <w:sz w:val="17"/>
                <w:szCs w:val="17"/>
              </w:rPr>
              <w:t xml:space="preserve">+1</w:t>
            </w:r>
          </w:p>
        </w:tc>
      </w:tr>
      <w:tr>
        <w:tc>
          <w:tcPr>
            <w:tcW w:type="dxa" w:w="3200"/>
            <w:shd w:fill="FFFFFF" w:color="auto" w:val="clear"/>
            <w:tcMar>
              <w:top w:type="dxa" w:w="40"/>
              <w:left w:type="dxa" w:w="70"/>
              <w:bottom w:type="dxa" w:w="40"/>
              <w:right w:type="dxa" w:w="70"/>
            </w:tcMar>
          </w:tcPr>
          <w:p>
            <w:pPr>
              <w:spacing w:after="0"/>
            </w:pPr>
            <w:r>
              <w:rPr>
                <w:sz w:val="17"/>
                <w:szCs w:val="17"/>
              </w:rPr>
              <w:t xml:space="preserve">Bamboo|King</w:t>
            </w:r>
          </w:p>
        </w:tc>
        <w:tc>
          <w:tcPr>
            <w:tcW w:type="dxa" w:w="1350"/>
            <w:shd w:fill="FFFFFF" w:color="auto" w:val="clear"/>
            <w:tcMar>
              <w:top w:type="dxa" w:w="40"/>
              <w:left w:type="dxa" w:w="70"/>
              <w:bottom w:type="dxa" w:w="40"/>
              <w:right w:type="dxa" w:w="70"/>
            </w:tcMar>
          </w:tcPr>
          <w:p>
            <w:pPr>
              <w:spacing w:after="0"/>
            </w:pPr>
            <w:r>
              <w:rPr>
                <w:sz w:val="17"/>
                <w:szCs w:val="17"/>
              </w:rPr>
              <w:t xml:space="preserve">29</w:t>
            </w:r>
          </w:p>
        </w:tc>
        <w:tc>
          <w:tcPr>
            <w:tcW w:type="dxa" w:w="1350"/>
            <w:shd w:fill="FFFFFF" w:color="auto" w:val="clear"/>
            <w:tcMar>
              <w:top w:type="dxa" w:w="40"/>
              <w:left w:type="dxa" w:w="70"/>
              <w:bottom w:type="dxa" w:w="40"/>
              <w:right w:type="dxa" w:w="70"/>
            </w:tcMar>
          </w:tcPr>
          <w:p>
            <w:pPr>
              <w:spacing w:after="0"/>
            </w:pPr>
            <w:r>
              <w:rPr>
                <w:sz w:val="17"/>
                <w:szCs w:val="17"/>
              </w:rPr>
              <w:t xml:space="preserve">31</w:t>
            </w:r>
          </w:p>
        </w:tc>
        <w:tc>
          <w:tcPr>
            <w:tcW w:type="dxa" w:w="1350"/>
            <w:shd w:fill="FFFFFF" w:color="auto" w:val="clear"/>
            <w:tcMar>
              <w:top w:type="dxa" w:w="40"/>
              <w:left w:type="dxa" w:w="70"/>
              <w:bottom w:type="dxa" w:w="40"/>
              <w:right w:type="dxa" w:w="70"/>
            </w:tcMar>
          </w:tcPr>
          <w:p>
            <w:pPr>
              <w:spacing w:after="0"/>
            </w:pPr>
            <w:r>
              <w:rPr>
                <w:sz w:val="17"/>
                <w:szCs w:val="17"/>
              </w:rPr>
              <w:t xml:space="preserve">26</w:t>
            </w:r>
          </w:p>
        </w:tc>
        <w:tc>
          <w:tcPr>
            <w:tcW w:type="dxa" w:w="1350"/>
            <w:shd w:fill="FFFFFF" w:color="auto" w:val="clear"/>
            <w:tcMar>
              <w:top w:type="dxa" w:w="40"/>
              <w:left w:type="dxa" w:w="70"/>
              <w:bottom w:type="dxa" w:w="40"/>
              <w:right w:type="dxa" w:w="70"/>
            </w:tcMar>
          </w:tcPr>
          <w:p>
            <w:pPr>
              <w:spacing w:after="0"/>
            </w:pPr>
            <w:r>
              <w:rPr>
                <w:sz w:val="17"/>
                <w:szCs w:val="17"/>
              </w:rPr>
              <w:t xml:space="preserve">27</w:t>
            </w:r>
          </w:p>
        </w:tc>
        <w:tc>
          <w:tcPr>
            <w:tcW w:type="dxa" w:w="1372"/>
            <w:shd w:fill="FFFFFF" w:color="auto" w:val="clear"/>
            <w:tcMar>
              <w:top w:type="dxa" w:w="40"/>
              <w:left w:type="dxa" w:w="70"/>
              <w:bottom w:type="dxa" w:w="40"/>
              <w:right w:type="dxa" w:w="70"/>
            </w:tcMar>
          </w:tcPr>
          <w:p>
            <w:pPr>
              <w:spacing w:after="0"/>
            </w:pPr>
            <w:r>
              <w:rPr>
                <w:sz w:val="17"/>
                <w:szCs w:val="17"/>
              </w:rPr>
              <w:t xml:space="preserve">+4</w:t>
            </w:r>
          </w:p>
        </w:tc>
      </w:tr>
      <w:tr>
        <w:tc>
          <w:tcPr>
            <w:tcW w:type="dxa" w:w="3200"/>
            <w:shd w:fill="F2F5F9" w:color="auto" w:val="clear"/>
            <w:tcMar>
              <w:top w:type="dxa" w:w="40"/>
              <w:left w:type="dxa" w:w="70"/>
              <w:bottom w:type="dxa" w:w="40"/>
              <w:right w:type="dxa" w:w="70"/>
            </w:tcMar>
          </w:tcPr>
          <w:p>
            <w:pPr>
              <w:spacing w:after="0"/>
            </w:pPr>
            <w:r>
              <w:rPr>
                <w:sz w:val="17"/>
                <w:szCs w:val="17"/>
              </w:rPr>
              <w:t xml:space="preserve">Bamboo|Cooling (focus)</w:t>
            </w:r>
          </w:p>
        </w:tc>
        <w:tc>
          <w:tcPr>
            <w:tcW w:type="dxa" w:w="1350"/>
            <w:shd w:fill="F2F5F9" w:color="auto" w:val="clear"/>
            <w:tcMar>
              <w:top w:type="dxa" w:w="40"/>
              <w:left w:type="dxa" w:w="70"/>
              <w:bottom w:type="dxa" w:w="40"/>
              <w:right w:type="dxa" w:w="70"/>
            </w:tcMar>
          </w:tcPr>
          <w:p>
            <w:pPr>
              <w:spacing w:after="0"/>
            </w:pPr>
            <w:r>
              <w:rPr>
                <w:sz w:val="17"/>
                <w:szCs w:val="17"/>
              </w:rPr>
              <w:t xml:space="preserve">34</w:t>
            </w:r>
          </w:p>
        </w:tc>
        <w:tc>
          <w:tcPr>
            <w:tcW w:type="dxa" w:w="1350"/>
            <w:shd w:fill="F2F5F9" w:color="auto" w:val="clear"/>
            <w:tcMar>
              <w:top w:type="dxa" w:w="40"/>
              <w:left w:type="dxa" w:w="70"/>
              <w:bottom w:type="dxa" w:w="40"/>
              <w:right w:type="dxa" w:w="70"/>
            </w:tcMar>
          </w:tcPr>
          <w:p>
            <w:pPr>
              <w:spacing w:after="0"/>
            </w:pPr>
            <w:r>
              <w:rPr>
                <w:sz w:val="17"/>
                <w:szCs w:val="17"/>
              </w:rPr>
              <w:t xml:space="preserve">36</w:t>
            </w:r>
          </w:p>
        </w:tc>
        <w:tc>
          <w:tcPr>
            <w:tcW w:type="dxa" w:w="1350"/>
            <w:shd w:fill="F2F5F9" w:color="auto" w:val="clear"/>
            <w:tcMar>
              <w:top w:type="dxa" w:w="40"/>
              <w:left w:type="dxa" w:w="70"/>
              <w:bottom w:type="dxa" w:w="40"/>
              <w:right w:type="dxa" w:w="70"/>
            </w:tcMar>
          </w:tcPr>
          <w:p>
            <w:pPr>
              <w:spacing w:after="0"/>
            </w:pPr>
            <w:r>
              <w:rPr>
                <w:sz w:val="17"/>
                <w:szCs w:val="17"/>
              </w:rPr>
              <w:t xml:space="preserve">26</w:t>
            </w:r>
          </w:p>
        </w:tc>
        <w:tc>
          <w:tcPr>
            <w:tcW w:type="dxa" w:w="1350"/>
            <w:shd w:fill="F2F5F9" w:color="auto" w:val="clear"/>
            <w:tcMar>
              <w:top w:type="dxa" w:w="40"/>
              <w:left w:type="dxa" w:w="70"/>
              <w:bottom w:type="dxa" w:w="40"/>
              <w:right w:type="dxa" w:w="70"/>
            </w:tcMar>
          </w:tcPr>
          <w:p>
            <w:pPr>
              <w:spacing w:after="0"/>
            </w:pPr>
            <w:r>
              <w:rPr>
                <w:sz w:val="17"/>
                <w:szCs w:val="17"/>
              </w:rPr>
              <w:t xml:space="preserve">31</w:t>
            </w:r>
          </w:p>
        </w:tc>
        <w:tc>
          <w:tcPr>
            <w:tcW w:type="dxa" w:w="1372"/>
            <w:shd w:fill="F2F5F9" w:color="auto" w:val="clear"/>
            <w:tcMar>
              <w:top w:type="dxa" w:w="40"/>
              <w:left w:type="dxa" w:w="70"/>
              <w:bottom w:type="dxa" w:w="40"/>
              <w:right w:type="dxa" w:w="70"/>
            </w:tcMar>
          </w:tcPr>
          <w:p>
            <w:pPr>
              <w:spacing w:after="0"/>
            </w:pPr>
            <w:r>
              <w:rPr>
                <w:sz w:val="17"/>
                <w:szCs w:val="17"/>
              </w:rPr>
              <w:t xml:space="preserve">+5 (+10 mid-deal)</w:t>
            </w:r>
          </w:p>
        </w:tc>
      </w:tr>
      <w:tr>
        <w:tc>
          <w:tcPr>
            <w:tcW w:type="dxa" w:w="3200"/>
            <w:shd w:fill="FFFFFF" w:color="auto" w:val="clear"/>
            <w:tcMar>
              <w:top w:type="dxa" w:w="40"/>
              <w:left w:type="dxa" w:w="70"/>
              <w:bottom w:type="dxa" w:w="40"/>
              <w:right w:type="dxa" w:w="70"/>
            </w:tcMar>
          </w:tcPr>
          <w:p>
            <w:pPr>
              <w:spacing w:after="0"/>
            </w:pPr>
            <w:r>
              <w:rPr>
                <w:sz w:val="17"/>
                <w:szCs w:val="17"/>
              </w:rPr>
              <w:t xml:space="preserve">Bamboo|California King (focus)</w:t>
            </w:r>
          </w:p>
        </w:tc>
        <w:tc>
          <w:tcPr>
            <w:tcW w:type="dxa" w:w="1350"/>
            <w:shd w:fill="FFFFFF" w:color="auto" w:val="clear"/>
            <w:tcMar>
              <w:top w:type="dxa" w:w="40"/>
              <w:left w:type="dxa" w:w="70"/>
              <w:bottom w:type="dxa" w:w="40"/>
              <w:right w:type="dxa" w:w="70"/>
            </w:tcMar>
          </w:tcPr>
          <w:p>
            <w:pPr>
              <w:spacing w:after="0"/>
            </w:pPr>
            <w:r>
              <w:rPr>
                <w:sz w:val="17"/>
                <w:szCs w:val="17"/>
              </w:rPr>
              <w:t xml:space="preserve">16</w:t>
            </w:r>
          </w:p>
        </w:tc>
        <w:tc>
          <w:tcPr>
            <w:tcW w:type="dxa" w:w="1350"/>
            <w:shd w:fill="FFFFFF" w:color="auto" w:val="clear"/>
            <w:tcMar>
              <w:top w:type="dxa" w:w="40"/>
              <w:left w:type="dxa" w:w="70"/>
              <w:bottom w:type="dxa" w:w="40"/>
              <w:right w:type="dxa" w:w="70"/>
            </w:tcMar>
          </w:tcPr>
          <w:p>
            <w:pPr>
              <w:spacing w:after="0"/>
            </w:pPr>
            <w:r>
              <w:rPr>
                <w:sz w:val="17"/>
                <w:szCs w:val="17"/>
              </w:rPr>
              <w:t xml:space="preserve">19</w:t>
            </w:r>
          </w:p>
        </w:tc>
        <w:tc>
          <w:tcPr>
            <w:tcW w:type="dxa" w:w="1350"/>
            <w:shd w:fill="FFFFFF" w:color="auto" w:val="clear"/>
            <w:tcMar>
              <w:top w:type="dxa" w:w="40"/>
              <w:left w:type="dxa" w:w="70"/>
              <w:bottom w:type="dxa" w:w="40"/>
              <w:right w:type="dxa" w:w="70"/>
            </w:tcMar>
          </w:tcPr>
          <w:p>
            <w:pPr>
              <w:spacing w:after="0"/>
            </w:pPr>
            <w:r>
              <w:rPr>
                <w:sz w:val="17"/>
                <w:szCs w:val="17"/>
              </w:rPr>
              <w:t xml:space="preserve">20</w:t>
            </w:r>
          </w:p>
        </w:tc>
        <w:tc>
          <w:tcPr>
            <w:tcW w:type="dxa" w:w="1350"/>
            <w:shd w:fill="FFFFFF" w:color="auto" w:val="clear"/>
            <w:tcMar>
              <w:top w:type="dxa" w:w="40"/>
              <w:left w:type="dxa" w:w="70"/>
              <w:bottom w:type="dxa" w:w="40"/>
              <w:right w:type="dxa" w:w="70"/>
            </w:tcMar>
          </w:tcPr>
          <w:p>
            <w:pPr>
              <w:spacing w:after="0"/>
            </w:pPr>
            <w:r>
              <w:rPr>
                <w:sz w:val="17"/>
                <w:szCs w:val="17"/>
              </w:rPr>
              <w:t xml:space="preserve">17</w:t>
            </w:r>
          </w:p>
        </w:tc>
        <w:tc>
          <w:tcPr>
            <w:tcW w:type="dxa" w:w="1372"/>
            <w:shd w:fill="FFFFFF" w:color="auto" w:val="clear"/>
            <w:tcMar>
              <w:top w:type="dxa" w:w="40"/>
              <w:left w:type="dxa" w:w="70"/>
              <w:bottom w:type="dxa" w:w="40"/>
              <w:right w:type="dxa" w:w="70"/>
            </w:tcMar>
          </w:tcPr>
          <w:p>
            <w:pPr>
              <w:spacing w:after="0"/>
            </w:pPr>
            <w:r>
              <w:rPr>
                <w:sz w:val="17"/>
                <w:szCs w:val="17"/>
              </w:rPr>
              <w:t xml:space="preserve">+2</w:t>
            </w:r>
          </w:p>
        </w:tc>
      </w:tr>
      <w:tr>
        <w:tc>
          <w:tcPr>
            <w:tcW w:type="dxa" w:w="3200"/>
            <w:shd w:fill="F2F5F9" w:color="auto" w:val="clear"/>
            <w:tcMar>
              <w:top w:type="dxa" w:w="40"/>
              <w:left w:type="dxa" w:w="70"/>
              <w:bottom w:type="dxa" w:w="40"/>
              <w:right w:type="dxa" w:w="70"/>
            </w:tcMar>
          </w:tcPr>
          <w:p>
            <w:pPr>
              <w:spacing w:after="0"/>
            </w:pPr>
            <w:r>
              <w:rPr>
                <w:sz w:val="17"/>
                <w:szCs w:val="17"/>
              </w:rPr>
              <w:t xml:space="preserve">Cooling</w:t>
            </w:r>
          </w:p>
        </w:tc>
        <w:tc>
          <w:tcPr>
            <w:tcW w:type="dxa" w:w="1350"/>
            <w:shd w:fill="F2F5F9" w:color="auto" w:val="clear"/>
            <w:tcMar>
              <w:top w:type="dxa" w:w="40"/>
              <w:left w:type="dxa" w:w="70"/>
              <w:bottom w:type="dxa" w:w="40"/>
              <w:right w:type="dxa" w:w="70"/>
            </w:tcMar>
          </w:tcPr>
          <w:p>
            <w:pPr>
              <w:spacing w:after="0"/>
            </w:pPr>
            <w:r>
              <w:rPr>
                <w:sz w:val="17"/>
                <w:szCs w:val="17"/>
              </w:rPr>
              <w:t xml:space="preserve">62</w:t>
            </w:r>
          </w:p>
        </w:tc>
        <w:tc>
          <w:tcPr>
            <w:tcW w:type="dxa" w:w="1350"/>
            <w:shd w:fill="F2F5F9" w:color="auto" w:val="clear"/>
            <w:tcMar>
              <w:top w:type="dxa" w:w="40"/>
              <w:left w:type="dxa" w:w="70"/>
              <w:bottom w:type="dxa" w:w="40"/>
              <w:right w:type="dxa" w:w="70"/>
            </w:tcMar>
          </w:tcPr>
          <w:p>
            <w:pPr>
              <w:spacing w:after="0"/>
            </w:pPr>
            <w:r>
              <w:rPr>
                <w:sz w:val="17"/>
                <w:szCs w:val="17"/>
              </w:rPr>
              <w:t xml:space="preserve">68</w:t>
            </w:r>
          </w:p>
        </w:tc>
        <w:tc>
          <w:tcPr>
            <w:tcW w:type="dxa" w:w="1350"/>
            <w:shd w:fill="F2F5F9" w:color="auto" w:val="clear"/>
            <w:tcMar>
              <w:top w:type="dxa" w:w="40"/>
              <w:left w:type="dxa" w:w="70"/>
              <w:bottom w:type="dxa" w:w="40"/>
              <w:right w:type="dxa" w:w="70"/>
            </w:tcMar>
          </w:tcPr>
          <w:p>
            <w:pPr>
              <w:spacing w:after="0"/>
            </w:pPr>
            <w:r>
              <w:rPr>
                <w:sz w:val="17"/>
                <w:szCs w:val="17"/>
              </w:rPr>
              <w:t xml:space="preserve">56</w:t>
            </w:r>
          </w:p>
        </w:tc>
        <w:tc>
          <w:tcPr>
            <w:tcW w:type="dxa" w:w="1350"/>
            <w:shd w:fill="F2F5F9" w:color="auto" w:val="clear"/>
            <w:tcMar>
              <w:top w:type="dxa" w:w="40"/>
              <w:left w:type="dxa" w:w="70"/>
              <w:bottom w:type="dxa" w:w="40"/>
              <w:right w:type="dxa" w:w="70"/>
            </w:tcMar>
          </w:tcPr>
          <w:p>
            <w:pPr>
              <w:spacing w:after="0"/>
            </w:pPr>
            <w:r>
              <w:rPr>
                <w:sz w:val="17"/>
                <w:szCs w:val="17"/>
              </w:rPr>
              <w:t xml:space="preserve">52</w:t>
            </w:r>
          </w:p>
        </w:tc>
        <w:tc>
          <w:tcPr>
            <w:tcW w:type="dxa" w:w="1372"/>
            <w:shd w:fill="F2F5F9" w:color="auto" w:val="clear"/>
            <w:tcMar>
              <w:top w:type="dxa" w:w="40"/>
              <w:left w:type="dxa" w:w="70"/>
              <w:bottom w:type="dxa" w:w="40"/>
              <w:right w:type="dxa" w:w="70"/>
            </w:tcMar>
          </w:tcPr>
          <w:p>
            <w:pPr>
              <w:spacing w:after="0"/>
            </w:pPr>
            <w:r>
              <w:rPr>
                <w:sz w:val="17"/>
                <w:szCs w:val="17"/>
              </w:rPr>
              <w:t xml:space="preserve">+16</w:t>
            </w:r>
          </w:p>
        </w:tc>
      </w:tr>
      <w:tr>
        <w:tc>
          <w:tcPr>
            <w:tcW w:type="dxa" w:w="3200"/>
            <w:shd w:fill="FFFFFF" w:color="auto" w:val="clear"/>
            <w:tcMar>
              <w:top w:type="dxa" w:w="40"/>
              <w:left w:type="dxa" w:w="70"/>
              <w:bottom w:type="dxa" w:w="40"/>
              <w:right w:type="dxa" w:w="70"/>
            </w:tcMar>
          </w:tcPr>
          <w:p>
            <w:pPr>
              <w:spacing w:after="0"/>
            </w:pPr>
            <w:r>
              <w:rPr>
                <w:sz w:val="17"/>
                <w:szCs w:val="17"/>
              </w:rPr>
              <w:t xml:space="preserve">Cooling|King</w:t>
            </w:r>
          </w:p>
        </w:tc>
        <w:tc>
          <w:tcPr>
            <w:tcW w:type="dxa" w:w="1350"/>
            <w:shd w:fill="FFFFFF" w:color="auto" w:val="clear"/>
            <w:tcMar>
              <w:top w:type="dxa" w:w="40"/>
              <w:left w:type="dxa" w:w="70"/>
              <w:bottom w:type="dxa" w:w="40"/>
              <w:right w:type="dxa" w:w="70"/>
            </w:tcMar>
          </w:tcPr>
          <w:p>
            <w:pPr>
              <w:spacing w:after="0"/>
            </w:pPr>
            <w:r>
              <w:rPr>
                <w:sz w:val="17"/>
                <w:szCs w:val="17"/>
              </w:rPr>
              <w:t xml:space="preserve">67</w:t>
            </w:r>
          </w:p>
        </w:tc>
        <w:tc>
          <w:tcPr>
            <w:tcW w:type="dxa" w:w="1350"/>
            <w:shd w:fill="FFFFFF" w:color="auto" w:val="clear"/>
            <w:tcMar>
              <w:top w:type="dxa" w:w="40"/>
              <w:left w:type="dxa" w:w="70"/>
              <w:bottom w:type="dxa" w:w="40"/>
              <w:right w:type="dxa" w:w="70"/>
            </w:tcMar>
          </w:tcPr>
          <w:p>
            <w:pPr>
              <w:spacing w:after="0"/>
            </w:pPr>
            <w:r>
              <w:rPr>
                <w:sz w:val="17"/>
                <w:szCs w:val="17"/>
              </w:rPr>
              <w:t xml:space="preserve">73</w:t>
            </w:r>
          </w:p>
        </w:tc>
        <w:tc>
          <w:tcPr>
            <w:tcW w:type="dxa" w:w="1350"/>
            <w:shd w:fill="FFFFFF" w:color="auto" w:val="clear"/>
            <w:tcMar>
              <w:top w:type="dxa" w:w="40"/>
              <w:left w:type="dxa" w:w="70"/>
              <w:bottom w:type="dxa" w:w="40"/>
              <w:right w:type="dxa" w:w="70"/>
            </w:tcMar>
          </w:tcPr>
          <w:p>
            <w:pPr>
              <w:spacing w:after="0"/>
            </w:pPr>
            <w:r>
              <w:rPr>
                <w:sz w:val="17"/>
                <w:szCs w:val="17"/>
              </w:rPr>
              <w:t xml:space="preserve">54</w:t>
            </w:r>
          </w:p>
        </w:tc>
        <w:tc>
          <w:tcPr>
            <w:tcW w:type="dxa" w:w="1350"/>
            <w:shd w:fill="FFFFFF" w:color="auto" w:val="clear"/>
            <w:tcMar>
              <w:top w:type="dxa" w:w="40"/>
              <w:left w:type="dxa" w:w="70"/>
              <w:bottom w:type="dxa" w:w="40"/>
              <w:right w:type="dxa" w:w="70"/>
            </w:tcMar>
          </w:tcPr>
          <w:p>
            <w:pPr>
              <w:spacing w:after="0"/>
            </w:pPr>
            <w:r>
              <w:rPr>
                <w:sz w:val="17"/>
                <w:szCs w:val="17"/>
              </w:rPr>
              <w:t xml:space="preserve">52</w:t>
            </w:r>
          </w:p>
        </w:tc>
        <w:tc>
          <w:tcPr>
            <w:tcW w:type="dxa" w:w="1372"/>
            <w:shd w:fill="FFFFFF" w:color="auto" w:val="clear"/>
            <w:tcMar>
              <w:top w:type="dxa" w:w="40"/>
              <w:left w:type="dxa" w:w="70"/>
              <w:bottom w:type="dxa" w:w="40"/>
              <w:right w:type="dxa" w:w="70"/>
            </w:tcMar>
          </w:tcPr>
          <w:p>
            <w:pPr>
              <w:spacing w:after="0"/>
            </w:pPr>
            <w:r>
              <w:rPr>
                <w:sz w:val="17"/>
                <w:szCs w:val="17"/>
              </w:rPr>
              <w:t xml:space="preserve">+21</w:t>
            </w:r>
          </w:p>
        </w:tc>
      </w:tr>
      <w:tr>
        <w:tc>
          <w:tcPr>
            <w:tcW w:type="dxa" w:w="3200"/>
            <w:shd w:fill="F2F5F9" w:color="auto" w:val="clear"/>
            <w:tcMar>
              <w:top w:type="dxa" w:w="40"/>
              <w:left w:type="dxa" w:w="70"/>
              <w:bottom w:type="dxa" w:w="40"/>
              <w:right w:type="dxa" w:w="70"/>
            </w:tcMar>
          </w:tcPr>
          <w:p>
            <w:pPr>
              <w:spacing w:after="0"/>
            </w:pPr>
            <w:r>
              <w:rPr>
                <w:sz w:val="17"/>
                <w:szCs w:val="17"/>
              </w:rPr>
              <w:t xml:space="preserve">Cooling|Queen</w:t>
            </w:r>
          </w:p>
        </w:tc>
        <w:tc>
          <w:tcPr>
            <w:tcW w:type="dxa" w:w="1350"/>
            <w:shd w:fill="F2F5F9" w:color="auto" w:val="clear"/>
            <w:tcMar>
              <w:top w:type="dxa" w:w="40"/>
              <w:left w:type="dxa" w:w="70"/>
              <w:bottom w:type="dxa" w:w="40"/>
              <w:right w:type="dxa" w:w="70"/>
            </w:tcMar>
          </w:tcPr>
          <w:p>
            <w:pPr>
              <w:spacing w:after="0"/>
            </w:pPr>
            <w:r>
              <w:rPr>
                <w:sz w:val="17"/>
                <w:szCs w:val="17"/>
              </w:rPr>
              <w:t xml:space="preserve">64</w:t>
            </w:r>
          </w:p>
        </w:tc>
        <w:tc>
          <w:tcPr>
            <w:tcW w:type="dxa" w:w="1350"/>
            <w:shd w:fill="F2F5F9" w:color="auto" w:val="clear"/>
            <w:tcMar>
              <w:top w:type="dxa" w:w="40"/>
              <w:left w:type="dxa" w:w="70"/>
              <w:bottom w:type="dxa" w:w="40"/>
              <w:right w:type="dxa" w:w="70"/>
            </w:tcMar>
          </w:tcPr>
          <w:p>
            <w:pPr>
              <w:spacing w:after="0"/>
            </w:pPr>
            <w:r>
              <w:rPr>
                <w:sz w:val="17"/>
                <w:szCs w:val="17"/>
              </w:rPr>
              <w:t xml:space="preserve">79</w:t>
            </w:r>
          </w:p>
        </w:tc>
        <w:tc>
          <w:tcPr>
            <w:tcW w:type="dxa" w:w="1350"/>
            <w:shd w:fill="F2F5F9" w:color="auto" w:val="clear"/>
            <w:tcMar>
              <w:top w:type="dxa" w:w="40"/>
              <w:left w:type="dxa" w:w="70"/>
              <w:bottom w:type="dxa" w:w="40"/>
              <w:right w:type="dxa" w:w="70"/>
            </w:tcMar>
          </w:tcPr>
          <w:p>
            <w:pPr>
              <w:spacing w:after="0"/>
            </w:pPr>
            <w:r>
              <w:rPr>
                <w:sz w:val="17"/>
                <w:szCs w:val="17"/>
              </w:rPr>
              <w:t xml:space="preserve">58</w:t>
            </w:r>
          </w:p>
        </w:tc>
        <w:tc>
          <w:tcPr>
            <w:tcW w:type="dxa" w:w="1350"/>
            <w:shd w:fill="F2F5F9" w:color="auto" w:val="clear"/>
            <w:tcMar>
              <w:top w:type="dxa" w:w="40"/>
              <w:left w:type="dxa" w:w="70"/>
              <w:bottom w:type="dxa" w:w="40"/>
              <w:right w:type="dxa" w:w="70"/>
            </w:tcMar>
          </w:tcPr>
          <w:p>
            <w:pPr>
              <w:spacing w:after="0"/>
            </w:pPr>
            <w:r>
              <w:rPr>
                <w:sz w:val="17"/>
                <w:szCs w:val="17"/>
              </w:rPr>
              <w:t xml:space="preserve">60</w:t>
            </w:r>
          </w:p>
        </w:tc>
        <w:tc>
          <w:tcPr>
            <w:tcW w:type="dxa" w:w="1372"/>
            <w:shd w:fill="F2F5F9" w:color="auto" w:val="clear"/>
            <w:tcMar>
              <w:top w:type="dxa" w:w="40"/>
              <w:left w:type="dxa" w:w="70"/>
              <w:bottom w:type="dxa" w:w="40"/>
              <w:right w:type="dxa" w:w="70"/>
            </w:tcMar>
          </w:tcPr>
          <w:p>
            <w:pPr>
              <w:spacing w:after="0"/>
            </w:pPr>
            <w:r>
              <w:rPr>
                <w:sz w:val="17"/>
                <w:szCs w:val="17"/>
              </w:rPr>
              <w:t xml:space="preserve">+19</w:t>
            </w:r>
          </w:p>
        </w:tc>
      </w:tr>
      <w:tr>
        <w:tc>
          <w:tcPr>
            <w:tcW w:type="dxa" w:w="3200"/>
            <w:shd w:fill="FFFFFF" w:color="auto" w:val="clear"/>
            <w:tcMar>
              <w:top w:type="dxa" w:w="40"/>
              <w:left w:type="dxa" w:w="70"/>
              <w:bottom w:type="dxa" w:w="40"/>
              <w:right w:type="dxa" w:w="70"/>
            </w:tcMar>
          </w:tcPr>
          <w:p>
            <w:pPr>
              <w:spacing w:after="0"/>
            </w:pPr>
            <w:r>
              <w:rPr>
                <w:sz w:val="17"/>
                <w:szCs w:val="17"/>
              </w:rPr>
              <w:t xml:space="preserve">Bamboo|Full</w:t>
            </w:r>
          </w:p>
        </w:tc>
        <w:tc>
          <w:tcPr>
            <w:tcW w:type="dxa" w:w="1350"/>
            <w:shd w:fill="FFFFFF" w:color="auto" w:val="clear"/>
            <w:tcMar>
              <w:top w:type="dxa" w:w="40"/>
              <w:left w:type="dxa" w:w="70"/>
              <w:bottom w:type="dxa" w:w="40"/>
              <w:right w:type="dxa" w:w="70"/>
            </w:tcMar>
          </w:tcPr>
          <w:p>
            <w:pPr>
              <w:spacing w:after="0"/>
            </w:pPr>
            <w:r>
              <w:rPr>
                <w:sz w:val="17"/>
                <w:szCs w:val="17"/>
              </w:rPr>
              <w:t xml:space="preserve">32</w:t>
            </w:r>
          </w:p>
        </w:tc>
        <w:tc>
          <w:tcPr>
            <w:tcW w:type="dxa" w:w="1350"/>
            <w:shd w:fill="FFFFFF" w:color="auto" w:val="clear"/>
            <w:tcMar>
              <w:top w:type="dxa" w:w="40"/>
              <w:left w:type="dxa" w:w="70"/>
              <w:bottom w:type="dxa" w:w="40"/>
              <w:right w:type="dxa" w:w="70"/>
            </w:tcMar>
          </w:tcPr>
          <w:p>
            <w:pPr>
              <w:spacing w:after="0"/>
            </w:pPr>
            <w:r>
              <w:rPr>
                <w:sz w:val="17"/>
                <w:szCs w:val="17"/>
              </w:rPr>
              <w:t xml:space="preserve">44</w:t>
            </w:r>
          </w:p>
        </w:tc>
        <w:tc>
          <w:tcPr>
            <w:tcW w:type="dxa" w:w="1350"/>
            <w:shd w:fill="FFFFFF" w:color="auto" w:val="clear"/>
            <w:tcMar>
              <w:top w:type="dxa" w:w="40"/>
              <w:left w:type="dxa" w:w="70"/>
              <w:bottom w:type="dxa" w:w="40"/>
              <w:right w:type="dxa" w:w="70"/>
            </w:tcMar>
          </w:tcPr>
          <w:p>
            <w:pPr>
              <w:spacing w:after="0"/>
            </w:pPr>
            <w:r>
              <w:rPr>
                <w:sz w:val="17"/>
                <w:szCs w:val="17"/>
              </w:rPr>
              <w:t xml:space="preserve">53</w:t>
            </w:r>
          </w:p>
        </w:tc>
        <w:tc>
          <w:tcPr>
            <w:tcW w:type="dxa" w:w="1350"/>
            <w:shd w:fill="FFFFFF" w:color="auto" w:val="clear"/>
            <w:tcMar>
              <w:top w:type="dxa" w:w="40"/>
              <w:left w:type="dxa" w:w="70"/>
              <w:bottom w:type="dxa" w:w="40"/>
              <w:right w:type="dxa" w:w="70"/>
            </w:tcMar>
          </w:tcPr>
          <w:p>
            <w:pPr>
              <w:spacing w:after="0"/>
            </w:pPr>
            <w:r>
              <w:rPr>
                <w:sz w:val="17"/>
                <w:szCs w:val="17"/>
              </w:rPr>
              <w:t xml:space="preserve">36</w:t>
            </w:r>
          </w:p>
        </w:tc>
        <w:tc>
          <w:tcPr>
            <w:tcW w:type="dxa" w:w="1372"/>
            <w:shd w:fill="FFFFFF" w:color="auto" w:val="clear"/>
            <w:tcMar>
              <w:top w:type="dxa" w:w="40"/>
              <w:left w:type="dxa" w:w="70"/>
              <w:bottom w:type="dxa" w:w="40"/>
              <w:right w:type="dxa" w:w="70"/>
            </w:tcMar>
          </w:tcPr>
          <w:p>
            <w:pPr>
              <w:spacing w:after="0"/>
            </w:pPr>
            <w:r>
              <w:rPr>
                <w:sz w:val="17"/>
                <w:szCs w:val="17"/>
              </w:rPr>
              <w:t xml:space="preserve">+8</w:t>
            </w:r>
          </w:p>
        </w:tc>
      </w:tr>
      <w:tr>
        <w:tc>
          <w:tcPr>
            <w:tcW w:type="dxa" w:w="3200"/>
            <w:shd w:fill="F2F5F9" w:color="auto" w:val="clear"/>
            <w:tcMar>
              <w:top w:type="dxa" w:w="40"/>
              <w:left w:type="dxa" w:w="70"/>
              <w:bottom w:type="dxa" w:w="40"/>
              <w:right w:type="dxa" w:w="70"/>
            </w:tcMar>
          </w:tcPr>
          <w:p>
            <w:pPr>
              <w:spacing w:after="0"/>
            </w:pPr>
            <w:r>
              <w:rPr>
                <w:sz w:val="17"/>
                <w:szCs w:val="17"/>
              </w:rPr>
              <w:t xml:space="preserve">Bamboo|Twin</w:t>
            </w:r>
          </w:p>
        </w:tc>
        <w:tc>
          <w:tcPr>
            <w:tcW w:type="dxa" w:w="1350"/>
            <w:shd w:fill="F2F5F9" w:color="auto" w:val="clear"/>
            <w:tcMar>
              <w:top w:type="dxa" w:w="40"/>
              <w:left w:type="dxa" w:w="70"/>
              <w:bottom w:type="dxa" w:w="40"/>
              <w:right w:type="dxa" w:w="70"/>
            </w:tcMar>
          </w:tcPr>
          <w:p>
            <w:pPr>
              <w:spacing w:after="0"/>
            </w:pPr>
            <w:r>
              <w:rPr>
                <w:sz w:val="17"/>
                <w:szCs w:val="17"/>
              </w:rPr>
              <w:t xml:space="preserve">23</w:t>
            </w:r>
          </w:p>
        </w:tc>
        <w:tc>
          <w:tcPr>
            <w:tcW w:type="dxa" w:w="1350"/>
            <w:shd w:fill="F2F5F9" w:color="auto" w:val="clear"/>
            <w:tcMar>
              <w:top w:type="dxa" w:w="40"/>
              <w:left w:type="dxa" w:w="70"/>
              <w:bottom w:type="dxa" w:w="40"/>
              <w:right w:type="dxa" w:w="70"/>
            </w:tcMar>
          </w:tcPr>
          <w:p>
            <w:pPr>
              <w:spacing w:after="0"/>
            </w:pPr>
            <w:r>
              <w:rPr>
                <w:sz w:val="17"/>
                <w:szCs w:val="17"/>
              </w:rPr>
              <w:t xml:space="preserve">23</w:t>
            </w:r>
          </w:p>
        </w:tc>
        <w:tc>
          <w:tcPr>
            <w:tcW w:type="dxa" w:w="1350"/>
            <w:shd w:fill="F2F5F9" w:color="auto" w:val="clear"/>
            <w:tcMar>
              <w:top w:type="dxa" w:w="40"/>
              <w:left w:type="dxa" w:w="70"/>
              <w:bottom w:type="dxa" w:w="40"/>
              <w:right w:type="dxa" w:w="70"/>
            </w:tcMar>
          </w:tcPr>
          <w:p>
            <w:pPr>
              <w:spacing w:after="0"/>
            </w:pPr>
            <w:r>
              <w:rPr>
                <w:sz w:val="17"/>
                <w:szCs w:val="17"/>
              </w:rPr>
              <w:t xml:space="preserve">30</w:t>
            </w:r>
          </w:p>
        </w:tc>
        <w:tc>
          <w:tcPr>
            <w:tcW w:type="dxa" w:w="1350"/>
            <w:shd w:fill="F2F5F9" w:color="auto" w:val="clear"/>
            <w:tcMar>
              <w:top w:type="dxa" w:w="40"/>
              <w:left w:type="dxa" w:w="70"/>
              <w:bottom w:type="dxa" w:w="40"/>
              <w:right w:type="dxa" w:w="70"/>
            </w:tcMar>
          </w:tcPr>
          <w:p>
            <w:pPr>
              <w:spacing w:after="0"/>
            </w:pPr>
            <w:r>
              <w:rPr>
                <w:sz w:val="17"/>
                <w:szCs w:val="17"/>
              </w:rPr>
              <w:t xml:space="preserve">40</w:t>
            </w:r>
          </w:p>
        </w:tc>
        <w:tc>
          <w:tcPr>
            <w:tcW w:type="dxa" w:w="1372"/>
            <w:shd w:fill="F2F5F9" w:color="auto" w:val="clear"/>
            <w:tcMar>
              <w:top w:type="dxa" w:w="40"/>
              <w:left w:type="dxa" w:w="70"/>
              <w:bottom w:type="dxa" w:w="40"/>
              <w:right w:type="dxa" w:w="70"/>
            </w:tcMar>
          </w:tcPr>
          <w:p>
            <w:pPr>
              <w:spacing w:after="0"/>
            </w:pPr>
            <w:r>
              <w:rPr>
                <w:sz w:val="17"/>
                <w:szCs w:val="17"/>
              </w:rPr>
              <w:t xml:space="preserve">−17 (hero at 0 units)</w:t>
            </w:r>
          </w:p>
        </w:tc>
      </w:tr>
      <w:tr>
        <w:tc>
          <w:tcPr>
            <w:tcW w:type="dxa" w:w="3200"/>
            <w:shd w:fill="FFFFFF" w:color="auto" w:val="clear"/>
            <w:tcMar>
              <w:top w:type="dxa" w:w="40"/>
              <w:left w:type="dxa" w:w="70"/>
              <w:bottom w:type="dxa" w:w="40"/>
              <w:right w:type="dxa" w:w="70"/>
            </w:tcMar>
          </w:tcPr>
          <w:p>
            <w:pPr>
              <w:spacing w:after="0"/>
            </w:pPr>
            <w:r>
              <w:rPr>
                <w:sz w:val="17"/>
                <w:szCs w:val="17"/>
              </w:rPr>
              <w:t xml:space="preserve">Cooling|Full</w:t>
            </w:r>
          </w:p>
        </w:tc>
        <w:tc>
          <w:tcPr>
            <w:tcW w:type="dxa" w:w="1350"/>
            <w:shd w:fill="FFFFFF" w:color="auto" w:val="clear"/>
            <w:tcMar>
              <w:top w:type="dxa" w:w="40"/>
              <w:left w:type="dxa" w:w="70"/>
              <w:bottom w:type="dxa" w:w="40"/>
              <w:right w:type="dxa" w:w="70"/>
            </w:tcMar>
          </w:tcPr>
          <w:p>
            <w:pPr>
              <w:spacing w:after="0"/>
            </w:pPr>
            <w:r>
              <w:rPr>
                <w:sz w:val="17"/>
                <w:szCs w:val="17"/>
              </w:rPr>
              <w:t xml:space="preserve">69</w:t>
            </w:r>
          </w:p>
        </w:tc>
        <w:tc>
          <w:tcPr>
            <w:tcW w:type="dxa" w:w="1350"/>
            <w:shd w:fill="FFFFFF" w:color="auto" w:val="clear"/>
            <w:tcMar>
              <w:top w:type="dxa" w:w="40"/>
              <w:left w:type="dxa" w:w="70"/>
              <w:bottom w:type="dxa" w:w="40"/>
              <w:right w:type="dxa" w:w="70"/>
            </w:tcMar>
          </w:tcPr>
          <w:p>
            <w:pPr>
              <w:spacing w:after="0"/>
            </w:pPr>
            <w:r>
              <w:rPr>
                <w:sz w:val="17"/>
                <w:szCs w:val="17"/>
              </w:rPr>
              <w:t xml:space="preserve">89</w:t>
            </w:r>
          </w:p>
        </w:tc>
        <w:tc>
          <w:tcPr>
            <w:tcW w:type="dxa" w:w="1350"/>
            <w:shd w:fill="FFFFFF" w:color="auto" w:val="clear"/>
            <w:tcMar>
              <w:top w:type="dxa" w:w="40"/>
              <w:left w:type="dxa" w:w="70"/>
              <w:bottom w:type="dxa" w:w="40"/>
              <w:right w:type="dxa" w:w="70"/>
            </w:tcMar>
          </w:tcPr>
          <w:p>
            <w:pPr>
              <w:spacing w:after="0"/>
            </w:pPr>
            <w:r>
              <w:rPr>
                <w:sz w:val="17"/>
                <w:szCs w:val="17"/>
              </w:rPr>
              <w:t xml:space="preserve">117</w:t>
            </w:r>
          </w:p>
        </w:tc>
        <w:tc>
          <w:tcPr>
            <w:tcW w:type="dxa" w:w="1350"/>
            <w:shd w:fill="FFFFFF" w:color="auto" w:val="clear"/>
            <w:tcMar>
              <w:top w:type="dxa" w:w="40"/>
              <w:left w:type="dxa" w:w="70"/>
              <w:bottom w:type="dxa" w:w="40"/>
              <w:right w:type="dxa" w:w="70"/>
            </w:tcMar>
          </w:tcPr>
          <w:p>
            <w:pPr>
              <w:spacing w:after="0"/>
            </w:pPr>
            <w:r>
              <w:rPr>
                <w:sz w:val="17"/>
                <w:szCs w:val="17"/>
              </w:rPr>
              <w:t xml:space="preserve">101</w:t>
            </w:r>
          </w:p>
        </w:tc>
        <w:tc>
          <w:tcPr>
            <w:tcW w:type="dxa" w:w="1372"/>
            <w:shd w:fill="FFFFFF" w:color="auto" w:val="clear"/>
            <w:tcMar>
              <w:top w:type="dxa" w:w="40"/>
              <w:left w:type="dxa" w:w="70"/>
              <w:bottom w:type="dxa" w:w="40"/>
              <w:right w:type="dxa" w:w="70"/>
            </w:tcMar>
          </w:tcPr>
          <w:p>
            <w:pPr>
              <w:spacing w:after="0"/>
            </w:pPr>
            <w:r>
              <w:rPr>
                <w:sz w:val="17"/>
                <w:szCs w:val="17"/>
              </w:rPr>
              <w:t xml:space="preserve">−12</w:t>
            </w:r>
          </w:p>
        </w:tc>
      </w:tr>
      <w:tr>
        <w:tc>
          <w:tcPr>
            <w:tcW w:type="dxa" w:w="3200"/>
            <w:shd w:fill="F2F5F9" w:color="auto" w:val="clear"/>
            <w:tcMar>
              <w:top w:type="dxa" w:w="40"/>
              <w:left w:type="dxa" w:w="70"/>
              <w:bottom w:type="dxa" w:w="40"/>
              <w:right w:type="dxa" w:w="70"/>
            </w:tcMar>
          </w:tcPr>
          <w:p>
            <w:pPr>
              <w:spacing w:after="0"/>
            </w:pPr>
            <w:r>
              <w:rPr>
                <w:sz w:val="17"/>
                <w:szCs w:val="17"/>
              </w:rPr>
              <w:t xml:space="preserve">Cooling|Twin</w:t>
            </w:r>
          </w:p>
        </w:tc>
        <w:tc>
          <w:tcPr>
            <w:tcW w:type="dxa" w:w="1350"/>
            <w:shd w:fill="F2F5F9" w:color="auto" w:val="clear"/>
            <w:tcMar>
              <w:top w:type="dxa" w:w="40"/>
              <w:left w:type="dxa" w:w="70"/>
              <w:bottom w:type="dxa" w:w="40"/>
              <w:right w:type="dxa" w:w="70"/>
            </w:tcMar>
          </w:tcPr>
          <w:p>
            <w:pPr>
              <w:spacing w:after="0"/>
            </w:pPr>
            <w:r>
              <w:rPr>
                <w:sz w:val="17"/>
                <w:szCs w:val="17"/>
              </w:rPr>
              <w:t xml:space="preserve">55</w:t>
            </w:r>
          </w:p>
        </w:tc>
        <w:tc>
          <w:tcPr>
            <w:tcW w:type="dxa" w:w="1350"/>
            <w:shd w:fill="F2F5F9" w:color="auto" w:val="clear"/>
            <w:tcMar>
              <w:top w:type="dxa" w:w="40"/>
              <w:left w:type="dxa" w:w="70"/>
              <w:bottom w:type="dxa" w:w="40"/>
              <w:right w:type="dxa" w:w="70"/>
            </w:tcMar>
          </w:tcPr>
          <w:p>
            <w:pPr>
              <w:spacing w:after="0"/>
            </w:pPr>
            <w:r>
              <w:rPr>
                <w:sz w:val="17"/>
                <w:szCs w:val="17"/>
              </w:rPr>
              <w:t xml:space="preserve">51</w:t>
            </w:r>
          </w:p>
        </w:tc>
        <w:tc>
          <w:tcPr>
            <w:tcW w:type="dxa" w:w="1350"/>
            <w:shd w:fill="F2F5F9" w:color="auto" w:val="clear"/>
            <w:tcMar>
              <w:top w:type="dxa" w:w="40"/>
              <w:left w:type="dxa" w:w="70"/>
              <w:bottom w:type="dxa" w:w="40"/>
              <w:right w:type="dxa" w:w="70"/>
            </w:tcMar>
          </w:tcPr>
          <w:p>
            <w:pPr>
              <w:spacing w:after="0"/>
            </w:pPr>
            <w:r>
              <w:rPr>
                <w:sz w:val="17"/>
                <w:szCs w:val="17"/>
              </w:rPr>
              <w:t xml:space="preserve">46</w:t>
            </w:r>
          </w:p>
        </w:tc>
        <w:tc>
          <w:tcPr>
            <w:tcW w:type="dxa" w:w="1350"/>
            <w:shd w:fill="F2F5F9" w:color="auto" w:val="clear"/>
            <w:tcMar>
              <w:top w:type="dxa" w:w="40"/>
              <w:left w:type="dxa" w:w="70"/>
              <w:bottom w:type="dxa" w:w="40"/>
              <w:right w:type="dxa" w:w="70"/>
            </w:tcMar>
          </w:tcPr>
          <w:p>
            <w:pPr>
              <w:spacing w:after="0"/>
            </w:pPr>
            <w:r>
              <w:rPr>
                <w:sz w:val="17"/>
                <w:szCs w:val="17"/>
              </w:rPr>
              <w:t xml:space="preserve">46</w:t>
            </w:r>
          </w:p>
        </w:tc>
        <w:tc>
          <w:tcPr>
            <w:tcW w:type="dxa" w:w="1372"/>
            <w:shd w:fill="F2F5F9" w:color="auto" w:val="clear"/>
            <w:tcMar>
              <w:top w:type="dxa" w:w="40"/>
              <w:left w:type="dxa" w:w="70"/>
              <w:bottom w:type="dxa" w:w="40"/>
              <w:right w:type="dxa" w:w="70"/>
            </w:tcMar>
          </w:tcPr>
          <w:p>
            <w:pPr>
              <w:spacing w:after="0"/>
            </w:pPr>
            <w:r>
              <w:rPr>
                <w:sz w:val="17"/>
                <w:szCs w:val="17"/>
              </w:rPr>
              <w:t xml:space="preserve">+5</w:t>
            </w:r>
          </w:p>
        </w:tc>
      </w:tr>
      <w:tr>
        <w:tc>
          <w:tcPr>
            <w:tcW w:type="dxa" w:w="3200"/>
            <w:shd w:fill="FFFFFF" w:color="auto" w:val="clear"/>
            <w:tcMar>
              <w:top w:type="dxa" w:w="40"/>
              <w:left w:type="dxa" w:w="70"/>
              <w:bottom w:type="dxa" w:w="40"/>
              <w:right w:type="dxa" w:w="70"/>
            </w:tcMar>
          </w:tcPr>
          <w:p>
            <w:pPr>
              <w:spacing w:after="0"/>
            </w:pPr>
            <w:r>
              <w:rPr>
                <w:sz w:val="17"/>
                <w:szCs w:val="17"/>
              </w:rPr>
              <w:t xml:space="preserve">Cooling|California King</w:t>
            </w:r>
          </w:p>
        </w:tc>
        <w:tc>
          <w:tcPr>
            <w:tcW w:type="dxa" w:w="1350"/>
            <w:shd w:fill="FFFFFF" w:color="auto" w:val="clear"/>
            <w:tcMar>
              <w:top w:type="dxa" w:w="40"/>
              <w:left w:type="dxa" w:w="70"/>
              <w:bottom w:type="dxa" w:w="40"/>
              <w:right w:type="dxa" w:w="70"/>
            </w:tcMar>
          </w:tcPr>
          <w:p>
            <w:pPr>
              <w:spacing w:after="0"/>
            </w:pPr>
            <w:r>
              <w:rPr>
                <w:sz w:val="17"/>
                <w:szCs w:val="17"/>
              </w:rPr>
              <w:t xml:space="preserve">39</w:t>
            </w:r>
          </w:p>
        </w:tc>
        <w:tc>
          <w:tcPr>
            <w:tcW w:type="dxa" w:w="1350"/>
            <w:shd w:fill="FFFFFF" w:color="auto" w:val="clear"/>
            <w:tcMar>
              <w:top w:type="dxa" w:w="40"/>
              <w:left w:type="dxa" w:w="70"/>
              <w:bottom w:type="dxa" w:w="40"/>
              <w:right w:type="dxa" w:w="70"/>
            </w:tcMar>
          </w:tcPr>
          <w:p>
            <w:pPr>
              <w:spacing w:after="0"/>
            </w:pPr>
            <w:r>
              <w:rPr>
                <w:sz w:val="17"/>
                <w:szCs w:val="17"/>
              </w:rPr>
              <w:t xml:space="preserve">38</w:t>
            </w:r>
          </w:p>
        </w:tc>
        <w:tc>
          <w:tcPr>
            <w:tcW w:type="dxa" w:w="1350"/>
            <w:shd w:fill="FFFFFF" w:color="auto" w:val="clear"/>
            <w:tcMar>
              <w:top w:type="dxa" w:w="40"/>
              <w:left w:type="dxa" w:w="70"/>
              <w:bottom w:type="dxa" w:w="40"/>
              <w:right w:type="dxa" w:w="70"/>
            </w:tcMar>
          </w:tcPr>
          <w:p>
            <w:pPr>
              <w:spacing w:after="0"/>
            </w:pPr>
            <w:r>
              <w:rPr>
                <w:sz w:val="17"/>
                <w:szCs w:val="17"/>
              </w:rPr>
              <w:t xml:space="preserve">44</w:t>
            </w:r>
          </w:p>
        </w:tc>
        <w:tc>
          <w:tcPr>
            <w:tcW w:type="dxa" w:w="1350"/>
            <w:shd w:fill="FFFFFF" w:color="auto" w:val="clear"/>
            <w:tcMar>
              <w:top w:type="dxa" w:w="40"/>
              <w:left w:type="dxa" w:w="70"/>
              <w:bottom w:type="dxa" w:w="40"/>
              <w:right w:type="dxa" w:w="70"/>
            </w:tcMar>
          </w:tcPr>
          <w:p>
            <w:pPr>
              <w:spacing w:after="0"/>
            </w:pPr>
            <w:r>
              <w:rPr>
                <w:sz w:val="17"/>
                <w:szCs w:val="17"/>
              </w:rPr>
              <w:t xml:space="preserve">45</w:t>
            </w:r>
          </w:p>
        </w:tc>
        <w:tc>
          <w:tcPr>
            <w:tcW w:type="dxa" w:w="1372"/>
            <w:shd w:fill="FFFFFF" w:color="auto" w:val="clear"/>
            <w:tcMar>
              <w:top w:type="dxa" w:w="40"/>
              <w:left w:type="dxa" w:w="70"/>
              <w:bottom w:type="dxa" w:w="40"/>
              <w:right w:type="dxa" w:w="70"/>
            </w:tcMar>
          </w:tcPr>
          <w:p>
            <w:pPr>
              <w:spacing w:after="0"/>
            </w:pPr>
            <w:r>
              <w:rPr>
                <w:sz w:val="17"/>
                <w:szCs w:val="17"/>
              </w:rPr>
              <w:t xml:space="preserve">−7</w:t>
            </w:r>
          </w:p>
        </w:tc>
      </w:tr>
    </w:tbl>
    <w:p>
      <w:pPr>
        <w:spacing w:after="120"/>
      </w:pPr>
      <w:r>
        <w:rPr>
          <w:i/>
          <w:iCs/>
          <w:color w:val="555555"/>
          <w:sz w:val="17"/>
          <w:szCs w:val="17"/>
        </w:rPr>
        <w:t xml:space="preserve">Command Center daily crawl; each cell is the median of the group’s crawled members over the 7 days ending that date. A term counts in every group it matches.</w:t>
      </w:r>
    </w:p>
    <w:p>
      <w:pPr>
        <w:spacing w:after="60"/>
        <w:jc w:val="center"/>
      </w:pPr>
      <w:r>
        <w:drawing>
          <wp:inline distT="0" distB="0" distL="0" distR="0">
            <wp:extent cx="6096000" cy="561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5610225"/>
                    </a:xfrm>
                    <a:prstGeom prst="rect">
                      <a:avLst/>
                    </a:prstGeom>
                  </pic:spPr>
                </pic:pic>
              </a:graphicData>
            </a:graphic>
          </wp:inline>
        </w:drawing>
      </w:r>
    </w:p>
    <w:p>
      <w:pPr>
        <w:spacing w:after="120"/>
      </w:pPr>
      <w:r>
        <w:rPr>
          <w:i/>
          <w:iCs/>
          <w:color w:val="555555"/>
          <w:sz w:val="17"/>
          <w:szCs w:val="17"/>
        </w:rPr>
        <w:t xml:space="preserve">B4, all campaigns, 01–27 September: estimated top-of-search and product-page clicks a day, the spend-weighted effective top-of-search bid, and group rank (daily median). Dashed lines: the 10 September round, the 15/16 September round, and 24 September, when the corrected daily push was due. Shaded: the first Best Deal (15–28 September). The second Best Deal (26–30 September, 51 ASINs) overlaps its last three days.</w:t>
      </w:r>
    </w:p>
    <w:p>
      <w:pPr>
        <w:spacing w:after="100"/>
      </w:pPr>
      <w:r>
        <w:t xml:space="preserve">Rank moved most where the least money went. The cooling groups climbed 16–21 places over the deal: Cooling 68 → 52, Cooling|King 73 → 52, Cooling|Queen 79 → 60. The Bamboo head moved 2 (35 → 33) on $937 a day, and Bamboo|Queen 1. Bamboo|Cooling reached 26 mid-deal and gave half of it back. Bamboo|Twin lost 17 with its hero at zero.</w:t>
      </w:r>
    </w:p>
    <w:p>
      <w:pPr>
        <w:spacing w:after="100"/>
      </w:pPr>
      <w:r>
        <w:rPr>
          <w:b/>
          <w:bCs/>
          <w:color w:val="1F3A5F"/>
        </w:rPr>
        <w:t xml:space="preserve">Correction. </w:t>
      </w:r>
      <w:r>
        <w:t xml:space="preserve">Before this file loads, verify execution: diff the rows approved on 19 and 21 September against the account, write down which loaded, and grade only those. The engine should record every run it is given, so that the next brief’s “previous” is the last run, not the last reviewed one.</w:t>
      </w:r>
    </w:p>
    <w:p>
      <w:pPr>
        <w:pStyle w:val="Heading1"/>
      </w:pPr>
      <w:r>
        <w:t xml:space="preserve">C1b. Every 14-day read in this run is a deal read</w:t>
      </w:r>
    </w:p>
    <w:p>
      <w:pPr>
        <w:spacing w:after="100"/>
      </w:pPr>
      <w:r>
        <w:rPr>
          <w:b/>
          <w:bCs/>
          <w:color w:val="1F3A5F"/>
        </w:rPr>
        <w:t xml:space="preserve">The rule (the logic, §12). </w:t>
      </w:r>
      <w:r>
        <w:t xml:space="preserve">“Two conditions void every read above. The serving child cannot ship, or a deal week sits inside the window and contaminates every rate. Resolve those first.”</w:t>
      </w:r>
    </w:p>
    <w:p>
      <w:pPr>
        <w:spacing w:after="100"/>
      </w:pPr>
      <w:r>
        <w:rPr>
          <w:b/>
          <w:bCs/>
          <w:color w:val="1F3A5F"/>
        </w:rPr>
        <w:t xml:space="preserve">What the run did. </w:t>
      </w:r>
      <w:r>
        <w:t xml:space="preserve">Read its 14-day window (09-14 → 09-27), 13 of whose 14 days are deal days. That window feeds the outcome baseline, budget use, placement mix, the dose rows’ “last two weeks” of clicks and the sweep’s ACoS reads. The 90-day figures carry the same 13 deal days. The second void condition is live too: the Full and Twin heroes are at zero, and the Queen and California King heroes are under their horizon.</w:t>
      </w:r>
    </w:p>
    <w:p>
      <w:pPr>
        <w:spacing w:after="100"/>
      </w:pPr>
      <w:r>
        <w:rPr>
          <w:b/>
          <w:bCs/>
          <w:color w:val="1F3A5F"/>
        </w:rPr>
        <w:t xml:space="preserve">Correction. </w:t>
      </w:r>
      <w:r>
        <w:t xml:space="preserve">Treat every row sized on a 14-day read as provisional. Load the stock and hygiene rows now: re-points to serving children, pauses, walls, and renames that match the child. Re-read the price rows on the first seven post-deal days as they settle (10-01 → 10-07, attribution complete by 10-14). 29 and 30 September are deal days too. The capped steps in A2 go ahead because they are tests of a condition, not reads of one.</w:t>
      </w:r>
    </w:p>
    <w:p>
      <w:pPr>
        <w:pStyle w:val="Heading1"/>
      </w:pPr>
      <w:r>
        <w:t xml:space="preserve">C1c. Where the run already follows the logic</w:t>
      </w:r>
    </w:p>
    <w:p>
      <w:pPr>
        <w:pStyle w:val="ListParagraph"/>
        <w:numPr>
          <w:ilvl w:val="0"/>
          <w:numId w:val="2"/>
        </w:numPr>
        <w:spacing w:after="60"/>
      </w:pPr>
      <w:r>
        <w:t xml:space="preserve">Reshapes hold the top-of-search price to the cent while the base comes down: 13 of the out-of-focus reshapes (§9: the price never falls as a residue of a base cut).</w:t>
      </w:r>
    </w:p>
    <w:p>
      <w:pPr>
        <w:pStyle w:val="ListParagraph"/>
        <w:numPr>
          <w:ilvl w:val="0"/>
          <w:numId w:val="2"/>
        </w:numPr>
        <w:spacing w:after="60"/>
      </w:pPr>
      <w:r>
        <w:t xml:space="preserve">Rest-of-search modifiers go to 0% on seven campaigns (71, 88, 371, 382, 522, 913, 1195), per §8: rest of search sits at zero until it earns a lift.</w:t>
      </w:r>
    </w:p>
    <w:p>
      <w:pPr>
        <w:pStyle w:val="ListParagraph"/>
        <w:numPr>
          <w:ilvl w:val="0"/>
          <w:numId w:val="2"/>
        </w:numPr>
        <w:spacing w:after="60"/>
      </w:pPr>
      <w:r>
        <w:t xml:space="preserve">Rows with no clicks arriving keep their base and move the modifier only (687, 1002, 526; §12).</w:t>
      </w:r>
    </w:p>
    <w:p>
      <w:pPr>
        <w:pStyle w:val="ListParagraph"/>
        <w:numPr>
          <w:ilvl w:val="0"/>
          <w:numId w:val="2"/>
        </w:numPr>
        <w:spacing w:after="60"/>
      </w:pPr>
      <w:r>
        <w:t xml:space="preserve">The flagship is not cut while its delivery is under 70% of requirement (§14).</w:t>
      </w:r>
    </w:p>
    <w:p>
      <w:pPr>
        <w:pStyle w:val="ListParagraph"/>
        <w:numPr>
          <w:ilvl w:val="0"/>
          <w:numId w:val="2"/>
        </w:numPr>
        <w:spacing w:after="60"/>
      </w:pPr>
      <w:r>
        <w:t xml:space="preserve">Priced rows state both prices and the ratio, for example “Top of search $5.32 against $1.36 on product pages, 3.91 to one” (§5). On the dose rows the stated prices are stale (A2).</w:t>
      </w:r>
    </w:p>
    <w:p>
      <w:pPr>
        <w:pStyle w:val="Heading1"/>
      </w:pPr>
      <w:r>
        <w:t xml:space="preserve">C2. Conversions, discovery and product-targeting campaigns: the sweep cuts the modifier on nearly all of them</w:t>
      </w:r>
    </w:p>
    <w:p>
      <w:pPr>
        <w:spacing w:after="100"/>
      </w:pPr>
      <w:r>
        <w:rPr>
          <w:b/>
          <w:bCs/>
          <w:color w:val="1F3A5F"/>
        </w:rPr>
        <w:t xml:space="preserve">The rule. </w:t>
      </w:r>
      <w:r>
        <w:t xml:space="preserve">These campaigns are priced inside their own ceiling (21 September document, C2). Under 15 clicks: hold, with no cut and no raise. Inside the ceiling: nothing moves, including a top-of-search modifier whose top of search pays. Over it: the base comes down.</w:t>
      </w:r>
    </w:p>
    <w:p>
      <w:pPr>
        <w:spacing w:after="100"/>
      </w:pPr>
      <w:r>
        <w:rPr>
          <w:b/>
          <w:bCs/>
          <w:color w:val="1F3A5F"/>
        </w:rPr>
        <w:t xml:space="preserve">What the run did. </w:t>
      </w:r>
      <w:r>
        <w:t xml:space="preserve">Wrote 42 top-of-search rows in the sweep (2212–2253). Six raise the modifier on retagged ranking campaigns. The other 36 cut one −10% rung because “the premium buys rank”: 23 on campaigns with under 15 clicks in 90 days, 2 inside their ceiling, 5 over it, and 6 on retagged plan terms with no read.</w:t>
      </w:r>
    </w:p>
    <w:p>
      <w:pPr>
        <w:spacing w:after="100"/>
      </w:pPr>
      <w:r>
        <w:rPr>
          <w:b/>
          <w:bCs/>
        </w:rPr>
        <w:t xml:space="preserve">B08KQHRDDG-(PAT)-Targeting-(Conversion)-DO-BAMBOO-KING-WHITE</w:t>
      </w:r>
      <w:r>
        <w:t xml:space="preserve"> — ACoS 9.7% on 586 clicks and 142 orders in 90 days; $481 in the last 14 days. The run cuts the modifier 32% → 29% (2212). The 21 September corrections named this campaign: “inside its ceiling — hold; reverse the TOS modifier cut”. The cut is back. Correction: hold.</w:t>
      </w:r>
    </w:p>
    <w:p>
      <w:pPr>
        <w:spacing w:after="100"/>
      </w:pPr>
      <w:r>
        <w:rPr>
          <w:b/>
          <w:bCs/>
        </w:rPr>
        <w:t xml:space="preserve">Bamboo Sheets-(VHSV)-Broad-(DISC)-DO-BAMBOO-KING-WHITE</w:t>
      </w:r>
      <w:r>
        <w:t xml:space="preserve"> — 86 orders at ACoS 27.5%, inside the discovery band, and the survivor the other three discovery broads fold into (2411–2413). The run cuts 38% → 34% (2230). Correction: hold.</w:t>
      </w:r>
    </w:p>
    <w:p>
      <w:pPr>
        <w:spacing w:after="100"/>
      </w:pPr>
      <w:r>
        <w:rPr>
          <w:b/>
          <w:bCs/>
        </w:rPr>
        <w:t xml:space="preserve">100% bamboo viscose sheets-[Bamboo]-(LSV)-Exact-(Ranking)-FIX-BAMBOO-KING-WHITE</w:t>
      </w:r>
      <w:r>
        <w:t xml:space="preserve"> — 7 clicks in 90 days. The run cuts 88% → 79% (2219), retags it Conversions and renames it KING-CREME (C3). Correction: thin, so hold.</w:t>
      </w:r>
    </w:p>
    <w:p>
      <w:pPr>
        <w:spacing w:after="100"/>
      </w:pPr>
      <w:r>
        <w:rPr>
          <w:b/>
          <w:bCs/>
        </w:rPr>
        <w:t xml:space="preserve">B07YKCZHGK-(PAT)-Targeting-(Conversion)-DO-BAMBOO-KING-CREME</w:t>
      </w:r>
      <w:r>
        <w:t xml:space="preserve"> — seven ASIN bids cut to $1.50, up to −25% (2120–2126), on a 90-day ACoS of 45.9%. The 21 September document read it on 14 days at 23% and held it. The sweep reads only 90 days, and it prices break-even at 34.4% where the brief says 33.3%.</w:t>
      </w:r>
    </w:p>
    <w:p>
      <w:pPr>
        <w:spacing w:after="100"/>
      </w:pPr>
      <w:r>
        <w:rPr>
          <w:b/>
          <w:bCs/>
          <w:color w:val="1F3A5F"/>
        </w:rPr>
        <w:t xml:space="preserve">Correction. </w:t>
      </w:r>
      <w:r>
        <w:t xml:space="preserve">Reverse the 25 cuts on thin or inside-ceiling campaigns (2212, 2230, 2218, 2219, 2222–2228, 2231, 2232, 2234–2237, 2239, 2241, 2245–2249, 2251). Keep the over-ceiling bid-downs (2214, 2216, 2217); 2215 is on a paused campaign. Read 14 days beside 90 before the B07YKCZHGK cut loads.</w:t>
      </w:r>
    </w:p>
    <w:p>
      <w:pPr>
        <w:pStyle w:val="Heading1"/>
      </w:pPr>
      <w:r>
        <w:t xml:space="preserve">C3. Advertised child, names and objective tags</w:t>
      </w:r>
    </w:p>
    <w:p>
      <w:pPr>
        <w:spacing w:after="100"/>
      </w:pPr>
      <w:r>
        <w:rPr>
          <w:b/>
          <w:bCs/>
          <w:color w:val="1F3A5F"/>
        </w:rPr>
        <w:t xml:space="preserve">The rule. </w:t>
      </w:r>
      <w:r>
        <w:t xml:space="preserve">Every campaign advertises its size’s hero while the hero has room, and the serving child when it doesn’t; a keyword that names a colour keeps its colour. A campaign’s name says the child it actually advertises.</w:t>
      </w:r>
    </w:p>
    <w:p>
      <w:pPr>
        <w:spacing w:after="100"/>
      </w:pPr>
      <w:r>
        <w:rPr>
          <w:b/>
          <w:bCs/>
          <w:color w:val="1F3A5F"/>
        </w:rPr>
        <w:t xml:space="preserve">What the run did. </w:t>
      </w:r>
      <w:r>
        <w:t xml:space="preserve">Wrote 64 child rows. 60 follow the size pivot: Queen White → Olive (33), California King White → Burgundy-New (15), Full White → Light Olive (11) and Twin White → Burgundy-New (1). It also wrote 22 renames and 34 objective retags.</w:t>
      </w:r>
    </w:p>
    <w:p>
      <w:pPr>
        <w:pStyle w:val="ListParagraph"/>
        <w:numPr>
          <w:ilvl w:val="0"/>
          <w:numId w:val="2"/>
        </w:numPr>
        <w:spacing w:after="60"/>
      </w:pPr>
      <w:r>
        <w:rPr>
          <w:b/>
          <w:bCs/>
        </w:rPr>
        <w:t xml:space="preserve">King is not re-pointed, and shouldn’t be. </w:t>
      </w:r>
      <w:r>
        <w:t xml:space="preserve">Engine check 1 fails on it (“26 holds on a served hero with no swap row”). But the King hero has 228 units: 24 days at today’s rate, with 606 landing 10-16, 18 days out. That covers the arrival at today’s pace. The product audit also found White the best King converter (12.95% paid CVR on 12,562 clicks). Keep King on White, and record the check failure as a check that read push pace on a size that isn’t pushed.</w:t>
      </w:r>
    </w:p>
    <w:p>
      <w:pPr>
        <w:pStyle w:val="ListParagraph"/>
        <w:numPr>
          <w:ilvl w:val="0"/>
          <w:numId w:val="2"/>
        </w:numPr>
        <w:spacing w:after="60"/>
      </w:pPr>
      <w:r>
        <w:rPr>
          <w:b/>
          <w:bCs/>
        </w:rPr>
        <w:t xml:space="preserve">17 renames write “KING-CREME” into names whose ad stays on BAMBOO-KING-WHITE </w:t>
      </w:r>
      <w:r>
        <w:t xml:space="preserve">(2423, 2424, 2426–2429, 2431–2439, 2441, 2443; none has a child row). The run creates the exact name-versus-child mismatch its own structure rows 2417–2422 flag. Rename with the child actually advertised, or hold the renames.</w:t>
      </w:r>
    </w:p>
    <w:p>
      <w:pPr>
        <w:pStyle w:val="ListParagraph"/>
        <w:numPr>
          <w:ilvl w:val="0"/>
          <w:numId w:val="2"/>
        </w:numPr>
        <w:spacing w:after="60"/>
      </w:pPr>
      <w:r>
        <w:rPr>
          <w:b/>
          <w:bCs/>
        </w:rPr>
        <w:t xml:space="preserve">2188 and 2164. </w:t>
      </w:r>
      <w:r>
        <w:t xml:space="preserve">“Bamboo Taupe Sheets King” moves to BAMBOO-TWIN-TAUPE, and “Purple Bamboo Sheets” (Queen) to BAMBOO-FULL-PURPLE. Both follow the operator’s colour rule, but they put a King-named and a Queen-named campaign on other sizes. Rename them in the same write, or the next structure check flags them.</w:t>
      </w:r>
    </w:p>
    <w:p>
      <w:pPr>
        <w:pStyle w:val="Heading1"/>
      </w:pPr>
      <w:r>
        <w:t xml:space="preserve">C4. New campaigns</w:t>
      </w:r>
    </w:p>
    <w:p>
      <w:pPr>
        <w:spacing w:after="100"/>
      </w:pPr>
      <w:r>
        <w:rPr>
          <w:b/>
          <w:bCs/>
          <w:color w:val="1F3A5F"/>
        </w:rPr>
        <w:t xml:space="preserve">What the run did. </w:t>
      </w:r>
      <w:r>
        <w:t xml:space="preserve">Proposed six builds. The review held the four Sponsored Brands and Sponsored Brands Video probes (the California King hero, and the S-F3 screen on “bamboo cooling sheets”), and we agree. It passed the Sponsored Display own-page defence ($10 a day) and the conquest test.</w:t>
      </w:r>
    </w:p>
    <w:p>
      <w:pPr>
        <w:spacing w:after="100"/>
      </w:pPr>
      <w:r>
        <w:rPr>
          <w:b/>
          <w:bCs/>
        </w:rPr>
        <w:t xml:space="preserve">Conquest-(PAT)-Targeting-(Conquesting)-FIX-BAMBOO-QUEEN-WHITE-TEST</w:t>
      </w:r>
      <w:r>
        <w:t xml:space="preserve"> — $47.64 a day, the largest new line in the plan, across nine rival pages. The review passed it “as a test; build it on BAMBOO-QUEEN-OLIVE”. But a pass ships the row as written, on BAMBOO-QUEEN-WHITE, the Queen hero the run pivots off, which is the same reason the review held the Sponsored Brands rows. Its better-offer test compares our average order value ($75.59) with each rival’s size price, and 5 of 9 pages read “price theirs”. Correction: hold until the child is BAMBOO-QUEEN-OLIVE and each target is paired by size.</w:t>
      </w:r>
    </w:p>
    <w:p>
      <w:pPr>
        <w:pStyle w:val="Heading1"/>
      </w:pPr>
      <w:r>
        <w:t xml:space="preserve">C5. Negatives and folds</w:t>
      </w:r>
    </w:p>
    <w:p>
      <w:pPr>
        <w:pStyle w:val="ListParagraph"/>
        <w:numPr>
          <w:ilvl w:val="0"/>
          <w:numId w:val="2"/>
        </w:numPr>
        <w:spacing w:after="60"/>
      </w:pPr>
      <w:r>
        <w:rPr>
          <w:b/>
          <w:bCs/>
        </w:rPr>
        <w:t xml:space="preserve">Walls. </w:t>
      </w:r>
      <w:r>
        <w:t xml:space="preserve">Eleven rows wall ranking terms out of broad and auto campaigns, which is the right rule. But some walls cover focus terms whose exact campaign barely serves. 2341 walls “bamboo sheets cal king” and “bamboo california king sheets” in the family discovery broad, and their exact campaigns took 5 and 3 clicks in 90 days. Wall a focus term only once its exact campaign takes 15 clicks in 14 days; until then the broad may be where its clicks come from.</w:t>
      </w:r>
    </w:p>
    <w:p>
      <w:pPr>
        <w:pStyle w:val="ListParagraph"/>
        <w:numPr>
          <w:ilvl w:val="0"/>
          <w:numId w:val="2"/>
        </w:numPr>
        <w:spacing w:after="60"/>
      </w:pPr>
      <w:r>
        <w:rPr>
          <w:b/>
          <w:bCs/>
        </w:rPr>
        <w:t xml:space="preserve">Folds. </w:t>
      </w:r>
      <w:r>
        <w:t xml:space="preserve">Folding the three extra discovery broads into the family survivor (2411–2413) is right. The eight bid rows (2108–2115) and the modifier cut (2213) on the “100 Bamboo” broad being folded are wasted, so pull them.</w:t>
      </w:r>
    </w:p>
    <w:p>
      <w:pPr>
        <w:pStyle w:val="Heading1"/>
      </w:pPr>
      <w:r>
        <w:t xml:space="preserve">C6. The predicted outcome</w:t>
      </w:r>
    </w:p>
    <w:p>
      <w:pPr>
        <w:spacing w:after="100"/>
      </w:pPr>
      <w:r>
        <w:t xml:space="preserve">The plan claims top-of-search clicks on the changed campaigns go from 19.8 to 221.9 a week, eleven times more. Of the 202 added clicks:</w:t>
      </w:r>
    </w:p>
    <w:p>
      <w:pPr>
        <w:pStyle w:val="ListParagraph"/>
        <w:numPr>
          <w:ilvl w:val="0"/>
          <w:numId w:val="2"/>
        </w:numPr>
        <w:spacing w:after="60"/>
      </w:pPr>
      <w:r>
        <w:t xml:space="preserve">91 come from three rows priced above their budgets: 1002 (32 a week on a campaign with no top-of-search impressions in 90 days), 526 (32 a week on $10), and 31 (27 a week, held);</w:t>
      </w:r>
    </w:p>
    <w:p>
      <w:pPr>
        <w:pStyle w:val="ListParagraph"/>
        <w:numPr>
          <w:ilvl w:val="0"/>
          <w:numId w:val="2"/>
        </w:numPr>
        <w:spacing w:after="60"/>
      </w:pPr>
      <w:r>
        <w:t xml:space="preserve">90 come from six retag rows (2233, 2243, 2244, 2250, 2252, 2253). Each moves from 0 to 15 a week on a +9% modifier and a +25% base, on campaigns with 0–2 clicks in 14 days and 9–18 impressions in 90;</w:t>
      </w:r>
    </w:p>
    <w:p>
      <w:pPr>
        <w:pStyle w:val="ListParagraph"/>
        <w:numPr>
          <w:ilvl w:val="0"/>
          <w:numId w:val="2"/>
        </w:numPr>
        <w:spacing w:after="60"/>
      </w:pPr>
      <w:r>
        <w:t xml:space="preserve">16.5 come from the three dose pushes.</w:t>
      </w:r>
    </w:p>
    <w:p>
      <w:pPr>
        <w:spacing w:after="100"/>
      </w:pPr>
      <w:r>
        <w:t xml:space="preserve">The review’s figure (192 a week) only removes held rows. Bid-cut savings are counted twice where rows repeat (B3). The spend baseline is 14 deal days. The product’s prediction hit rate is 13.4% (22 of 164 graded in 90 days; 62 withdrawn).</w:t>
      </w:r>
    </w:p>
    <w:p>
      <w:pPr>
        <w:spacing w:after="100"/>
      </w:pPr>
      <w:r>
        <w:rPr>
          <w:b/>
          <w:bCs/>
          <w:color w:val="1F3A5F"/>
        </w:rPr>
        <w:t xml:space="preserve">Correction. </w:t>
      </w:r>
      <w:r>
        <w:t xml:space="preserve">Cap each row’s claim at what its budget buys at its price and at the book’s rate for the step, drop paused and duplicate rows, and rebase on post-deal days as they settle. On that basis the buyable gain is about 20–30 top-of-search clicks a week, and spend rises by far less than the plan’s $277 a day. That figure is $117 a day of new builds (the conquest and five brand and display campaigns) and $163 a day priced on rows over their budgets or on starved campaigns. The pushes themselves add about $15 a day.</w:t>
      </w:r>
    </w:p>
    <w:p>
      <w:pPr>
        <w:pStyle w:val="Heading1"/>
      </w:pPr>
      <w:r>
        <w:t xml:space="preserve">C7. Rows in the change file that should not load</w:t>
      </w:r>
    </w:p>
    <w:p>
      <w:pPr>
        <w:pStyle w:val="ListParagraph"/>
        <w:numPr>
          <w:ilvl w:val="0"/>
          <w:numId w:val="2"/>
        </w:numPr>
        <w:spacing w:after="60"/>
      </w:pPr>
      <w:r>
        <w:rPr>
          <w:b/>
          <w:bCs/>
        </w:rPr>
        <w:t xml:space="preserve">38 rows the engine itself gates to HOLD </w:t>
      </w:r>
      <w:r>
        <w:t xml:space="preserve">(“change → HOLD”; the review passed all but 493): 71–77, 86, 88–91, 93, 94, 121–123, 127, 130, 149, 156, 159, 160, 170, 173, 239, 242, 270, 273–276, 278, 403, 493, 522, 913, 1195. The two others in the same gate, 462 and 571, are corrected to the ceiling instead (A4).</w:t>
      </w:r>
    </w:p>
    <w:p>
      <w:pPr>
        <w:pStyle w:val="ListParagraph"/>
        <w:numPr>
          <w:ilvl w:val="0"/>
          <w:numId w:val="2"/>
        </w:numPr>
        <w:spacing w:after="60"/>
      </w:pPr>
      <w:r>
        <w:rPr>
          <w:b/>
          <w:bCs/>
        </w:rPr>
        <w:t xml:space="preserve">17 rows on paused campaigns: </w:t>
      </w:r>
      <w:r>
        <w:t xml:space="preserve">86–94, 156–160, 2127–2132, 2215 (10 overlap the list above).</w:t>
      </w:r>
    </w:p>
    <w:p>
      <w:pPr>
        <w:pStyle w:val="ListParagraph"/>
        <w:numPr>
          <w:ilvl w:val="0"/>
          <w:numId w:val="2"/>
        </w:numPr>
        <w:spacing w:after="60"/>
      </w:pPr>
      <w:r>
        <w:rPr>
          <w:b/>
          <w:bCs/>
        </w:rPr>
        <w:t xml:space="preserve">11 duplicate bid rows: </w:t>
      </w:r>
      <w:r>
        <w:t xml:space="preserve">2112–2115, 2117, 2119, 2130–2132, 2134, 2136. Five rows on the “100 Bamboo” broad being folded: 2108–2111, 2213.</w:t>
      </w:r>
    </w:p>
    <w:p>
      <w:pPr>
        <w:pStyle w:val="ListParagraph"/>
        <w:numPr>
          <w:ilvl w:val="0"/>
          <w:numId w:val="2"/>
        </w:numPr>
        <w:spacing w:after="60"/>
      </w:pPr>
      <w:r>
        <w:rPr>
          <w:b/>
          <w:bCs/>
        </w:rPr>
        <w:t xml:space="preserve">25 sweep modifier cuts on thin or inside-ceiling campaigns </w:t>
      </w:r>
      <w:r>
        <w:t xml:space="preserve">(C2).</w:t>
      </w:r>
    </w:p>
    <w:p>
      <w:pPr>
        <w:pStyle w:val="ListParagraph"/>
        <w:numPr>
          <w:ilvl w:val="0"/>
          <w:numId w:val="2"/>
        </w:numPr>
        <w:spacing w:after="60"/>
      </w:pPr>
      <w:r>
        <w:rPr>
          <w:b/>
          <w:bCs/>
        </w:rPr>
        <w:t xml:space="preserve">17 “KING-CREME” renames </w:t>
      </w:r>
      <w:r>
        <w:t xml:space="preserve">(C3), and the conquest build 2330 until it is re-pointed (C4).</w:t>
      </w:r>
    </w:p>
    <w:p>
      <w:pPr>
        <w:pStyle w:val="ListParagraph"/>
        <w:numPr>
          <w:ilvl w:val="0"/>
          <w:numId w:val="2"/>
        </w:numPr>
        <w:spacing w:after="60"/>
      </w:pPr>
      <w:r>
        <w:rPr>
          <w:b/>
          <w:bCs/>
        </w:rPr>
        <w:t xml:space="preserve">Four more from the logic: </w:t>
      </w:r>
      <w:r>
        <w:t xml:space="preserve">296 and 297 (base cuts on a campaign with no clicks arriving, §12); 368 (369’s budget already covers its corrected price); 686 (687 is not spending, so a budget raise has nothing to fix, §6).</w:t>
      </w:r>
    </w:p>
    <w:p>
      <w:pPr>
        <w:pStyle w:val="ListParagraph"/>
        <w:numPr>
          <w:ilvl w:val="0"/>
          <w:numId w:val="2"/>
        </w:numPr>
        <w:spacing w:after="60"/>
      </w:pPr>
      <w:r>
        <w:rPr>
          <w:b/>
          <w:bCs/>
        </w:rPr>
        <w:t xml:space="preserve">Nine to correct, not pull: </w:t>
      </w:r>
      <w:r>
        <w:t xml:space="preserve">288 → 340% ($5.98), 369 down to 150% ($5.74), 398 → 187% ($5.74) (A2); 462 → 255% ($3.51) and 571 → 98% ($3.77) (A4); 293 held at 276% on its $1.02 base, 1002 re-pointed with its claim cut, and 526’s claim (A3); 2147, a budget of $5.37 → $13.05 (+143%) whose text says “inside a single +30% step”, capped at $6.98.</w:t>
      </w:r>
    </w:p>
    <w:p>
      <w:pPr>
        <w:pStyle w:val="ListParagraph"/>
        <w:numPr>
          <w:ilvl w:val="0"/>
          <w:numId w:val="2"/>
        </w:numPr>
        <w:spacing w:after="60"/>
      </w:pPr>
      <w:r>
        <w:rPr>
          <w:b/>
          <w:bCs/>
        </w:rPr>
        <w:t xml:space="preserve">To load by hand: </w:t>
      </w:r>
      <w:r>
        <w:t xml:space="preserve">287 ($13.98) and 397 ($14.21, with 398’s $18.59-a-day shortfall stated). The code check failed on these, not the rows. The three idle pauses (2000, 2254, 2255) are harmless hygiene and can load or wait.</w:t>
      </w:r>
    </w:p>
    <w:p>
      <w:pPr>
        <w:pStyle w:val="ListParagraph"/>
        <w:numPr>
          <w:ilvl w:val="0"/>
          <w:numId w:val="2"/>
        </w:numPr>
        <w:spacing w:after="60"/>
      </w:pPr>
      <w:r>
        <w:rPr>
          <w:b/>
          <w:bCs/>
        </w:rPr>
        <w:t xml:space="preserve">The two engine checks are named this time: </w:t>
      </w:r>
      <w:r>
        <w:t xml:space="preserve">check 1 (King swap) is rejected in C3, and check 2 (R14 probes) is covered by the review’s holds.</w:t>
      </w:r>
    </w:p>
    <w:p>
      <w:pPr>
        <w:pStyle w:val="Heading1"/>
      </w:pPr>
      <w:r>
        <w:t xml:space="preserve">C8. What the app should change so the next run gets these right</w:t>
      </w:r>
    </w:p>
    <w:p>
      <w:pPr>
        <w:spacing w:after="100"/>
      </w:pPr>
      <w:r>
        <w:t xml:space="preserve">Carried over from 21 September and still open:</w:t>
      </w:r>
    </w:p>
    <w:p>
      <w:pPr>
        <w:pStyle w:val="ListParagraph"/>
        <w:numPr>
          <w:ilvl w:val="0"/>
          <w:numId w:val="2"/>
        </w:numPr>
        <w:spacing w:after="60"/>
      </w:pPr>
      <w:r>
        <w:rPr>
          <w:b/>
          <w:bCs/>
        </w:rPr>
        <w:t xml:space="preserve">See the deal. </w:t>
      </w:r>
      <w:r>
        <w:t xml:space="preserve">engine_read is still null. The engine’s calendar misses the second Best Deal (51 ASINs, 26–30 September) entirely, and the Summary says “No deal in the window” even though the Lightning Deal on 10-26 sits inside the brief’s own 09-28 → 10-28 window. It lands one day before the Queen and Full kill dates (10-27). Deal-window reads are void under §12, and the engine should say so on every row that uses one.</w:t>
      </w:r>
    </w:p>
    <w:p>
      <w:pPr>
        <w:pStyle w:val="ListParagraph"/>
        <w:numPr>
          <w:ilvl w:val="0"/>
          <w:numId w:val="2"/>
        </w:numPr>
        <w:spacing w:after="60"/>
      </w:pPr>
      <w:r>
        <w:rPr>
          <w:b/>
          <w:bCs/>
        </w:rPr>
        <w:t xml:space="preserve">Read the right window. </w:t>
      </w:r>
      <w:r>
        <w:t xml:space="preserve">The flagship’s delivery (79 a week) is a 90-day average; in the deal it ran about 331 a week. The B07YKCZHGK cut reads only 90 days.</w:t>
      </w:r>
    </w:p>
    <w:p>
      <w:pPr>
        <w:pStyle w:val="ListParagraph"/>
        <w:numPr>
          <w:ilvl w:val="0"/>
          <w:numId w:val="2"/>
        </w:numPr>
        <w:spacing w:after="60"/>
      </w:pPr>
      <w:r>
        <w:rPr>
          <w:b/>
          <w:bCs/>
        </w:rPr>
        <w:t xml:space="preserve">One rank source. </w:t>
      </w:r>
      <w:r>
        <w:t xml:space="preserve">“bamboo sheets” and “bamboo sheets queen size” have no current rank in the brief, and the Bamboo and Bamboo|Queen groups are missing from the Rank tab, while the campaigns claim ranks. Row 571’s “today’s reading” is from 26 June.</w:t>
      </w:r>
    </w:p>
    <w:p>
      <w:pPr>
        <w:pStyle w:val="ListParagraph"/>
        <w:numPr>
          <w:ilvl w:val="0"/>
          <w:numId w:val="2"/>
        </w:numPr>
        <w:spacing w:after="60"/>
      </w:pPr>
      <w:r>
        <w:rPr>
          <w:b/>
          <w:bCs/>
        </w:rPr>
        <w:t xml:space="preserve">Budget moves with the push. </w:t>
      </w:r>
      <w:r>
        <w:t xml:space="preserve">A budget row whose prediction reads “no claim” fails the prediction check and is held automatically, while its price half ships. Fix the check, load the pair together, and size the budget as required clicks × this write’s price (§7).</w:t>
      </w:r>
    </w:p>
    <w:p>
      <w:pPr>
        <w:pStyle w:val="ListParagraph"/>
        <w:numPr>
          <w:ilvl w:val="0"/>
          <w:numId w:val="2"/>
        </w:numPr>
        <w:spacing w:after="60"/>
      </w:pPr>
      <w:r>
        <w:rPr>
          <w:b/>
          <w:bCs/>
        </w:rPr>
        <w:t xml:space="preserve">Carry the gate’s verdict into the export. </w:t>
      </w:r>
      <w:r>
        <w:t xml:space="preserve">40 “change → HOLD” rows export as changes (35 last time). Drop no-op rows on paused campaigns, and de-duplicate targets that appear twice (by id and by keyword).</w:t>
      </w:r>
    </w:p>
    <w:p>
      <w:pPr>
        <w:pStyle w:val="ListParagraph"/>
        <w:numPr>
          <w:ilvl w:val="0"/>
          <w:numId w:val="2"/>
        </w:numPr>
        <w:spacing w:after="60"/>
      </w:pPr>
      <w:r>
        <w:rPr>
          <w:b/>
          <w:bCs/>
        </w:rPr>
        <w:t xml:space="preserve">Grade before writing, and cite the record. </w:t>
      </w:r>
      <w:r>
        <w:t xml:space="preserve">91 of the 172 price rows sit on 49 campaigns whose tuner records read behind, stalled or wrong-direction, and none cites its record (42% last time, 53% now).</w:t>
      </w:r>
    </w:p>
    <w:p>
      <w:pPr>
        <w:spacing w:after="100"/>
      </w:pPr>
      <w:r>
        <w:t xml:space="preserve">From the logic:</w:t>
      </w:r>
    </w:p>
    <w:p>
      <w:pPr>
        <w:pStyle w:val="ListParagraph"/>
        <w:numPr>
          <w:ilvl w:val="0"/>
          <w:numId w:val="2"/>
        </w:numPr>
        <w:spacing w:after="60"/>
      </w:pPr>
      <w:r>
        <w:rPr>
          <w:b/>
          <w:bCs/>
        </w:rPr>
        <w:t xml:space="preserve">Nothing sets the market bound aside. </w:t>
      </w:r>
      <w:r>
        <w:t xml:space="preserve">The “dose push” overrides the climb cap and the market bound, which the logic does not allow (§6: “never a reason to pay more than the position costs”). Name the binding bound and the loss per order on every priced row (§8).</w:t>
      </w:r>
    </w:p>
    <w:p>
      <w:pPr>
        <w:pStyle w:val="ListParagraph"/>
        <w:numPr>
          <w:ilvl w:val="0"/>
          <w:numId w:val="2"/>
        </w:numPr>
        <w:spacing w:after="60"/>
      </w:pPr>
      <w:r>
        <w:rPr>
          <w:b/>
          <w:bCs/>
        </w:rPr>
        <w:t xml:space="preserve">No prediction, no push. </w:t>
      </w:r>
      <w:r>
        <w:t xml:space="preserve">A row without a rank prediction is priced at the ceiling (§11), and a term with no rank on file is ceiling only (§6).</w:t>
      </w:r>
    </w:p>
    <w:p>
      <w:pPr>
        <w:pStyle w:val="ListParagraph"/>
        <w:numPr>
          <w:ilvl w:val="0"/>
          <w:numId w:val="2"/>
        </w:numPr>
        <w:spacing w:after="60"/>
      </w:pPr>
      <w:r>
        <w:rPr>
          <w:b/>
          <w:bCs/>
        </w:rPr>
        <w:t xml:space="preserve">Ceilings from the serving child. </w:t>
      </w:r>
      <w:r>
        <w:t xml:space="preserve">Use the serving child’s contribution and rates, not lane figures, and re-derive them when the ad is re-pointed (§2, §3, §8).</w:t>
      </w:r>
    </w:p>
    <w:p>
      <w:pPr>
        <w:pStyle w:val="ListParagraph"/>
        <w:numPr>
          <w:ilvl w:val="0"/>
          <w:numId w:val="2"/>
        </w:numPr>
        <w:spacing w:after="60"/>
      </w:pPr>
      <w:r>
        <w:rPr>
          <w:b/>
          <w:bCs/>
        </w:rPr>
        <w:t xml:space="preserve">Suppression check. </w:t>
      </w:r>
      <w:r>
        <w:t xml:space="preserve">Check a down-only push that isn’t delivering for suppression before raising it again (§10). Every in-focus push here is down-only.</w:t>
      </w:r>
    </w:p>
    <w:p>
      <w:pPr>
        <w:pStyle w:val="ListParagraph"/>
        <w:numPr>
          <w:ilvl w:val="0"/>
          <w:numId w:val="2"/>
        </w:numPr>
        <w:spacing w:after="60"/>
      </w:pPr>
      <w:r>
        <w:rPr>
          <w:b/>
          <w:bCs/>
        </w:rPr>
        <w:t xml:space="preserve">Four conditions before a wide gap is funded. </w:t>
      </w:r>
      <w:r>
        <w:t xml:space="preserve">Read velocity, click-through, conversion and stock (§6), and state a push that can’t be funded as a shortfall (§11).</w:t>
      </w:r>
    </w:p>
    <w:p>
      <w:pPr>
        <w:spacing w:after="100"/>
      </w:pPr>
      <w:r>
        <w:t xml:space="preserve">New from this run:</w:t>
      </w:r>
    </w:p>
    <w:p>
      <w:pPr>
        <w:pStyle w:val="ListParagraph"/>
        <w:numPr>
          <w:ilvl w:val="0"/>
          <w:numId w:val="2"/>
        </w:numPr>
        <w:spacing w:after="60"/>
      </w:pPr>
      <w:r>
        <w:rPr>
          <w:b/>
          <w:bCs/>
        </w:rPr>
        <w:t xml:space="preserve">Verify execution. </w:t>
      </w:r>
      <w:r>
        <w:t xml:space="preserve">Record what loaded from every run, and keep every run in “previous”. Nothing from 09-21 loaded, and the 19 September correction on Cal King did not load either.</w:t>
      </w:r>
    </w:p>
    <w:p>
      <w:pPr>
        <w:pStyle w:val="ListParagraph"/>
        <w:numPr>
          <w:ilvl w:val="0"/>
          <w:numId w:val="2"/>
        </w:numPr>
        <w:spacing w:after="60"/>
      </w:pPr>
      <w:r>
        <w:rPr>
          <w:b/>
          <w:bCs/>
        </w:rPr>
        <w:t xml:space="preserve">Keep a row’s prose true to its column. </w:t>
      </w:r>
      <w:r>
        <w:t xml:space="preserve">369 says “held to 200%” and “not pushed” while writing 425%. 687 says “no climb” while climbing. 398 quotes a 187% version, and 2147 calls +143% “a single +30% step”.</w:t>
      </w:r>
    </w:p>
    <w:p>
      <w:pPr>
        <w:pStyle w:val="ListParagraph"/>
        <w:numPr>
          <w:ilvl w:val="0"/>
          <w:numId w:val="2"/>
        </w:numPr>
        <w:spacing w:after="60"/>
      </w:pPr>
      <w:r>
        <w:rPr>
          <w:b/>
          <w:bCs/>
        </w:rPr>
        <w:t xml:space="preserve">Bind reshape pairs. </w:t>
      </w:r>
      <w:r>
        <w:t xml:space="preserve">A modifier and its base rows load together or not at all.</w:t>
      </w:r>
    </w:p>
    <w:p>
      <w:pPr>
        <w:pStyle w:val="ListParagraph"/>
        <w:numPr>
          <w:ilvl w:val="0"/>
          <w:numId w:val="2"/>
        </w:numPr>
        <w:spacing w:after="60"/>
      </w:pPr>
      <w:r>
        <w:rPr>
          <w:b/>
          <w:bCs/>
        </w:rPr>
        <w:t xml:space="preserve">Cap predictions at what the budget buys. </w:t>
      </w:r>
      <w:r>
        <w:t xml:space="preserve">Don’t price a row above its budget in the outcome.</w:t>
      </w:r>
    </w:p>
    <w:p>
      <w:pPr>
        <w:pStyle w:val="ListParagraph"/>
        <w:numPr>
          <w:ilvl w:val="0"/>
          <w:numId w:val="2"/>
        </w:numPr>
        <w:spacing w:after="60"/>
      </w:pPr>
      <w:r>
        <w:rPr>
          <w:b/>
          <w:bCs/>
        </w:rPr>
        <w:t xml:space="preserve">A surfaced money decision needs a decision row. </w:t>
      </w:r>
      <w:r>
        <w:t xml:space="preserve">The flagship’s “a human decides” sits in a hold row no one reads.</w:t>
      </w:r>
    </w:p>
    <w:p>
      <w:pPr>
        <w:pStyle w:val="ListParagraph"/>
        <w:numPr>
          <w:ilvl w:val="0"/>
          <w:numId w:val="2"/>
        </w:numPr>
        <w:spacing w:after="60"/>
      </w:pPr>
      <w:r>
        <w:rPr>
          <w:b/>
          <w:bCs/>
        </w:rPr>
        <w:t xml:space="preserve">Names follow the child. </w:t>
      </w:r>
      <w:r>
        <w:t xml:space="preserve">Never write a child into a name that isn’t the advertised one.</w:t>
      </w:r>
    </w:p>
    <w:p>
      <w:pPr>
        <w:pStyle w:val="ListParagraph"/>
        <w:numPr>
          <w:ilvl w:val="0"/>
          <w:numId w:val="2"/>
        </w:numPr>
        <w:spacing w:after="60"/>
      </w:pPr>
      <w:r>
        <w:rPr>
          <w:b/>
          <w:bCs/>
        </w:rPr>
        <w:t xml:space="preserve">Collapse rule in focus. </w:t>
      </w:r>
      <w:r>
        <w:t xml:space="preserve">Name the cause for losses over 10 positions (§12; today the freeze starts at 30), and push the focus terms whose campaigns are tagged to another group.</w:t>
      </w:r>
    </w:p>
    <w:p>
      <w:pPr>
        <w:pStyle w:val="ListParagraph"/>
        <w:numPr>
          <w:ilvl w:val="0"/>
          <w:numId w:val="2"/>
        </w:numPr>
        <w:spacing w:after="60"/>
      </w:pPr>
      <w:r>
        <w:rPr>
          <w:b/>
          <w:bCs/>
        </w:rPr>
        <w:t xml:space="preserve">One break-even. </w:t>
      </w:r>
      <w:r>
        <w:t xml:space="preserve">The brief uses 33.3%, the sweep 34.4%, and the lane ceiling $3.51.</w:t>
      </w:r>
    </w:p>
    <w:p>
      <w:pPr>
        <w:pStyle w:val="ListParagraph"/>
        <w:numPr>
          <w:ilvl w:val="0"/>
          <w:numId w:val="2"/>
        </w:numPr>
        <w:spacing w:after="60"/>
      </w:pPr>
      <w:r>
        <w:rPr>
          <w:b/>
          <w:bCs/>
        </w:rPr>
        <w:t xml:space="preserve">Complete the campaign list. </w:t>
      </w:r>
      <w:r>
        <w:t xml:space="preserve">22 campaigns that carry decisions are missing from the export’s campaign list, so their arithmetic can’t be recomputed.</w:t>
      </w:r>
    </w:p>
    <w:p>
      <w:pPr>
        <w:pStyle w:val="Heading1"/>
      </w:pPr>
      <w:r>
        <w:t xml:space="preserve">Part D — After the deal: is this the right focus?</w:t>
      </w:r>
    </w:p>
    <w:p>
      <w:pPr>
        <w:spacing w:after="100"/>
      </w:pPr>
      <w:r>
        <w:t xml:space="preserve">The run takes the Bamboo head term out of focus and pushes California King and Bamboo|Cooling. The engine didn’t choose that; the focus is a setting on the run. What the data and the logic say about it:</w:t>
      </w:r>
    </w:p>
    <w:p>
      <w:pPr>
        <w:pStyle w:val="Heading1"/>
      </w:pPr>
      <w:r>
        <w:t xml:space="preserve">D1. The answer in one page</w:t>
      </w:r>
    </w:p>
    <w:p>
      <w:pPr>
        <w:pStyle w:val="ListParagraph"/>
        <w:numPr>
          <w:ilvl w:val="0"/>
          <w:numId w:val="2"/>
        </w:numPr>
        <w:spacing w:after="60"/>
      </w:pPr>
      <w:r>
        <w:rPr>
          <w:b/>
          <w:bCs/>
        </w:rPr>
        <w:t xml:space="preserve">The deal bought volume, not rank on the head. </w:t>
      </w:r>
      <w:r>
        <w:t xml:space="preserve">Orders rose a third at 44% ACoS against a 33% break-even; Bamboo went 35 → 33. The daily push the 21 September corrections called for never loaded, so whether more top-of-search price buys rank on “bamboo sheets” is still untested.</w:t>
      </w:r>
    </w:p>
    <w:p>
      <w:pPr>
        <w:pStyle w:val="ListParagraph"/>
        <w:numPr>
          <w:ilvl w:val="0"/>
          <w:numId w:val="2"/>
        </w:numPr>
        <w:spacing w:after="60"/>
      </w:pPr>
      <w:r>
        <w:rPr>
          <w:b/>
          <w:bCs/>
        </w:rPr>
        <w:t xml:space="preserve">The new focus is small. </w:t>
      </w:r>
      <w:r>
        <w:t xml:space="preserve">In the deal, California King spent $16 a day for 4 orders (ACoS 68%) and Bamboo|Cooling $66 a day for 22 orders (53%), against Bamboo’s $937 a day. Together they are about 7% of spend.</w:t>
      </w:r>
    </w:p>
    <w:p>
      <w:pPr>
        <w:pStyle w:val="ListParagraph"/>
        <w:numPr>
          <w:ilvl w:val="0"/>
          <w:numId w:val="2"/>
        </w:numPr>
        <w:spacing w:after="60"/>
      </w:pPr>
      <w:r>
        <w:rPr>
          <w:b/>
          <w:bCs/>
        </w:rPr>
        <w:t xml:space="preserve">Under the logic, nothing is a funded push until 10-26. </w:t>
      </w:r>
      <w:r>
        <w:t xml:space="preserve">A wide gap is funded only when sales velocity is available in the window (§6). The second deal gives two more days on its 51 ASINs, too short to fund a climb from today’s reads. After 30 September the next window is the 10-26 Lightning Deal. Until then the focus terms take capped test steps that earn the conversion read (A2), and everything else stays at maintenance: the ceiling, no premium, the 70/20 mix.</w:t>
      </w:r>
    </w:p>
    <w:p>
      <w:pPr>
        <w:pStyle w:val="ListParagraph"/>
        <w:numPr>
          <w:ilvl w:val="0"/>
          <w:numId w:val="2"/>
        </w:numPr>
        <w:spacing w:after="60"/>
      </w:pPr>
      <w:r>
        <w:rPr>
          <w:b/>
          <w:bCs/>
        </w:rPr>
        <w:t xml:space="preserve">California King fails a second condition: stock. </w:t>
      </w:r>
      <w:r>
        <w:t xml:space="preserve">The hero has 44 units and nothing inbound. The engine prices the top term’s prize at about 0.4 orders a week, the group is already at 17, and CVR fell to 8% in the deal. It stays at maintenance until White restocks.</w:t>
      </w:r>
    </w:p>
    <w:p>
      <w:pPr>
        <w:pStyle w:val="ListParagraph"/>
        <w:numPr>
          <w:ilvl w:val="0"/>
          <w:numId w:val="2"/>
        </w:numPr>
        <w:spacing w:after="60"/>
      </w:pPr>
      <w:r>
        <w:rPr>
          <w:b/>
          <w:bCs/>
        </w:rPr>
        <w:t xml:space="preserve">Bamboo|Cooling is the better half. </w:t>
      </w:r>
      <w:r>
        <w:t xml:space="preserve">The cooling groups moved most in the deal (Cooling +16, Cooling|King +21, Cooling|Queen +19), Bamboo|Cooling reached 26 mid-deal, the group converts at 11%, and its serving children have stock. But its head campaign is held (A5), and 10 of its 19 terms are not pushed.</w:t>
      </w:r>
    </w:p>
    <w:p>
      <w:pPr>
        <w:pStyle w:val="ListParagraph"/>
        <w:numPr>
          <w:ilvl w:val="0"/>
          <w:numId w:val="2"/>
        </w:numPr>
        <w:spacing w:after="60"/>
      </w:pPr>
      <w:r>
        <w:rPr>
          <w:b/>
          <w:bCs/>
        </w:rPr>
        <w:t xml:space="preserve">Bamboo|King is the candidate the run ignores. </w:t>
      </w:r>
      <w:r>
        <w:t xml:space="preserve">It moved 31 → 27 with 48 orders in the deal (ACoS 55%), click-through and conversion above the market, and 606 units landing 10-16, ten days before the next deal.</w:t>
      </w:r>
    </w:p>
    <w:p>
      <w:pPr>
        <w:pStyle w:val="ListParagraph"/>
        <w:numPr>
          <w:ilvl w:val="0"/>
          <w:numId w:val="2"/>
        </w:numPr>
        <w:spacing w:after="60"/>
      </w:pPr>
      <w:r>
        <w:rPr>
          <w:b/>
          <w:bCs/>
        </w:rPr>
        <w:t xml:space="preserve">The flagship is a funding decision, not a taper. </w:t>
      </w:r>
      <w:r>
        <w:t xml:space="preserve">The logic keeps it from being cut (§14). Funding it fully costs about $519 a day at today’s price, roughly $300 a day of it deliberate loss (B1).</w:t>
      </w:r>
    </w:p>
    <w:p>
      <w:pPr>
        <w:pStyle w:val="Heading1"/>
      </w:pPr>
      <w:r>
        <w:t xml:space="preserve">D2. The groups side by side (deal, 09-15 → 09-27)</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900"/>
        <w:gridCol w:w="900"/>
        <w:gridCol w:w="900"/>
        <w:gridCol w:w="900"/>
        <w:gridCol w:w="1300"/>
        <w:gridCol w:w="1772"/>
      </w:tblGrid>
      <w:tr>
        <w:trPr>
          <w:tblHeader/>
        </w:trPr>
        <w:tc>
          <w:tcPr>
            <w:tcW w:type="dxa" w:w="2300"/>
            <w:shd w:fill="1F3A5F" w:color="auto" w:val="clear"/>
            <w:tcMar>
              <w:top w:type="dxa" w:w="40"/>
              <w:left w:type="dxa" w:w="70"/>
              <w:bottom w:type="dxa" w:w="40"/>
              <w:right w:type="dxa" w:w="70"/>
            </w:tcMar>
          </w:tcPr>
          <w:p>
            <w:pPr>
              <w:spacing w:after="0"/>
            </w:pPr>
            <w:r>
              <w:rPr>
                <w:b/>
                <w:bCs/>
                <w:color w:val="FFFFFF"/>
                <w:sz w:val="17"/>
                <w:szCs w:val="17"/>
              </w:rPr>
              <w:t xml:space="preserve">Group</w:t>
            </w:r>
          </w:p>
        </w:tc>
        <w:tc>
          <w:tcPr>
            <w:tcW w:type="dxa" w:w="1000"/>
            <w:shd w:fill="1F3A5F" w:color="auto" w:val="clear"/>
            <w:tcMar>
              <w:top w:type="dxa" w:w="40"/>
              <w:left w:type="dxa" w:w="70"/>
              <w:bottom w:type="dxa" w:w="40"/>
              <w:right w:type="dxa" w:w="70"/>
            </w:tcMar>
          </w:tcPr>
          <w:p>
            <w:pPr>
              <w:spacing w:after="0"/>
            </w:pPr>
            <w:r>
              <w:rPr>
                <w:b/>
                <w:bCs/>
                <w:color w:val="FFFFFF"/>
                <w:sz w:val="17"/>
                <w:szCs w:val="17"/>
              </w:rPr>
              <w:t xml:space="preserve">Spend / day (before)</w:t>
            </w:r>
          </w:p>
        </w:tc>
        <w:tc>
          <w:tcPr>
            <w:tcW w:type="dxa" w:w="900"/>
            <w:shd w:fill="1F3A5F" w:color="auto" w:val="clear"/>
            <w:tcMar>
              <w:top w:type="dxa" w:w="40"/>
              <w:left w:type="dxa" w:w="70"/>
              <w:bottom w:type="dxa" w:w="40"/>
              <w:right w:type="dxa" w:w="70"/>
            </w:tcMar>
          </w:tcPr>
          <w:p>
            <w:pPr>
              <w:spacing w:after="0"/>
            </w:pPr>
            <w:r>
              <w:rPr>
                <w:b/>
                <w:bCs/>
                <w:color w:val="FFFFFF"/>
                <w:sz w:val="17"/>
                <w:szCs w:val="17"/>
              </w:rPr>
              <w:t xml:space="preserve">Orders / day (before)</w:t>
            </w:r>
          </w:p>
        </w:tc>
        <w:tc>
          <w:tcPr>
            <w:tcW w:type="dxa" w:w="900"/>
            <w:shd w:fill="1F3A5F" w:color="auto" w:val="clear"/>
            <w:tcMar>
              <w:top w:type="dxa" w:w="40"/>
              <w:left w:type="dxa" w:w="70"/>
              <w:bottom w:type="dxa" w:w="40"/>
              <w:right w:type="dxa" w:w="70"/>
            </w:tcMar>
          </w:tcPr>
          <w:p>
            <w:pPr>
              <w:spacing w:after="0"/>
            </w:pPr>
            <w:r>
              <w:rPr>
                <w:b/>
                <w:bCs/>
                <w:color w:val="FFFFFF"/>
                <w:sz w:val="17"/>
                <w:szCs w:val="17"/>
              </w:rPr>
              <w:t xml:space="preserve">ACoS (before)</w:t>
            </w:r>
          </w:p>
        </w:tc>
        <w:tc>
          <w:tcPr>
            <w:tcW w:type="dxa" w:w="900"/>
            <w:shd w:fill="1F3A5F" w:color="auto" w:val="clear"/>
            <w:tcMar>
              <w:top w:type="dxa" w:w="40"/>
              <w:left w:type="dxa" w:w="70"/>
              <w:bottom w:type="dxa" w:w="40"/>
              <w:right w:type="dxa" w:w="70"/>
            </w:tcMar>
          </w:tcPr>
          <w:p>
            <w:pPr>
              <w:spacing w:after="0"/>
            </w:pPr>
            <w:r>
              <w:rPr>
                <w:b/>
                <w:bCs/>
                <w:color w:val="FFFFFF"/>
                <w:sz w:val="17"/>
                <w:szCs w:val="17"/>
              </w:rPr>
              <w:t xml:space="preserve">CVR (before)</w:t>
            </w:r>
          </w:p>
        </w:tc>
        <w:tc>
          <w:tcPr>
            <w:tcW w:type="dxa" w:w="900"/>
            <w:shd w:fill="1F3A5F" w:color="auto" w:val="clear"/>
            <w:tcMar>
              <w:top w:type="dxa" w:w="40"/>
              <w:left w:type="dxa" w:w="70"/>
              <w:bottom w:type="dxa" w:w="40"/>
              <w:right w:type="dxa" w:w="70"/>
            </w:tcMar>
          </w:tcPr>
          <w:p>
            <w:pPr>
              <w:spacing w:after="0"/>
            </w:pPr>
            <w:r>
              <w:rPr>
                <w:b/>
                <w:bCs/>
                <w:color w:val="FFFFFF"/>
                <w:sz w:val="17"/>
                <w:szCs w:val="17"/>
              </w:rPr>
              <w:t xml:space="preserve">Rank 14 → 28 Sep</w:t>
            </w:r>
          </w:p>
        </w:tc>
        <w:tc>
          <w:tcPr>
            <w:tcW w:type="dxa" w:w="1300"/>
            <w:shd w:fill="1F3A5F" w:color="auto" w:val="clear"/>
            <w:tcMar>
              <w:top w:type="dxa" w:w="40"/>
              <w:left w:type="dxa" w:w="70"/>
              <w:bottom w:type="dxa" w:w="40"/>
              <w:right w:type="dxa" w:w="70"/>
            </w:tcMar>
          </w:tcPr>
          <w:p>
            <w:pPr>
              <w:spacing w:after="0"/>
            </w:pPr>
            <w:r>
              <w:rPr>
                <w:b/>
                <w:bCs/>
                <w:color w:val="FFFFFF"/>
                <w:sz w:val="17"/>
                <w:szCs w:val="17"/>
              </w:rPr>
              <w:t xml:space="preserve">Hero stock</w:t>
            </w:r>
          </w:p>
        </w:tc>
        <w:tc>
          <w:tcPr>
            <w:tcW w:type="dxa" w:w="1772"/>
            <w:shd w:fill="1F3A5F" w:color="auto" w:val="clear"/>
            <w:tcMar>
              <w:top w:type="dxa" w:w="40"/>
              <w:left w:type="dxa" w:w="70"/>
              <w:bottom w:type="dxa" w:w="40"/>
              <w:right w:type="dxa" w:w="70"/>
            </w:tcMar>
          </w:tcPr>
          <w:p>
            <w:pPr>
              <w:spacing w:after="0"/>
            </w:pPr>
            <w:r>
              <w:rPr>
                <w:b/>
                <w:bCs/>
                <w:color w:val="FFFFFF"/>
                <w:sz w:val="17"/>
                <w:szCs w:val="17"/>
              </w:rPr>
              <w:t xml:space="preserve">Head term (searches), rank</w:t>
            </w:r>
          </w:p>
        </w:tc>
      </w:tr>
      <w:tr>
        <w:tc>
          <w:tcPr>
            <w:tcW w:type="dxa" w:w="2300"/>
            <w:shd w:fill="FFFFFF" w:color="auto" w:val="clear"/>
            <w:tcMar>
              <w:top w:type="dxa" w:w="40"/>
              <w:left w:type="dxa" w:w="70"/>
              <w:bottom w:type="dxa" w:w="40"/>
              <w:right w:type="dxa" w:w="70"/>
            </w:tcMar>
          </w:tcPr>
          <w:p>
            <w:pPr>
              <w:spacing w:after="0"/>
            </w:pPr>
            <w:r>
              <w:rPr>
                <w:sz w:val="17"/>
                <w:szCs w:val="17"/>
              </w:rPr>
              <w:t xml:space="preserve">Bamboo (out)</w:t>
            </w:r>
          </w:p>
        </w:tc>
        <w:tc>
          <w:tcPr>
            <w:tcW w:type="dxa" w:w="1000"/>
            <w:shd w:fill="FFFFFF" w:color="auto" w:val="clear"/>
            <w:tcMar>
              <w:top w:type="dxa" w:w="40"/>
              <w:left w:type="dxa" w:w="70"/>
              <w:bottom w:type="dxa" w:w="40"/>
              <w:right w:type="dxa" w:w="70"/>
            </w:tcMar>
          </w:tcPr>
          <w:p>
            <w:pPr>
              <w:spacing w:after="0"/>
            </w:pPr>
            <w:r>
              <w:rPr>
                <w:sz w:val="17"/>
                <w:szCs w:val="17"/>
              </w:rPr>
              <w:t xml:space="preserve">$937 ($460)</w:t>
            </w:r>
          </w:p>
        </w:tc>
        <w:tc>
          <w:tcPr>
            <w:tcW w:type="dxa" w:w="900"/>
            <w:shd w:fill="FFFFFF" w:color="auto" w:val="clear"/>
            <w:tcMar>
              <w:top w:type="dxa" w:w="40"/>
              <w:left w:type="dxa" w:w="70"/>
              <w:bottom w:type="dxa" w:w="40"/>
              <w:right w:type="dxa" w:w="70"/>
            </w:tcMar>
          </w:tcPr>
          <w:p>
            <w:pPr>
              <w:spacing w:after="0"/>
            </w:pPr>
            <w:r>
              <w:rPr>
                <w:sz w:val="17"/>
                <w:szCs w:val="17"/>
              </w:rPr>
              <w:t xml:space="preserve">25.9 (17.6)</w:t>
            </w:r>
          </w:p>
        </w:tc>
        <w:tc>
          <w:tcPr>
            <w:tcW w:type="dxa" w:w="900"/>
            <w:shd w:fill="FFFFFF" w:color="auto" w:val="clear"/>
            <w:tcMar>
              <w:top w:type="dxa" w:w="40"/>
              <w:left w:type="dxa" w:w="70"/>
              <w:bottom w:type="dxa" w:w="40"/>
              <w:right w:type="dxa" w:w="70"/>
            </w:tcMar>
          </w:tcPr>
          <w:p>
            <w:pPr>
              <w:spacing w:after="0"/>
            </w:pPr>
            <w:r>
              <w:rPr>
                <w:sz w:val="17"/>
                <w:szCs w:val="17"/>
              </w:rPr>
              <w:t xml:space="preserve">50.3% (33.8%)</w:t>
            </w:r>
          </w:p>
        </w:tc>
        <w:tc>
          <w:tcPr>
            <w:tcW w:type="dxa" w:w="900"/>
            <w:shd w:fill="FFFFFF" w:color="auto" w:val="clear"/>
            <w:tcMar>
              <w:top w:type="dxa" w:w="40"/>
              <w:left w:type="dxa" w:w="70"/>
              <w:bottom w:type="dxa" w:w="40"/>
              <w:right w:type="dxa" w:w="70"/>
            </w:tcMar>
          </w:tcPr>
          <w:p>
            <w:pPr>
              <w:spacing w:after="0"/>
            </w:pPr>
            <w:r>
              <w:rPr>
                <w:sz w:val="17"/>
                <w:szCs w:val="17"/>
              </w:rPr>
              <w:t xml:space="preserve">10.7% (13.1%)</w:t>
            </w:r>
          </w:p>
        </w:tc>
        <w:tc>
          <w:tcPr>
            <w:tcW w:type="dxa" w:w="900"/>
            <w:shd w:fill="FFFFFF" w:color="auto" w:val="clear"/>
            <w:tcMar>
              <w:top w:type="dxa" w:w="40"/>
              <w:left w:type="dxa" w:w="70"/>
              <w:bottom w:type="dxa" w:w="40"/>
              <w:right w:type="dxa" w:w="70"/>
            </w:tcMar>
          </w:tcPr>
          <w:p>
            <w:pPr>
              <w:spacing w:after="0"/>
            </w:pPr>
            <w:r>
              <w:rPr>
                <w:sz w:val="17"/>
                <w:szCs w:val="17"/>
              </w:rPr>
              <w:t xml:space="preserve">35 → 33</w:t>
            </w:r>
          </w:p>
        </w:tc>
        <w:tc>
          <w:tcPr>
            <w:tcW w:type="dxa" w:w="1300"/>
            <w:shd w:fill="FFFFFF" w:color="auto" w:val="clear"/>
            <w:tcMar>
              <w:top w:type="dxa" w:w="40"/>
              <w:left w:type="dxa" w:w="70"/>
              <w:bottom w:type="dxa" w:w="40"/>
              <w:right w:type="dxa" w:w="70"/>
            </w:tcMar>
          </w:tcPr>
          <w:p>
            <w:pPr>
              <w:spacing w:after="0"/>
            </w:pPr>
            <w:r>
              <w:rPr>
                <w:sz w:val="17"/>
                <w:szCs w:val="17"/>
              </w:rPr>
              <w:t xml:space="preserve">King White 228 (+606 on 10-16); Queen White 82</w:t>
            </w:r>
          </w:p>
        </w:tc>
        <w:tc>
          <w:tcPr>
            <w:tcW w:type="dxa" w:w="1772"/>
            <w:shd w:fill="FFFFFF" w:color="auto" w:val="clear"/>
            <w:tcMar>
              <w:top w:type="dxa" w:w="40"/>
              <w:left w:type="dxa" w:w="70"/>
              <w:bottom w:type="dxa" w:w="40"/>
              <w:right w:type="dxa" w:w="70"/>
            </w:tcMar>
          </w:tcPr>
          <w:p>
            <w:pPr>
              <w:spacing w:after="0"/>
            </w:pPr>
            <w:r>
              <w:rPr>
                <w:sz w:val="17"/>
                <w:szCs w:val="17"/>
              </w:rPr>
              <w:t xml:space="preserve">bamboo sheets (490 plan clicks/wk), no current rank in brief</w:t>
            </w:r>
          </w:p>
        </w:tc>
      </w:tr>
      <w:tr>
        <w:tc>
          <w:tcPr>
            <w:tcW w:type="dxa" w:w="2300"/>
            <w:shd w:fill="F2F5F9" w:color="auto" w:val="clear"/>
            <w:tcMar>
              <w:top w:type="dxa" w:w="40"/>
              <w:left w:type="dxa" w:w="70"/>
              <w:bottom w:type="dxa" w:w="40"/>
              <w:right w:type="dxa" w:w="70"/>
            </w:tcMar>
          </w:tcPr>
          <w:p>
            <w:pPr>
              <w:spacing w:after="0"/>
            </w:pPr>
            <w:r>
              <w:rPr>
                <w:sz w:val="17"/>
                <w:szCs w:val="17"/>
              </w:rPr>
              <w:t xml:space="preserve">Bamboo|King (out)</w:t>
            </w:r>
          </w:p>
        </w:tc>
        <w:tc>
          <w:tcPr>
            <w:tcW w:type="dxa" w:w="1000"/>
            <w:shd w:fill="F2F5F9" w:color="auto" w:val="clear"/>
            <w:tcMar>
              <w:top w:type="dxa" w:w="40"/>
              <w:left w:type="dxa" w:w="70"/>
              <w:bottom w:type="dxa" w:w="40"/>
              <w:right w:type="dxa" w:w="70"/>
            </w:tcMar>
          </w:tcPr>
          <w:p>
            <w:pPr>
              <w:spacing w:after="0"/>
            </w:pPr>
            <w:r>
              <w:rPr>
                <w:sz w:val="17"/>
                <w:szCs w:val="17"/>
              </w:rPr>
              <w:t xml:space="preserve">$160 ($64)</w:t>
            </w:r>
          </w:p>
        </w:tc>
        <w:tc>
          <w:tcPr>
            <w:tcW w:type="dxa" w:w="900"/>
            <w:shd w:fill="F2F5F9" w:color="auto" w:val="clear"/>
            <w:tcMar>
              <w:top w:type="dxa" w:w="40"/>
              <w:left w:type="dxa" w:w="70"/>
              <w:bottom w:type="dxa" w:w="40"/>
              <w:right w:type="dxa" w:w="70"/>
            </w:tcMar>
          </w:tcPr>
          <w:p>
            <w:pPr>
              <w:spacing w:after="0"/>
            </w:pPr>
            <w:r>
              <w:rPr>
                <w:sz w:val="17"/>
                <w:szCs w:val="17"/>
              </w:rPr>
              <w:t xml:space="preserve">3.7 (2.2)</w:t>
            </w:r>
          </w:p>
        </w:tc>
        <w:tc>
          <w:tcPr>
            <w:tcW w:type="dxa" w:w="900"/>
            <w:shd w:fill="F2F5F9" w:color="auto" w:val="clear"/>
            <w:tcMar>
              <w:top w:type="dxa" w:w="40"/>
              <w:left w:type="dxa" w:w="70"/>
              <w:bottom w:type="dxa" w:w="40"/>
              <w:right w:type="dxa" w:w="70"/>
            </w:tcMar>
          </w:tcPr>
          <w:p>
            <w:pPr>
              <w:spacing w:after="0"/>
            </w:pPr>
            <w:r>
              <w:rPr>
                <w:sz w:val="17"/>
                <w:szCs w:val="17"/>
              </w:rPr>
              <w:t xml:space="preserve">55.1% (37.9%)</w:t>
            </w:r>
          </w:p>
        </w:tc>
        <w:tc>
          <w:tcPr>
            <w:tcW w:type="dxa" w:w="900"/>
            <w:shd w:fill="F2F5F9" w:color="auto" w:val="clear"/>
            <w:tcMar>
              <w:top w:type="dxa" w:w="40"/>
              <w:left w:type="dxa" w:w="70"/>
              <w:bottom w:type="dxa" w:w="40"/>
              <w:right w:type="dxa" w:w="70"/>
            </w:tcMar>
          </w:tcPr>
          <w:p>
            <w:pPr>
              <w:spacing w:after="0"/>
            </w:pPr>
            <w:r>
              <w:rPr>
                <w:sz w:val="17"/>
                <w:szCs w:val="17"/>
              </w:rPr>
              <w:t xml:space="preserve">10.9% (13.8%)</w:t>
            </w:r>
          </w:p>
        </w:tc>
        <w:tc>
          <w:tcPr>
            <w:tcW w:type="dxa" w:w="900"/>
            <w:shd w:fill="F2F5F9" w:color="auto" w:val="clear"/>
            <w:tcMar>
              <w:top w:type="dxa" w:w="40"/>
              <w:left w:type="dxa" w:w="70"/>
              <w:bottom w:type="dxa" w:w="40"/>
              <w:right w:type="dxa" w:w="70"/>
            </w:tcMar>
          </w:tcPr>
          <w:p>
            <w:pPr>
              <w:spacing w:after="0"/>
            </w:pPr>
            <w:r>
              <w:rPr>
                <w:sz w:val="17"/>
                <w:szCs w:val="17"/>
              </w:rPr>
              <w:t xml:space="preserve">31 → 27</w:t>
            </w:r>
          </w:p>
        </w:tc>
        <w:tc>
          <w:tcPr>
            <w:tcW w:type="dxa" w:w="1300"/>
            <w:shd w:fill="F2F5F9" w:color="auto" w:val="clear"/>
            <w:tcMar>
              <w:top w:type="dxa" w:w="40"/>
              <w:left w:type="dxa" w:w="70"/>
              <w:bottom w:type="dxa" w:w="40"/>
              <w:right w:type="dxa" w:w="70"/>
            </w:tcMar>
          </w:tcPr>
          <w:p>
            <w:pPr>
              <w:spacing w:after="0"/>
            </w:pPr>
            <w:r>
              <w:rPr>
                <w:sz w:val="17"/>
                <w:szCs w:val="17"/>
              </w:rPr>
              <w:t xml:space="preserve">King White 228 (+606 on 10-16)</w:t>
            </w:r>
          </w:p>
        </w:tc>
        <w:tc>
          <w:tcPr>
            <w:tcW w:type="dxa" w:w="1772"/>
            <w:shd w:fill="F2F5F9" w:color="auto" w:val="clear"/>
            <w:tcMar>
              <w:top w:type="dxa" w:w="40"/>
              <w:left w:type="dxa" w:w="70"/>
              <w:bottom w:type="dxa" w:w="40"/>
              <w:right w:type="dxa" w:w="70"/>
            </w:tcMar>
          </w:tcPr>
          <w:p>
            <w:pPr>
              <w:spacing w:after="0"/>
            </w:pPr>
            <w:r>
              <w:rPr>
                <w:sz w:val="17"/>
                <w:szCs w:val="17"/>
              </w:rPr>
              <w:t xml:space="preserve">bamboo sheets king size (21,541), 35</w:t>
            </w:r>
          </w:p>
        </w:tc>
      </w:tr>
      <w:tr>
        <w:tc>
          <w:tcPr>
            <w:tcW w:type="dxa" w:w="2300"/>
            <w:shd w:fill="FFFFFF" w:color="auto" w:val="clear"/>
            <w:tcMar>
              <w:top w:type="dxa" w:w="40"/>
              <w:left w:type="dxa" w:w="70"/>
              <w:bottom w:type="dxa" w:w="40"/>
              <w:right w:type="dxa" w:w="70"/>
            </w:tcMar>
          </w:tcPr>
          <w:p>
            <w:pPr>
              <w:spacing w:after="0"/>
            </w:pPr>
            <w:r>
              <w:rPr>
                <w:sz w:val="17"/>
                <w:szCs w:val="17"/>
              </w:rPr>
              <w:t xml:space="preserve">Cooling (out)</w:t>
            </w:r>
          </w:p>
        </w:tc>
        <w:tc>
          <w:tcPr>
            <w:tcW w:type="dxa" w:w="1000"/>
            <w:shd w:fill="FFFFFF" w:color="auto" w:val="clear"/>
            <w:tcMar>
              <w:top w:type="dxa" w:w="40"/>
              <w:left w:type="dxa" w:w="70"/>
              <w:bottom w:type="dxa" w:w="40"/>
              <w:right w:type="dxa" w:w="70"/>
            </w:tcMar>
          </w:tcPr>
          <w:p>
            <w:pPr>
              <w:spacing w:after="0"/>
            </w:pPr>
            <w:r>
              <w:rPr>
                <w:sz w:val="17"/>
                <w:szCs w:val="17"/>
              </w:rPr>
              <w:t xml:space="preserve">$194 ($141)</w:t>
            </w:r>
          </w:p>
        </w:tc>
        <w:tc>
          <w:tcPr>
            <w:tcW w:type="dxa" w:w="900"/>
            <w:shd w:fill="FFFFFF" w:color="auto" w:val="clear"/>
            <w:tcMar>
              <w:top w:type="dxa" w:w="40"/>
              <w:left w:type="dxa" w:w="70"/>
              <w:bottom w:type="dxa" w:w="40"/>
              <w:right w:type="dxa" w:w="70"/>
            </w:tcMar>
          </w:tcPr>
          <w:p>
            <w:pPr>
              <w:spacing w:after="0"/>
            </w:pPr>
            <w:r>
              <w:rPr>
                <w:sz w:val="17"/>
                <w:szCs w:val="17"/>
              </w:rPr>
              <w:t xml:space="preserve">5.6 (3.8)</w:t>
            </w:r>
          </w:p>
        </w:tc>
        <w:tc>
          <w:tcPr>
            <w:tcW w:type="dxa" w:w="900"/>
            <w:shd w:fill="FFFFFF" w:color="auto" w:val="clear"/>
            <w:tcMar>
              <w:top w:type="dxa" w:w="40"/>
              <w:left w:type="dxa" w:w="70"/>
              <w:bottom w:type="dxa" w:w="40"/>
              <w:right w:type="dxa" w:w="70"/>
            </w:tcMar>
          </w:tcPr>
          <w:p>
            <w:pPr>
              <w:spacing w:after="0"/>
            </w:pPr>
            <w:r>
              <w:rPr>
                <w:sz w:val="17"/>
                <w:szCs w:val="17"/>
              </w:rPr>
              <w:t xml:space="preserve">48.1% (50.0%)</w:t>
            </w:r>
          </w:p>
        </w:tc>
        <w:tc>
          <w:tcPr>
            <w:tcW w:type="dxa" w:w="900"/>
            <w:shd w:fill="FFFFFF" w:color="auto" w:val="clear"/>
            <w:tcMar>
              <w:top w:type="dxa" w:w="40"/>
              <w:left w:type="dxa" w:w="70"/>
              <w:bottom w:type="dxa" w:w="40"/>
              <w:right w:type="dxa" w:w="70"/>
            </w:tcMar>
          </w:tcPr>
          <w:p>
            <w:pPr>
              <w:spacing w:after="0"/>
            </w:pPr>
            <w:r>
              <w:rPr>
                <w:sz w:val="17"/>
                <w:szCs w:val="17"/>
              </w:rPr>
              <w:t xml:space="preserve">9.8% (8.8%)</w:t>
            </w:r>
          </w:p>
        </w:tc>
        <w:tc>
          <w:tcPr>
            <w:tcW w:type="dxa" w:w="900"/>
            <w:shd w:fill="FFFFFF" w:color="auto" w:val="clear"/>
            <w:tcMar>
              <w:top w:type="dxa" w:w="40"/>
              <w:left w:type="dxa" w:w="70"/>
              <w:bottom w:type="dxa" w:w="40"/>
              <w:right w:type="dxa" w:w="70"/>
            </w:tcMar>
          </w:tcPr>
          <w:p>
            <w:pPr>
              <w:spacing w:after="0"/>
            </w:pPr>
            <w:r>
              <w:rPr>
                <w:sz w:val="17"/>
                <w:szCs w:val="17"/>
              </w:rPr>
              <w:t xml:space="preserve">68 → 52</w:t>
            </w:r>
          </w:p>
        </w:tc>
        <w:tc>
          <w:tcPr>
            <w:tcW w:type="dxa" w:w="1300"/>
            <w:shd w:fill="FFFFFF" w:color="auto" w:val="clear"/>
            <w:tcMar>
              <w:top w:type="dxa" w:w="40"/>
              <w:left w:type="dxa" w:w="70"/>
              <w:bottom w:type="dxa" w:w="40"/>
              <w:right w:type="dxa" w:w="70"/>
            </w:tcMar>
          </w:tcPr>
          <w:p>
            <w:pPr>
              <w:spacing w:after="0"/>
            </w:pPr>
            <w:r>
              <w:rPr>
                <w:sz w:val="17"/>
                <w:szCs w:val="17"/>
              </w:rPr>
              <w:t xml:space="preserve">by size</w:t>
            </w:r>
          </w:p>
        </w:tc>
        <w:tc>
          <w:tcPr>
            <w:tcW w:type="dxa" w:w="1772"/>
            <w:shd w:fill="FFFFFF" w:color="auto" w:val="clear"/>
            <w:tcMar>
              <w:top w:type="dxa" w:w="40"/>
              <w:left w:type="dxa" w:w="70"/>
              <w:bottom w:type="dxa" w:w="40"/>
              <w:right w:type="dxa" w:w="70"/>
            </w:tcMar>
          </w:tcPr>
          <w:p>
            <w:pPr>
              <w:spacing w:after="0"/>
            </w:pPr>
            <w:r>
              <w:rPr>
                <w:sz w:val="17"/>
                <w:szCs w:val="17"/>
              </w:rPr>
              <w:t xml:space="preserve">cooling sheets (77,377), 43</w:t>
            </w:r>
          </w:p>
        </w:tc>
      </w:tr>
      <w:tr>
        <w:tc>
          <w:tcPr>
            <w:tcW w:type="dxa" w:w="2300"/>
            <w:shd w:fill="F2F5F9" w:color="auto" w:val="clear"/>
            <w:tcMar>
              <w:top w:type="dxa" w:w="40"/>
              <w:left w:type="dxa" w:w="70"/>
              <w:bottom w:type="dxa" w:w="40"/>
              <w:right w:type="dxa" w:w="70"/>
            </w:tcMar>
          </w:tcPr>
          <w:p>
            <w:pPr>
              <w:spacing w:after="0"/>
            </w:pPr>
            <w:r>
              <w:rPr>
                <w:sz w:val="17"/>
                <w:szCs w:val="17"/>
              </w:rPr>
              <w:t xml:space="preserve">Bamboo|Cooling (focus)</w:t>
            </w:r>
          </w:p>
        </w:tc>
        <w:tc>
          <w:tcPr>
            <w:tcW w:type="dxa" w:w="1000"/>
            <w:shd w:fill="F2F5F9" w:color="auto" w:val="clear"/>
            <w:tcMar>
              <w:top w:type="dxa" w:w="40"/>
              <w:left w:type="dxa" w:w="70"/>
              <w:bottom w:type="dxa" w:w="40"/>
              <w:right w:type="dxa" w:w="70"/>
            </w:tcMar>
          </w:tcPr>
          <w:p>
            <w:pPr>
              <w:spacing w:after="0"/>
            </w:pPr>
            <w:r>
              <w:rPr>
                <w:sz w:val="17"/>
                <w:szCs w:val="17"/>
              </w:rPr>
              <w:t xml:space="preserve">$66 ($14)</w:t>
            </w:r>
          </w:p>
        </w:tc>
        <w:tc>
          <w:tcPr>
            <w:tcW w:type="dxa" w:w="900"/>
            <w:shd w:fill="F2F5F9" w:color="auto" w:val="clear"/>
            <w:tcMar>
              <w:top w:type="dxa" w:w="40"/>
              <w:left w:type="dxa" w:w="70"/>
              <w:bottom w:type="dxa" w:w="40"/>
              <w:right w:type="dxa" w:w="70"/>
            </w:tcMar>
          </w:tcPr>
          <w:p>
            <w:pPr>
              <w:spacing w:after="0"/>
            </w:pPr>
            <w:r>
              <w:rPr>
                <w:sz w:val="17"/>
                <w:szCs w:val="17"/>
              </w:rPr>
              <w:t xml:space="preserve">1.7 (0.2)</w:t>
            </w:r>
          </w:p>
        </w:tc>
        <w:tc>
          <w:tcPr>
            <w:tcW w:type="dxa" w:w="900"/>
            <w:shd w:fill="F2F5F9" w:color="auto" w:val="clear"/>
            <w:tcMar>
              <w:top w:type="dxa" w:w="40"/>
              <w:left w:type="dxa" w:w="70"/>
              <w:bottom w:type="dxa" w:w="40"/>
              <w:right w:type="dxa" w:w="70"/>
            </w:tcMar>
          </w:tcPr>
          <w:p>
            <w:pPr>
              <w:spacing w:after="0"/>
            </w:pPr>
            <w:r>
              <w:rPr>
                <w:sz w:val="17"/>
                <w:szCs w:val="17"/>
              </w:rPr>
              <w:t xml:space="preserve">53.4% (76.9%)</w:t>
            </w:r>
          </w:p>
        </w:tc>
        <w:tc>
          <w:tcPr>
            <w:tcW w:type="dxa" w:w="900"/>
            <w:shd w:fill="F2F5F9" w:color="auto" w:val="clear"/>
            <w:tcMar>
              <w:top w:type="dxa" w:w="40"/>
              <w:left w:type="dxa" w:w="70"/>
              <w:bottom w:type="dxa" w:w="40"/>
              <w:right w:type="dxa" w:w="70"/>
            </w:tcMar>
          </w:tcPr>
          <w:p>
            <w:pPr>
              <w:spacing w:after="0"/>
            </w:pPr>
            <w:r>
              <w:rPr>
                <w:sz w:val="17"/>
                <w:szCs w:val="17"/>
              </w:rPr>
              <w:t xml:space="preserve">11.1% (5.4%)</w:t>
            </w:r>
          </w:p>
        </w:tc>
        <w:tc>
          <w:tcPr>
            <w:tcW w:type="dxa" w:w="900"/>
            <w:shd w:fill="F2F5F9" w:color="auto" w:val="clear"/>
            <w:tcMar>
              <w:top w:type="dxa" w:w="40"/>
              <w:left w:type="dxa" w:w="70"/>
              <w:bottom w:type="dxa" w:w="40"/>
              <w:right w:type="dxa" w:w="70"/>
            </w:tcMar>
          </w:tcPr>
          <w:p>
            <w:pPr>
              <w:spacing w:after="0"/>
            </w:pPr>
            <w:r>
              <w:rPr>
                <w:sz w:val="17"/>
                <w:szCs w:val="17"/>
              </w:rPr>
              <w:t xml:space="preserve">36 → 31</w:t>
            </w:r>
          </w:p>
        </w:tc>
        <w:tc>
          <w:tcPr>
            <w:tcW w:type="dxa" w:w="1300"/>
            <w:shd w:fill="F2F5F9" w:color="auto" w:val="clear"/>
            <w:tcMar>
              <w:top w:type="dxa" w:w="40"/>
              <w:left w:type="dxa" w:w="70"/>
              <w:bottom w:type="dxa" w:w="40"/>
              <w:right w:type="dxa" w:w="70"/>
            </w:tcMar>
          </w:tcPr>
          <w:p>
            <w:pPr>
              <w:spacing w:after="0"/>
            </w:pPr>
            <w:r>
              <w:rPr>
                <w:sz w:val="17"/>
                <w:szCs w:val="17"/>
              </w:rPr>
              <w:t xml:space="preserve">King / Queen</w:t>
            </w:r>
          </w:p>
        </w:tc>
        <w:tc>
          <w:tcPr>
            <w:tcW w:type="dxa" w:w="1772"/>
            <w:shd w:fill="F2F5F9" w:color="auto" w:val="clear"/>
            <w:tcMar>
              <w:top w:type="dxa" w:w="40"/>
              <w:left w:type="dxa" w:w="70"/>
              <w:bottom w:type="dxa" w:w="40"/>
              <w:right w:type="dxa" w:w="70"/>
            </w:tcMar>
          </w:tcPr>
          <w:p>
            <w:pPr>
              <w:spacing w:after="0"/>
            </w:pPr>
            <w:r>
              <w:rPr>
                <w:sz w:val="17"/>
                <w:szCs w:val="17"/>
              </w:rPr>
              <w:t xml:space="preserve">bamboo cooling sheets (8,166), 30</w:t>
            </w:r>
          </w:p>
        </w:tc>
      </w:tr>
      <w:tr>
        <w:tc>
          <w:tcPr>
            <w:tcW w:type="dxa" w:w="2300"/>
            <w:shd w:fill="FFFFFF" w:color="auto" w:val="clear"/>
            <w:tcMar>
              <w:top w:type="dxa" w:w="40"/>
              <w:left w:type="dxa" w:w="70"/>
              <w:bottom w:type="dxa" w:w="40"/>
              <w:right w:type="dxa" w:w="70"/>
            </w:tcMar>
          </w:tcPr>
          <w:p>
            <w:pPr>
              <w:spacing w:after="0"/>
            </w:pPr>
            <w:r>
              <w:rPr>
                <w:sz w:val="17"/>
                <w:szCs w:val="17"/>
              </w:rPr>
              <w:t xml:space="preserve">Bamboo|California King (focus)</w:t>
            </w:r>
          </w:p>
        </w:tc>
        <w:tc>
          <w:tcPr>
            <w:tcW w:type="dxa" w:w="1000"/>
            <w:shd w:fill="FFFFFF" w:color="auto" w:val="clear"/>
            <w:tcMar>
              <w:top w:type="dxa" w:w="40"/>
              <w:left w:type="dxa" w:w="70"/>
              <w:bottom w:type="dxa" w:w="40"/>
              <w:right w:type="dxa" w:w="70"/>
            </w:tcMar>
          </w:tcPr>
          <w:p>
            <w:pPr>
              <w:spacing w:after="0"/>
            </w:pPr>
            <w:r>
              <w:rPr>
                <w:sz w:val="17"/>
                <w:szCs w:val="17"/>
              </w:rPr>
              <w:t xml:space="preserve">$16 ($7)</w:t>
            </w:r>
          </w:p>
        </w:tc>
        <w:tc>
          <w:tcPr>
            <w:tcW w:type="dxa" w:w="900"/>
            <w:shd w:fill="FFFFFF" w:color="auto" w:val="clear"/>
            <w:tcMar>
              <w:top w:type="dxa" w:w="40"/>
              <w:left w:type="dxa" w:w="70"/>
              <w:bottom w:type="dxa" w:w="40"/>
              <w:right w:type="dxa" w:w="70"/>
            </w:tcMar>
          </w:tcPr>
          <w:p>
            <w:pPr>
              <w:spacing w:after="0"/>
            </w:pPr>
            <w:r>
              <w:rPr>
                <w:sz w:val="17"/>
                <w:szCs w:val="17"/>
              </w:rPr>
              <w:t xml:space="preserve">0.3 (0.5)</w:t>
            </w:r>
          </w:p>
        </w:tc>
        <w:tc>
          <w:tcPr>
            <w:tcW w:type="dxa" w:w="900"/>
            <w:shd w:fill="FFFFFF" w:color="auto" w:val="clear"/>
            <w:tcMar>
              <w:top w:type="dxa" w:w="40"/>
              <w:left w:type="dxa" w:w="70"/>
              <w:bottom w:type="dxa" w:w="40"/>
              <w:right w:type="dxa" w:w="70"/>
            </w:tcMar>
          </w:tcPr>
          <w:p>
            <w:pPr>
              <w:spacing w:after="0"/>
            </w:pPr>
            <w:r>
              <w:rPr>
                <w:sz w:val="17"/>
                <w:szCs w:val="17"/>
              </w:rPr>
              <w:t xml:space="preserve">67.9% (18.8%)</w:t>
            </w:r>
          </w:p>
        </w:tc>
        <w:tc>
          <w:tcPr>
            <w:tcW w:type="dxa" w:w="900"/>
            <w:shd w:fill="FFFFFF" w:color="auto" w:val="clear"/>
            <w:tcMar>
              <w:top w:type="dxa" w:w="40"/>
              <w:left w:type="dxa" w:w="70"/>
              <w:bottom w:type="dxa" w:w="40"/>
              <w:right w:type="dxa" w:w="70"/>
            </w:tcMar>
          </w:tcPr>
          <w:p>
            <w:pPr>
              <w:spacing w:after="0"/>
            </w:pPr>
            <w:r>
              <w:rPr>
                <w:sz w:val="17"/>
                <w:szCs w:val="17"/>
              </w:rPr>
              <w:t xml:space="preserve">8.0% (21.4%)</w:t>
            </w:r>
          </w:p>
        </w:tc>
        <w:tc>
          <w:tcPr>
            <w:tcW w:type="dxa" w:w="900"/>
            <w:shd w:fill="FFFFFF" w:color="auto" w:val="clear"/>
            <w:tcMar>
              <w:top w:type="dxa" w:w="40"/>
              <w:left w:type="dxa" w:w="70"/>
              <w:bottom w:type="dxa" w:w="40"/>
              <w:right w:type="dxa" w:w="70"/>
            </w:tcMar>
          </w:tcPr>
          <w:p>
            <w:pPr>
              <w:spacing w:after="0"/>
            </w:pPr>
            <w:r>
              <w:rPr>
                <w:sz w:val="17"/>
                <w:szCs w:val="17"/>
              </w:rPr>
              <w:t xml:space="preserve">19 → 17</w:t>
            </w:r>
          </w:p>
        </w:tc>
        <w:tc>
          <w:tcPr>
            <w:tcW w:type="dxa" w:w="1300"/>
            <w:shd w:fill="FFFFFF" w:color="auto" w:val="clear"/>
            <w:tcMar>
              <w:top w:type="dxa" w:w="40"/>
              <w:left w:type="dxa" w:w="70"/>
              <w:bottom w:type="dxa" w:w="40"/>
              <w:right w:type="dxa" w:w="70"/>
            </w:tcMar>
          </w:tcPr>
          <w:p>
            <w:pPr>
              <w:spacing w:after="0"/>
            </w:pPr>
            <w:r>
              <w:rPr>
                <w:sz w:val="17"/>
                <w:szCs w:val="17"/>
              </w:rPr>
              <w:t xml:space="preserve">Cal King White 44, none inbound; Burgundy-New 76</w:t>
            </w:r>
          </w:p>
        </w:tc>
        <w:tc>
          <w:tcPr>
            <w:tcW w:type="dxa" w:w="1772"/>
            <w:shd w:fill="FFFFFF" w:color="auto" w:val="clear"/>
            <w:tcMar>
              <w:top w:type="dxa" w:w="40"/>
              <w:left w:type="dxa" w:w="70"/>
              <w:bottom w:type="dxa" w:w="40"/>
              <w:right w:type="dxa" w:w="70"/>
            </w:tcMar>
          </w:tcPr>
          <w:p>
            <w:pPr>
              <w:spacing w:after="0"/>
            </w:pPr>
            <w:r>
              <w:rPr>
                <w:sz w:val="17"/>
                <w:szCs w:val="17"/>
              </w:rPr>
              <w:t xml:space="preserve">bamboo sheets california king (1,671), 16</w:t>
            </w:r>
          </w:p>
        </w:tc>
      </w:tr>
    </w:tbl>
    <w:p>
      <w:pPr>
        <w:spacing w:after="120"/>
      </w:pPr>
      <w:r>
        <w:rPr>
          <w:i/>
          <w:iCs/>
          <w:color w:val="555555"/>
          <w:sz w:val="17"/>
          <w:szCs w:val="17"/>
        </w:rPr>
        <w:t xml:space="preserve">Command Center syntax-group summaries; a term counts in every group it matches, so groups overlap. Before = the 13 days 09-02 → 09-14. Deal-week sales are still settling.</w:t>
      </w:r>
    </w:p>
    <w:p>
      <w:pPr>
        <w:pStyle w:val="Heading1"/>
      </w:pPr>
      <w:r>
        <w:t xml:space="preserve">D3. The four conditions (the logic, §6)</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891"/>
        <w:gridCol w:w="1461"/>
        <w:gridCol w:w="1719"/>
        <w:gridCol w:w="1891"/>
        <w:gridCol w:w="1719"/>
        <w:gridCol w:w="1291"/>
      </w:tblGrid>
      <w:tr>
        <w:trPr>
          <w:tblHeader/>
        </w:trPr>
        <w:tc>
          <w:tcPr>
            <w:tcW w:type="dxa" w:w="1891"/>
            <w:shd w:fill="1F3A5F" w:color="auto" w:val="clear"/>
            <w:tcMar>
              <w:top w:type="dxa" w:w="40"/>
              <w:left w:type="dxa" w:w="70"/>
              <w:bottom w:type="dxa" w:w="40"/>
              <w:right w:type="dxa" w:w="70"/>
            </w:tcMar>
          </w:tcPr>
          <w:p>
            <w:pPr>
              <w:spacing w:after="0"/>
            </w:pPr>
            <w:r>
              <w:rPr>
                <w:b/>
                <w:bCs/>
                <w:color w:val="FFFFFF"/>
                <w:sz w:val="17"/>
                <w:szCs w:val="17"/>
              </w:rPr>
              <w:t xml:space="preserve">Group</w:t>
            </w:r>
          </w:p>
        </w:tc>
        <w:tc>
          <w:tcPr>
            <w:tcW w:type="dxa" w:w="1461"/>
            <w:shd w:fill="1F3A5F" w:color="auto" w:val="clear"/>
            <w:tcMar>
              <w:top w:type="dxa" w:w="40"/>
              <w:left w:type="dxa" w:w="70"/>
              <w:bottom w:type="dxa" w:w="40"/>
              <w:right w:type="dxa" w:w="70"/>
            </w:tcMar>
          </w:tcPr>
          <w:p>
            <w:pPr>
              <w:spacing w:after="0"/>
            </w:pPr>
            <w:r>
              <w:rPr>
                <w:b/>
                <w:bCs/>
                <w:color w:val="FFFFFF"/>
                <w:sz w:val="17"/>
                <w:szCs w:val="17"/>
              </w:rPr>
              <w:t xml:space="preserve">Sales velocity in the window</w:t>
            </w:r>
          </w:p>
        </w:tc>
        <w:tc>
          <w:tcPr>
            <w:tcW w:type="dxa" w:w="1719"/>
            <w:shd w:fill="1F3A5F" w:color="auto" w:val="clear"/>
            <w:tcMar>
              <w:top w:type="dxa" w:w="40"/>
              <w:left w:type="dxa" w:w="70"/>
              <w:bottom w:type="dxa" w:w="40"/>
              <w:right w:type="dxa" w:w="70"/>
            </w:tcMar>
          </w:tcPr>
          <w:p>
            <w:pPr>
              <w:spacing w:after="0"/>
            </w:pPr>
            <w:r>
              <w:rPr>
                <w:b/>
                <w:bCs/>
                <w:color w:val="FFFFFF"/>
                <w:sz w:val="17"/>
                <w:szCs w:val="17"/>
              </w:rPr>
              <w:t xml:space="preserve">Click-through above market</w:t>
            </w:r>
          </w:p>
        </w:tc>
        <w:tc>
          <w:tcPr>
            <w:tcW w:type="dxa" w:w="1891"/>
            <w:shd w:fill="1F3A5F" w:color="auto" w:val="clear"/>
            <w:tcMar>
              <w:top w:type="dxa" w:w="40"/>
              <w:left w:type="dxa" w:w="70"/>
              <w:bottom w:type="dxa" w:w="40"/>
              <w:right w:type="dxa" w:w="70"/>
            </w:tcMar>
          </w:tcPr>
          <w:p>
            <w:pPr>
              <w:spacing w:after="0"/>
            </w:pPr>
            <w:r>
              <w:rPr>
                <w:b/>
                <w:bCs/>
                <w:color w:val="FFFFFF"/>
                <w:sz w:val="17"/>
                <w:szCs w:val="17"/>
              </w:rPr>
              <w:t xml:space="preserve">Conversion above market</w:t>
            </w:r>
          </w:p>
        </w:tc>
        <w:tc>
          <w:tcPr>
            <w:tcW w:type="dxa" w:w="1719"/>
            <w:shd w:fill="1F3A5F" w:color="auto" w:val="clear"/>
            <w:tcMar>
              <w:top w:type="dxa" w:w="40"/>
              <w:left w:type="dxa" w:w="70"/>
              <w:bottom w:type="dxa" w:w="40"/>
              <w:right w:type="dxa" w:w="70"/>
            </w:tcMar>
          </w:tcPr>
          <w:p>
            <w:pPr>
              <w:spacing w:after="0"/>
            </w:pPr>
            <w:r>
              <w:rPr>
                <w:b/>
                <w:bCs/>
                <w:color w:val="FFFFFF"/>
                <w:sz w:val="17"/>
                <w:szCs w:val="17"/>
              </w:rPr>
              <w:t xml:space="preserve">Stock to sustain it</w:t>
            </w:r>
          </w:p>
        </w:tc>
        <w:tc>
          <w:tcPr>
            <w:tcW w:type="dxa" w:w="1291"/>
            <w:shd w:fill="1F3A5F" w:color="auto" w:val="clear"/>
            <w:tcMar>
              <w:top w:type="dxa" w:w="40"/>
              <w:left w:type="dxa" w:w="70"/>
              <w:bottom w:type="dxa" w:w="40"/>
              <w:right w:type="dxa" w:w="70"/>
            </w:tcMar>
          </w:tcPr>
          <w:p>
            <w:pPr>
              <w:spacing w:after="0"/>
            </w:pPr>
            <w:r>
              <w:rPr>
                <w:b/>
                <w:bCs/>
                <w:color w:val="FFFFFF"/>
                <w:sz w:val="17"/>
                <w:szCs w:val="17"/>
              </w:rPr>
              <w:t xml:space="preserve">Verdict</w:t>
            </w:r>
          </w:p>
        </w:tc>
      </w:tr>
      <w:tr>
        <w:tc>
          <w:tcPr>
            <w:tcW w:type="dxa" w:w="1891"/>
            <w:shd w:fill="FFFFFF" w:color="auto" w:val="clear"/>
            <w:tcMar>
              <w:top w:type="dxa" w:w="40"/>
              <w:left w:type="dxa" w:w="70"/>
              <w:bottom w:type="dxa" w:w="40"/>
              <w:right w:type="dxa" w:w="70"/>
            </w:tcMar>
          </w:tcPr>
          <w:p>
            <w:pPr>
              <w:spacing w:after="0"/>
            </w:pPr>
            <w:r>
              <w:rPr>
                <w:sz w:val="17"/>
                <w:szCs w:val="17"/>
              </w:rPr>
              <w:t xml:space="preserve">Bamboo|California King (focus)</w:t>
            </w:r>
          </w:p>
        </w:tc>
        <w:tc>
          <w:tcPr>
            <w:tcW w:type="dxa" w:w="1461"/>
            <w:shd w:fill="FFFFFF" w:color="auto" w:val="clear"/>
            <w:tcMar>
              <w:top w:type="dxa" w:w="40"/>
              <w:left w:type="dxa" w:w="70"/>
              <w:bottom w:type="dxa" w:w="40"/>
              <w:right w:type="dxa" w:w="70"/>
            </w:tcMar>
          </w:tcPr>
          <w:p>
            <w:pPr>
              <w:spacing w:after="0"/>
            </w:pPr>
            <w:r>
              <w:rPr>
                <w:sz w:val="17"/>
                <w:szCs w:val="17"/>
              </w:rPr>
              <w:t xml:space="preserve">Second deal to 09-30, then none until 10-26</w:t>
            </w:r>
          </w:p>
        </w:tc>
        <w:tc>
          <w:tcPr>
            <w:tcW w:type="dxa" w:w="1719"/>
            <w:shd w:fill="FFFFFF" w:color="auto" w:val="clear"/>
            <w:tcMar>
              <w:top w:type="dxa" w:w="40"/>
              <w:left w:type="dxa" w:w="70"/>
              <w:bottom w:type="dxa" w:w="40"/>
              <w:right w:type="dxa" w:w="70"/>
            </w:tcMar>
          </w:tcPr>
          <w:p>
            <w:pPr>
              <w:spacing w:after="0"/>
            </w:pPr>
            <w:r>
              <w:rPr>
                <w:sz w:val="17"/>
                <w:szCs w:val="17"/>
              </w:rPr>
              <w:t xml:space="preserve">Yes: 7.3% vs 1.9% at top of search on the head term</w:t>
            </w:r>
          </w:p>
        </w:tc>
        <w:tc>
          <w:tcPr>
            <w:tcW w:type="dxa" w:w="1891"/>
            <w:shd w:fill="FFFFFF" w:color="auto" w:val="clear"/>
            <w:tcMar>
              <w:top w:type="dxa" w:w="40"/>
              <w:left w:type="dxa" w:w="70"/>
              <w:bottom w:type="dxa" w:w="40"/>
              <w:right w:type="dxa" w:w="70"/>
            </w:tcMar>
          </w:tcPr>
          <w:p>
            <w:pPr>
              <w:spacing w:after="0"/>
            </w:pPr>
            <w:r>
              <w:rPr>
                <w:sz w:val="17"/>
                <w:szCs w:val="17"/>
              </w:rPr>
              <w:t xml:space="preserve">Not shown: 0 orders on 9 clicks on the head term; group 8.0% in the deal</w:t>
            </w:r>
          </w:p>
        </w:tc>
        <w:tc>
          <w:tcPr>
            <w:tcW w:type="dxa" w:w="1719"/>
            <w:shd w:fill="FFFFFF" w:color="auto" w:val="clear"/>
            <w:tcMar>
              <w:top w:type="dxa" w:w="40"/>
              <w:left w:type="dxa" w:w="70"/>
              <w:bottom w:type="dxa" w:w="40"/>
              <w:right w:type="dxa" w:w="70"/>
            </w:tcMar>
          </w:tcPr>
          <w:p>
            <w:pPr>
              <w:spacing w:after="0"/>
            </w:pPr>
            <w:r>
              <w:rPr>
                <w:sz w:val="17"/>
                <w:szCs w:val="17"/>
              </w:rPr>
              <w:t xml:space="preserve">No: hero 44 units, none inbound; Burgundy-New 76</w:t>
            </w:r>
          </w:p>
        </w:tc>
        <w:tc>
          <w:tcPr>
            <w:tcW w:type="dxa" w:w="1291"/>
            <w:shd w:fill="FFFFFF" w:color="auto" w:val="clear"/>
            <w:tcMar>
              <w:top w:type="dxa" w:w="40"/>
              <w:left w:type="dxa" w:w="70"/>
              <w:bottom w:type="dxa" w:w="40"/>
              <w:right w:type="dxa" w:w="70"/>
            </w:tcMar>
          </w:tcPr>
          <w:p>
            <w:pPr>
              <w:spacing w:after="0"/>
            </w:pPr>
            <w:r>
              <w:rPr>
                <w:sz w:val="17"/>
                <w:szCs w:val="17"/>
              </w:rPr>
              <w:t xml:space="preserve">Maintenance</w:t>
            </w:r>
          </w:p>
        </w:tc>
      </w:tr>
      <w:tr>
        <w:tc>
          <w:tcPr>
            <w:tcW w:type="dxa" w:w="1891"/>
            <w:shd w:fill="F2F5F9" w:color="auto" w:val="clear"/>
            <w:tcMar>
              <w:top w:type="dxa" w:w="40"/>
              <w:left w:type="dxa" w:w="70"/>
              <w:bottom w:type="dxa" w:w="40"/>
              <w:right w:type="dxa" w:w="70"/>
            </w:tcMar>
          </w:tcPr>
          <w:p>
            <w:pPr>
              <w:spacing w:after="0"/>
            </w:pPr>
            <w:r>
              <w:rPr>
                <w:sz w:val="17"/>
                <w:szCs w:val="17"/>
              </w:rPr>
              <w:t xml:space="preserve">Bamboo|Cooling (focus)</w:t>
            </w:r>
          </w:p>
        </w:tc>
        <w:tc>
          <w:tcPr>
            <w:tcW w:type="dxa" w:w="1461"/>
            <w:shd w:fill="F2F5F9" w:color="auto" w:val="clear"/>
            <w:tcMar>
              <w:top w:type="dxa" w:w="40"/>
              <w:left w:type="dxa" w:w="70"/>
              <w:bottom w:type="dxa" w:w="40"/>
              <w:right w:type="dxa" w:w="70"/>
            </w:tcMar>
          </w:tcPr>
          <w:p>
            <w:pPr>
              <w:spacing w:after="0"/>
            </w:pPr>
            <w:r>
              <w:rPr>
                <w:sz w:val="17"/>
                <w:szCs w:val="17"/>
              </w:rPr>
              <w:t xml:space="preserve">Second deal to 09-30, then none until 10-26</w:t>
            </w:r>
          </w:p>
        </w:tc>
        <w:tc>
          <w:tcPr>
            <w:tcW w:type="dxa" w:w="1719"/>
            <w:shd w:fill="F2F5F9" w:color="auto" w:val="clear"/>
            <w:tcMar>
              <w:top w:type="dxa" w:w="40"/>
              <w:left w:type="dxa" w:w="70"/>
              <w:bottom w:type="dxa" w:w="40"/>
              <w:right w:type="dxa" w:w="70"/>
            </w:tcMar>
          </w:tcPr>
          <w:p>
            <w:pPr>
              <w:spacing w:after="0"/>
            </w:pPr>
            <w:r>
              <w:rPr>
                <w:sz w:val="17"/>
                <w:szCs w:val="17"/>
              </w:rPr>
              <w:t xml:space="preserve">Yes: 5.6% vs 1.8% on “cooling bamboo sheets”</w:t>
            </w:r>
          </w:p>
        </w:tc>
        <w:tc>
          <w:tcPr>
            <w:tcW w:type="dxa" w:w="1891"/>
            <w:shd w:fill="F2F5F9" w:color="auto" w:val="clear"/>
            <w:tcMar>
              <w:top w:type="dxa" w:w="40"/>
              <w:left w:type="dxa" w:w="70"/>
              <w:bottom w:type="dxa" w:w="40"/>
              <w:right w:type="dxa" w:w="70"/>
            </w:tcMar>
          </w:tcPr>
          <w:p>
            <w:pPr>
              <w:spacing w:after="0"/>
            </w:pPr>
            <w:r>
              <w:rPr>
                <w:sz w:val="17"/>
                <w:szCs w:val="17"/>
              </w:rPr>
              <w:t xml:space="preserve">Group 11.1% in the deal; the pushed terms have no orders yet</w:t>
            </w:r>
          </w:p>
        </w:tc>
        <w:tc>
          <w:tcPr>
            <w:tcW w:type="dxa" w:w="1719"/>
            <w:shd w:fill="F2F5F9" w:color="auto" w:val="clear"/>
            <w:tcMar>
              <w:top w:type="dxa" w:w="40"/>
              <w:left w:type="dxa" w:w="70"/>
              <w:bottom w:type="dxa" w:w="40"/>
              <w:right w:type="dxa" w:w="70"/>
            </w:tcMar>
          </w:tcPr>
          <w:p>
            <w:pPr>
              <w:spacing w:after="0"/>
            </w:pPr>
            <w:r>
              <w:rPr>
                <w:sz w:val="17"/>
                <w:szCs w:val="17"/>
              </w:rPr>
              <w:t xml:space="preserve">Yes on serving children (King Creme 504, Queen Olive 325)</w:t>
            </w:r>
          </w:p>
        </w:tc>
        <w:tc>
          <w:tcPr>
            <w:tcW w:type="dxa" w:w="1291"/>
            <w:shd w:fill="F2F5F9" w:color="auto" w:val="clear"/>
            <w:tcMar>
              <w:top w:type="dxa" w:w="40"/>
              <w:left w:type="dxa" w:w="70"/>
              <w:bottom w:type="dxa" w:w="40"/>
              <w:right w:type="dxa" w:w="70"/>
            </w:tcMar>
          </w:tcPr>
          <w:p>
            <w:pPr>
              <w:spacing w:after="0"/>
            </w:pPr>
            <w:r>
              <w:rPr>
                <w:sz w:val="17"/>
                <w:szCs w:val="17"/>
              </w:rPr>
              <w:t xml:space="preserve">Test now, fund for 10-26</w:t>
            </w:r>
          </w:p>
        </w:tc>
      </w:tr>
      <w:tr>
        <w:tc>
          <w:tcPr>
            <w:tcW w:type="dxa" w:w="1891"/>
            <w:shd w:fill="FFFFFF" w:color="auto" w:val="clear"/>
            <w:tcMar>
              <w:top w:type="dxa" w:w="40"/>
              <w:left w:type="dxa" w:w="70"/>
              <w:bottom w:type="dxa" w:w="40"/>
              <w:right w:type="dxa" w:w="70"/>
            </w:tcMar>
          </w:tcPr>
          <w:p>
            <w:pPr>
              <w:spacing w:after="0"/>
            </w:pPr>
            <w:r>
              <w:rPr>
                <w:sz w:val="17"/>
                <w:szCs w:val="17"/>
              </w:rPr>
              <w:t xml:space="preserve">Bamboo|King (out)</w:t>
            </w:r>
          </w:p>
        </w:tc>
        <w:tc>
          <w:tcPr>
            <w:tcW w:type="dxa" w:w="1461"/>
            <w:shd w:fill="FFFFFF" w:color="auto" w:val="clear"/>
            <w:tcMar>
              <w:top w:type="dxa" w:w="40"/>
              <w:left w:type="dxa" w:w="70"/>
              <w:bottom w:type="dxa" w:w="40"/>
              <w:right w:type="dxa" w:w="70"/>
            </w:tcMar>
          </w:tcPr>
          <w:p>
            <w:pPr>
              <w:spacing w:after="0"/>
            </w:pPr>
            <w:r>
              <w:rPr>
                <w:sz w:val="17"/>
                <w:szCs w:val="17"/>
              </w:rPr>
              <w:t xml:space="preserve">Second deal to 09-30, then none until 10-26</w:t>
            </w:r>
          </w:p>
        </w:tc>
        <w:tc>
          <w:tcPr>
            <w:tcW w:type="dxa" w:w="1719"/>
            <w:shd w:fill="FFFFFF" w:color="auto" w:val="clear"/>
            <w:tcMar>
              <w:top w:type="dxa" w:w="40"/>
              <w:left w:type="dxa" w:w="70"/>
              <w:bottom w:type="dxa" w:w="40"/>
              <w:right w:type="dxa" w:w="70"/>
            </w:tcMar>
          </w:tcPr>
          <w:p>
            <w:pPr>
              <w:spacing w:after="0"/>
            </w:pPr>
            <w:r>
              <w:rPr>
                <w:sz w:val="17"/>
                <w:szCs w:val="17"/>
              </w:rPr>
              <w:t xml:space="preserve">Yes: 6.7% vs 1.9% (21 Sep D5)</w:t>
            </w:r>
          </w:p>
        </w:tc>
        <w:tc>
          <w:tcPr>
            <w:tcW w:type="dxa" w:w="1891"/>
            <w:shd w:fill="FFFFFF" w:color="auto" w:val="clear"/>
            <w:tcMar>
              <w:top w:type="dxa" w:w="40"/>
              <w:left w:type="dxa" w:w="70"/>
              <w:bottom w:type="dxa" w:w="40"/>
              <w:right w:type="dxa" w:w="70"/>
            </w:tcMar>
          </w:tcPr>
          <w:p>
            <w:pPr>
              <w:spacing w:after="0"/>
            </w:pPr>
            <w:r>
              <w:rPr>
                <w:sz w:val="17"/>
                <w:szCs w:val="17"/>
              </w:rPr>
              <w:t xml:space="preserve">Yes: 16.5% vs a 10.8% bar (21 Sep D5)</w:t>
            </w:r>
          </w:p>
        </w:tc>
        <w:tc>
          <w:tcPr>
            <w:tcW w:type="dxa" w:w="1719"/>
            <w:shd w:fill="FFFFFF" w:color="auto" w:val="clear"/>
            <w:tcMar>
              <w:top w:type="dxa" w:w="40"/>
              <w:left w:type="dxa" w:w="70"/>
              <w:bottom w:type="dxa" w:w="40"/>
              <w:right w:type="dxa" w:w="70"/>
            </w:tcMar>
          </w:tcPr>
          <w:p>
            <w:pPr>
              <w:spacing w:after="0"/>
            </w:pPr>
            <w:r>
              <w:rPr>
                <w:sz w:val="17"/>
                <w:szCs w:val="17"/>
              </w:rPr>
              <w:t xml:space="preserve">From 10-16 (606 King White)</w:t>
            </w:r>
          </w:p>
        </w:tc>
        <w:tc>
          <w:tcPr>
            <w:tcW w:type="dxa" w:w="1291"/>
            <w:shd w:fill="FFFFFF" w:color="auto" w:val="clear"/>
            <w:tcMar>
              <w:top w:type="dxa" w:w="40"/>
              <w:left w:type="dxa" w:w="70"/>
              <w:bottom w:type="dxa" w:w="40"/>
              <w:right w:type="dxa" w:w="70"/>
            </w:tcMar>
          </w:tcPr>
          <w:p>
            <w:pPr>
              <w:spacing w:after="0"/>
            </w:pPr>
            <w:r>
              <w:rPr>
                <w:sz w:val="17"/>
                <w:szCs w:val="17"/>
              </w:rPr>
              <w:t xml:space="preserve">Fund for 10-26</w:t>
            </w:r>
          </w:p>
        </w:tc>
      </w:tr>
      <w:tr>
        <w:tc>
          <w:tcPr>
            <w:tcW w:type="dxa" w:w="1891"/>
            <w:shd w:fill="F2F5F9" w:color="auto" w:val="clear"/>
            <w:tcMar>
              <w:top w:type="dxa" w:w="40"/>
              <w:left w:type="dxa" w:w="70"/>
              <w:bottom w:type="dxa" w:w="40"/>
              <w:right w:type="dxa" w:w="70"/>
            </w:tcMar>
          </w:tcPr>
          <w:p>
            <w:pPr>
              <w:spacing w:after="0"/>
            </w:pPr>
            <w:r>
              <w:rPr>
                <w:sz w:val="17"/>
                <w:szCs w:val="17"/>
              </w:rPr>
              <w:t xml:space="preserve">Bamboo (out)</w:t>
            </w:r>
          </w:p>
        </w:tc>
        <w:tc>
          <w:tcPr>
            <w:tcW w:type="dxa" w:w="1461"/>
            <w:shd w:fill="F2F5F9" w:color="auto" w:val="clear"/>
            <w:tcMar>
              <w:top w:type="dxa" w:w="40"/>
              <w:left w:type="dxa" w:w="70"/>
              <w:bottom w:type="dxa" w:w="40"/>
              <w:right w:type="dxa" w:w="70"/>
            </w:tcMar>
          </w:tcPr>
          <w:p>
            <w:pPr>
              <w:spacing w:after="0"/>
            </w:pPr>
            <w:r>
              <w:rPr>
                <w:sz w:val="17"/>
                <w:szCs w:val="17"/>
              </w:rPr>
              <w:t xml:space="preserve">Second deal to 09-30, then none until 10-26</w:t>
            </w:r>
          </w:p>
        </w:tc>
        <w:tc>
          <w:tcPr>
            <w:tcW w:type="dxa" w:w="1719"/>
            <w:shd w:fill="F2F5F9" w:color="auto" w:val="clear"/>
            <w:tcMar>
              <w:top w:type="dxa" w:w="40"/>
              <w:left w:type="dxa" w:w="70"/>
              <w:bottom w:type="dxa" w:w="40"/>
              <w:right w:type="dxa" w:w="70"/>
            </w:tcMar>
          </w:tcPr>
          <w:p>
            <w:pPr>
              <w:spacing w:after="0"/>
            </w:pPr>
            <w:r>
              <w:rPr>
                <w:sz w:val="17"/>
                <w:szCs w:val="17"/>
              </w:rPr>
              <w:t xml:space="preserve">Yes: 3.4% vs 1.9%</w:t>
            </w:r>
          </w:p>
        </w:tc>
        <w:tc>
          <w:tcPr>
            <w:tcW w:type="dxa" w:w="1891"/>
            <w:shd w:fill="F2F5F9" w:color="auto" w:val="clear"/>
            <w:tcMar>
              <w:top w:type="dxa" w:w="40"/>
              <w:left w:type="dxa" w:w="70"/>
              <w:bottom w:type="dxa" w:w="40"/>
              <w:right w:type="dxa" w:w="70"/>
            </w:tcMar>
          </w:tcPr>
          <w:p>
            <w:pPr>
              <w:spacing w:after="0"/>
            </w:pPr>
            <w:r>
              <w:rPr>
                <w:sz w:val="17"/>
                <w:szCs w:val="17"/>
              </w:rPr>
              <w:t xml:space="preserve">Yes: 12.7% vs an 8.3% bar</w:t>
            </w:r>
          </w:p>
        </w:tc>
        <w:tc>
          <w:tcPr>
            <w:tcW w:type="dxa" w:w="1719"/>
            <w:shd w:fill="F2F5F9" w:color="auto" w:val="clear"/>
            <w:tcMar>
              <w:top w:type="dxa" w:w="40"/>
              <w:left w:type="dxa" w:w="70"/>
              <w:bottom w:type="dxa" w:w="40"/>
              <w:right w:type="dxa" w:w="70"/>
            </w:tcMar>
          </w:tcPr>
          <w:p>
            <w:pPr>
              <w:spacing w:after="0"/>
            </w:pPr>
            <w:r>
              <w:rPr>
                <w:sz w:val="17"/>
                <w:szCs w:val="17"/>
              </w:rPr>
              <w:t xml:space="preserve">King from 10-16; Queen White 82 until 10-27</w:t>
            </w:r>
          </w:p>
        </w:tc>
        <w:tc>
          <w:tcPr>
            <w:tcW w:type="dxa" w:w="1291"/>
            <w:shd w:fill="F2F5F9" w:color="auto" w:val="clear"/>
            <w:tcMar>
              <w:top w:type="dxa" w:w="40"/>
              <w:left w:type="dxa" w:w="70"/>
              <w:bottom w:type="dxa" w:w="40"/>
              <w:right w:type="dxa" w:w="70"/>
            </w:tcMar>
          </w:tcPr>
          <w:p>
            <w:pPr>
              <w:spacing w:after="0"/>
            </w:pPr>
            <w:r>
              <w:rPr>
                <w:sz w:val="17"/>
                <w:szCs w:val="17"/>
              </w:rPr>
              <w:t xml:space="preserve">Owner decides (B1)</w:t>
            </w:r>
          </w:p>
        </w:tc>
      </w:tr>
    </w:tbl>
    <w:p>
      <w:pPr>
        <w:spacing w:after="120"/>
      </w:pPr>
      <w:r>
        <w:rPr>
          <w:i/>
          <w:iCs/>
          <w:color w:val="555555"/>
          <w:sz w:val="17"/>
          <w:szCs w:val="17"/>
        </w:rPr>
        <w:t xml:space="preserve">Click-through and conversion from this run’s rows and the 21 September document’s D5 (both read on the deal window, so re-confirm on clean days). The 21 September bars were 1.1× market CTR and 3× market CVR, so “above the bar” is above the market.</w:t>
      </w:r>
    </w:p>
    <w:p>
      <w:pPr>
        <w:pStyle w:val="Heading1"/>
      </w:pPr>
      <w:r>
        <w:t xml:space="preserve">D4. What the owner decides</w:t>
      </w:r>
    </w:p>
    <w:p>
      <w:pPr>
        <w:spacing w:after="100"/>
      </w:pPr>
      <w:r>
        <w:t xml:space="preserve">Three choices, each with what it costs:</w:t>
      </w:r>
    </w:p>
    <w:p>
      <w:pPr>
        <w:pStyle w:val="ListParagraph"/>
        <w:numPr>
          <w:ilvl w:val="0"/>
          <w:numId w:val="3"/>
        </w:numPr>
        <w:spacing w:after="60"/>
      </w:pPr>
      <w:r>
        <w:rPr>
          <w:b/>
          <w:bCs/>
        </w:rPr>
        <w:t xml:space="preserve">Keep the focus as set. </w:t>
      </w:r>
      <w:r>
        <w:t xml:space="preserve">California King stays at maintenance anyway (stock), so in practice this is Bamboo|Cooling alone: capped test steps now and a funded push sized for 10-26. The flagship still needs its funding decision.</w:t>
      </w:r>
    </w:p>
    <w:p>
      <w:pPr>
        <w:pStyle w:val="ListParagraph"/>
        <w:numPr>
          <w:ilvl w:val="0"/>
          <w:numId w:val="3"/>
        </w:numPr>
        <w:spacing w:after="60"/>
      </w:pPr>
      <w:r>
        <w:rPr>
          <w:b/>
          <w:bCs/>
        </w:rPr>
        <w:t xml:space="preserve">Keep Bamboo|Cooling; swap California King for Bamboo|King from 10-16. </w:t>
      </w:r>
      <w:r>
        <w:t xml:space="preserve">Both groups meet three of the four conditions today, and the fourth (velocity) arrives with the 10-26 Lightning Deal. Size both pushes now (§7: required clicks × price, with the loss ceiling named, §11) and run them in that window. California King holds at its ceiling until White restocks (PO 11-05).</w:t>
      </w:r>
    </w:p>
    <w:p>
      <w:pPr>
        <w:pStyle w:val="ListParagraph"/>
        <w:numPr>
          <w:ilvl w:val="0"/>
          <w:numId w:val="3"/>
        </w:numPr>
        <w:spacing w:after="60"/>
      </w:pPr>
      <w:r>
        <w:rPr>
          <w:b/>
          <w:bCs/>
        </w:rPr>
        <w:t xml:space="preserve">Put Bamboo back in focus as a funded push. </w:t>
      </w:r>
      <w:r>
        <w:t xml:space="preserve">Fund the flagship at $519 a day at today’s price (B1) and run it into 10-26, graded on impression share and top-of-search clicks, inside the market bound, with the loss per order named. This is the only way to learn whether the head is buyable, and it is the most expensive choice.</w:t>
      </w:r>
    </w:p>
    <w:p>
      <w:pPr>
        <w:spacing w:after="100"/>
      </w:pPr>
      <w:r>
        <w:t xml:space="preserve">Our recommendation is 2. The flagship stays held at 299% and $340 until the owner answers B1, and the Bamboo head is re-read at the 10-26 window.</w:t>
      </w:r>
    </w:p>
    <w:p>
      <w:pPr>
        <w:pStyle w:val="Heading1"/>
      </w:pPr>
      <w:r>
        <w:t xml:space="preserve">Part E — The logic document: where it contradicts itself</w:t>
      </w:r>
    </w:p>
    <w:p>
      <w:pPr>
        <w:spacing w:after="100"/>
      </w:pPr>
      <w:r>
        <w:t xml:space="preserve">The arithmetic checks: every worked figure (the placement ceilings, the blends, the four-write ladder, the premium table, the required clicks and budgets) re-derives to the cent. What follows is where two rules conflict, or where a gap in the logic leaves the engine to fill it on its own. The engine fills several of these gaps in this run.</w:t>
      </w:r>
    </w:p>
    <w:p>
      <w:pPr>
        <w:pStyle w:val="ListParagraph"/>
        <w:numPr>
          <w:ilvl w:val="0"/>
          <w:numId w:val="4"/>
        </w:numPr>
        <w:spacing w:after="60"/>
      </w:pPr>
      <w:r>
        <w:rPr>
          <w:b/>
          <w:bCs/>
        </w:rPr>
        <w:t xml:space="preserve">The base-cut cap and its own examples. </w:t>
      </w:r>
      <w:r>
        <w:t xml:space="preserve">§10 caps a base cut at 25% where the row has real sales. §9’s distribution fix cuts 50% on a 1,240-click campaign “with the conversion to justify” its price, which means real sales. The descent example cuts 50% because “the six orders came at product pages, not at the price being removed”. But the base is the product-page price, so those six orders are exactly what the cut removes. By §10 both are the 25% case.</w:t>
      </w:r>
    </w:p>
    <w:p>
      <w:pPr>
        <w:pStyle w:val="ListParagraph"/>
        <w:numPr>
          <w:ilvl w:val="0"/>
          <w:numId w:val="4"/>
        </w:numPr>
        <w:spacing w:after="60"/>
      </w:pPr>
      <w:r>
        <w:rPr>
          <w:b/>
          <w:bCs/>
        </w:rPr>
        <w:t xml:space="preserve">Ratio against positions. </w:t>
      </w:r>
      <w:r>
        <w:t xml:space="preserve">§6 says distance is counted in positions, “not multiples, wherever it is used”, yet the premium is sized on the ratio. With a target of 1 the ratio is the rank itself: rank 24 → 1 gives a lift of 11.5, and the row lands on the market bound. 11 of this product’s 40 plan targets are rank 1, so on those the bound, not the gap, sets the price. That is the flat premium §6 says is not sizing. Size the lift on positions, or cap the ratio.</w:t>
      </w:r>
    </w:p>
    <w:p>
      <w:pPr>
        <w:pStyle w:val="ListParagraph"/>
        <w:numPr>
          <w:ilvl w:val="0"/>
          <w:numId w:val="4"/>
        </w:numPr>
        <w:spacing w:after="60"/>
      </w:pPr>
      <w:r>
        <w:rPr>
          <w:b/>
          <w:bCs/>
        </w:rPr>
        <w:t xml:space="preserve">The loss ceiling is spend, not loss. </w:t>
      </w:r>
      <w:r>
        <w:t xml:space="preserve">§7 defines it as “that week’s spend at risk” ($286 a week) and §11 shows $41 a day. At the example’s numbers the loss is 3.0 orders × $6.99 = $21 a day, and the other $20 buys contribution back. Call it spend at risk, or compute the loss.</w:t>
      </w:r>
    </w:p>
    <w:p>
      <w:pPr>
        <w:pStyle w:val="ListParagraph"/>
        <w:numPr>
          <w:ilvl w:val="0"/>
          <w:numId w:val="4"/>
        </w:numPr>
        <w:spacing w:after="60"/>
      </w:pPr>
      <w:r>
        <w:rPr>
          <w:b/>
          <w:bCs/>
        </w:rPr>
        <w:t xml:space="preserve">Which window each test reads. </w:t>
      </w:r>
      <w:r>
        <w:t xml:space="preserve">§12’s “no clicks arriving” and its “top of search under 30%” can describe the same campaign and prescribe opposite base moves: 293 has 91% product pages over 90 days and no clicks in 14. The logic should say which window each test reads. The engine used the 90-day mix and cut the base.</w:t>
      </w:r>
    </w:p>
    <w:p>
      <w:pPr>
        <w:pStyle w:val="ListParagraph"/>
        <w:numPr>
          <w:ilvl w:val="0"/>
          <w:numId w:val="4"/>
        </w:numPr>
        <w:spacing w:after="60"/>
      </w:pPr>
      <w:r>
        <w:rPr>
          <w:b/>
          <w:bCs/>
        </w:rPr>
        <w:t xml:space="preserve">Deal windows. </w:t>
      </w:r>
      <w:r>
        <w:t xml:space="preserve">§12 voids every read with a deal week in its window. But it gives no procedure for the weeks after (with 7-day attribution, at least seven settled days before a read counts), and no rule for pushing inside a deal: velocity is the reason §6 funds a climb, yet every rate in that window is void. The 21 September document had to write both.</w:t>
      </w:r>
    </w:p>
    <w:p>
      <w:pPr>
        <w:pStyle w:val="ListParagraph"/>
        <w:numPr>
          <w:ilvl w:val="0"/>
          <w:numId w:val="4"/>
        </w:numPr>
        <w:spacing w:after="60"/>
      </w:pPr>
      <w:r>
        <w:rPr>
          <w:b/>
          <w:bCs/>
        </w:rPr>
        <w:t xml:space="preserve">The market bound. </w:t>
      </w:r>
      <w:r>
        <w:t xml:space="preserve">The logic states it as an account-wide $2.80 + 15% stand-in. The engine uses group and lane clearing prices ($4.99, $5.76) with the same tolerance, and its “dose” rule sets the bound aside entirely. The logic should name which input is live and say that nothing overrides it.</w:t>
      </w:r>
    </w:p>
    <w:p>
      <w:pPr>
        <w:pStyle w:val="ListParagraph"/>
        <w:numPr>
          <w:ilvl w:val="0"/>
          <w:numId w:val="4"/>
        </w:numPr>
        <w:spacing w:after="60"/>
      </w:pPr>
      <w:r>
        <w:rPr>
          <w:b/>
          <w:bCs/>
        </w:rPr>
        <w:t xml:space="preserve">Re-pointing mid-push. </w:t>
      </w:r>
      <w:r>
        <w:t xml:space="preserve">§3 prices a campaign on its earned rate and §8 derives the base from the serving child. Nothing says what happens to an earned rate, or its blend weight, when the ad moves to another child. In this run that is 15 California King and 33 Queen campaigns.</w:t>
      </w:r>
    </w:p>
    <w:p>
      <w:pPr>
        <w:pStyle w:val="ListParagraph"/>
        <w:numPr>
          <w:ilvl w:val="0"/>
          <w:numId w:val="4"/>
        </w:numPr>
        <w:spacing w:after="60"/>
      </w:pPr>
      <w:r>
        <w:rPr>
          <w:b/>
          <w:bCs/>
        </w:rPr>
        <w:t xml:space="preserve">Two requirement figures. </w:t>
      </w:r>
      <w:r>
        <w:t xml:space="preserve">§7 derives required clicks from market units at the target rank. This product carries two such figures for the same term: 490 a week on “bamboo sheets” in the brief and 1,285 a week on the campaign. The logic should name the figure of record.</w:t>
      </w:r>
    </w:p>
    <w:p>
      <w:pPr>
        <w:pStyle w:val="Heading1"/>
      </w:pPr>
      <w:r>
        <w:t xml:space="preserve">In order, starting 09-29</w:t>
      </w:r>
    </w:p>
    <w:p>
      <w:pPr>
        <w:pStyle w:val="ListParagraph"/>
        <w:numPr>
          <w:ilvl w:val="0"/>
          <w:numId w:val="5"/>
        </w:numPr>
        <w:spacing w:after="60"/>
      </w:pPr>
      <w:r>
        <w:t xml:space="preserve">Verify execution: diff the rows approved on 19 and 21 September against the account and log what loaded. None of the 09-24 push is live.</w:t>
      </w:r>
    </w:p>
    <w:p>
      <w:pPr>
        <w:pStyle w:val="ListParagraph"/>
        <w:numPr>
          <w:ilvl w:val="0"/>
          <w:numId w:val="5"/>
        </w:numPr>
        <w:spacing w:after="60"/>
      </w:pPr>
      <w:r>
        <w:t xml:space="preserve">The owner decides the focus (D4) and the flagship funding row (B1) by 09-30. Until then the flagship holds at 299% and $340, as §14 requires.</w:t>
      </w:r>
    </w:p>
    <w:p>
      <w:pPr>
        <w:pStyle w:val="ListParagraph"/>
        <w:numPr>
          <w:ilvl w:val="0"/>
          <w:numId w:val="5"/>
        </w:numPr>
        <w:spacing w:after="60"/>
      </w:pPr>
      <w:r>
        <w:t xml:space="preserve">Confirm which children the second Best Deal’s 51 ASINs cover. Until 30 September its deal rules apply, and no in-focus price comes down.</w:t>
      </w:r>
    </w:p>
    <w:p>
      <w:pPr>
        <w:pStyle w:val="ListParagraph"/>
        <w:numPr>
          <w:ilvl w:val="0"/>
          <w:numId w:val="5"/>
        </w:numPr>
        <w:spacing w:after="60"/>
      </w:pPr>
      <w:r>
        <w:t xml:space="preserve">Pull the 105 rows in C7.</w:t>
      </w:r>
    </w:p>
    <w:p>
      <w:pPr>
        <w:pStyle w:val="ListParagraph"/>
        <w:numPr>
          <w:ilvl w:val="0"/>
          <w:numId w:val="5"/>
        </w:numPr>
        <w:spacing w:after="60"/>
      </w:pPr>
      <w:r>
        <w:t xml:space="preserve">Write the capped test steps now, each with its bound, loss per order and a rank prediction: 288 → 340% ($5.98) and 398 → 187% ($5.74). Load budgets 287 ($13.98) and 397 ($14.21, with the $18.59-a-day shortfall stated). On 1 October, once the second deal ends, bring 369 down to 150% ($5.74), 462 to 255% and 571 to 98% (the ceiling).</w:t>
      </w:r>
    </w:p>
    <w:p>
      <w:pPr>
        <w:pStyle w:val="ListParagraph"/>
        <w:numPr>
          <w:ilvl w:val="0"/>
          <w:numId w:val="5"/>
        </w:numPr>
        <w:spacing w:after="60"/>
      </w:pPr>
      <w:r>
        <w:t xml:space="preserve">Same day: run the §10 suppression check on every in-focus down-only push, starting with 687, 293 and 1002. Where it is clear, load the modifier-only steps on 687 and 1002; where it is suppressed, switch to fixed bids at today’s price, stated as a trade. Hold 293’s base, and re-point 1002 and 31 to a serving child.</w:t>
      </w:r>
    </w:p>
    <w:p>
      <w:pPr>
        <w:pStyle w:val="ListParagraph"/>
        <w:numPr>
          <w:ilvl w:val="0"/>
          <w:numId w:val="5"/>
        </w:numPr>
        <w:spacing w:after="60"/>
      </w:pPr>
      <w:r>
        <w:t xml:space="preserve">California King: confirm which child the tracker reads before the 15 re-points load, re-derive the bases from Burgundy-New, and name the cause of the fall from 4 to 16 on “bamboo sheets california king”.</w:t>
      </w:r>
    </w:p>
    <w:p>
      <w:pPr>
        <w:pStyle w:val="ListParagraph"/>
        <w:numPr>
          <w:ilvl w:val="0"/>
          <w:numId w:val="5"/>
        </w:numPr>
        <w:spacing w:after="60"/>
      </w:pPr>
      <w:r>
        <w:t xml:space="preserve">Name the causes on the nine in-focus rank falls and the seven frozen collapses. Load the Twin swap (2155) first; hold 2209 until its cause is named.</w:t>
      </w:r>
    </w:p>
    <w:p>
      <w:pPr>
        <w:pStyle w:val="ListParagraph"/>
        <w:numPr>
          <w:ilvl w:val="0"/>
          <w:numId w:val="5"/>
        </w:numPr>
        <w:spacing w:after="60"/>
      </w:pPr>
      <w:r>
        <w:t xml:space="preserve">Keep King on White: reject engine check 1’s swap, and rename the 17 KING-CREME rows to the advertised child if they go ahead.</w:t>
      </w:r>
    </w:p>
    <w:p>
      <w:pPr>
        <w:pStyle w:val="ListParagraph"/>
        <w:numPr>
          <w:ilvl w:val="0"/>
          <w:numId w:val="5"/>
        </w:numPr>
        <w:spacing w:after="60"/>
      </w:pPr>
      <w:r>
        <w:t xml:space="preserve">Put the 10-26 Lightning Deal into the engine’s deal read, re-check the 10-16 and 10-27 kill dates against it, and size the 10-26 pushes now (§7, §11).</w:t>
      </w:r>
    </w:p>
    <w:p>
      <w:pPr>
        <w:pStyle w:val="ListParagraph"/>
        <w:numPr>
          <w:ilvl w:val="0"/>
          <w:numId w:val="5"/>
        </w:numPr>
        <w:spacing w:after="60"/>
      </w:pPr>
      <w:r>
        <w:t xml:space="preserve">Re-read the price rows on the first seven settled post-deal days (10-01 → 10-07). 10-02: read records 2150 and 2863 on “bamboo cooling sheets”, remembering that 29–30 September are deal days. 10-07: read the test steps on clicks, impression share and conversion. Grade every write on the child its sales land on.</w:t>
      </w:r>
    </w:p>
    <w:sectPr>
      <w:pgSz w:w="12240" w:h="15840" w:orient="portrait"/>
      <w:pgMar w:top="1020" w:right="1134" w:bottom="102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abstractNum w:abstractNumId="4" w15:restartNumberingAfterBreak="0">
    <w:multiLevelType w:val="hybridMultilevel"/>
    <w:lvl w:ilvl="0" w:tentative="1">
      <w:start w:val="1"/>
      <w:numFmt w:val="decimal"/>
      <w:lvlText w:val="%1."/>
      <w:lvlJc w:val="left"/>
      <w:pPr>
        <w:ind w:left="360" w:hanging="300"/>
      </w:pPr>
    </w:lvl>
  </w:abstractNum>
  <w:abstractNum w:abstractNumId="5"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360"/>
      <w:outlineLvl w:val="0"/>
    </w:pPr>
    <w:rPr>
      <w:rFonts w:ascii="Calibri" w:cs="Calibri" w:eastAsia="Calibri" w:hAnsi="Calibri"/>
      <w:b/>
      <w:bCs/>
      <w:color w:val="1F3A5F"/>
      <w:sz w:val="28"/>
      <w:szCs w:val="28"/>
    </w:rPr>
  </w:style>
  <w:style w:type="paragraph" w:styleId="Heading2">
    <w:name w:val="Heading 2"/>
    <w:basedOn w:val="Normal"/>
    <w:next w:val="Normal"/>
    <w:qFormat/>
    <w:pPr>
      <w:keepNext/>
      <w:keepLines/>
      <w:spacing w:after="80" w:before="200"/>
      <w:outlineLvl w:val="1"/>
    </w:pPr>
    <w:rPr>
      <w:rFonts w:ascii="Calibri" w:cs="Calibri" w:eastAsia="Calibri" w:hAnsi="Calibri"/>
      <w:b/>
      <w:bCs/>
      <w:color w:val="1F3A5F"/>
      <w:sz w:val="26"/>
      <w:szCs w:val="26"/>
    </w:rPr>
  </w:style>
  <w:style w:type="paragraph" w:styleId="Heading3">
    <w:name w:val="Heading 3"/>
    <w:basedOn w:val="Normal"/>
    <w:next w:val="Normal"/>
    <w:qFormat/>
    <w:pPr>
      <w:keepNext/>
      <w:keepLines/>
      <w:spacing w:after="60" w:before="200"/>
      <w:outlineLvl w:val="2"/>
    </w:pPr>
    <w:rPr>
      <w:rFonts w:ascii="Calibri" w:cs="Calibri" w:eastAsia="Calibri" w:hAnsi="Calibri"/>
      <w:b/>
      <w:bCs/>
      <w:color w:val="1F3A5F"/>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fe475b136cb01f8494604be6e521fae9aa1d68c.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DBS4 Corrections by Situation — 28 September 2026</dc:title>
  <dc:creator>Claude</dc:creator>
  <cp:lastModifiedBy>Un-named</cp:lastModifiedBy>
  <cp:revision>1</cp:revision>
  <dcterms:created xsi:type="dcterms:W3CDTF">2026-09-28T20:36:41.599Z</dcterms:created>
  <dcterms:modified xsi:type="dcterms:W3CDTF">2026-09-28T20:36:41.599Z</dcterms:modified>
</cp:coreProperties>
</file>

<file path=docProps/custom.xml><?xml version="1.0" encoding="utf-8"?>
<Properties xmlns="http://schemas.openxmlformats.org/officeDocument/2006/custom-properties" xmlns:vt="http://schemas.openxmlformats.org/officeDocument/2006/docPropsVTypes"/>
</file>