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SCS4 audit review: Sleephoria Cooling Sheets 4 Piece, run 20260924-7aed7be1</w:t>
      </w:r>
    </w:p>
    <w:p>
      <w:pPr>
        <w:spacing w:after="100"/>
      </w:pPr>
      <w:r>
        <w:rPr>
          <w:rFonts w:ascii="Calibri" w:cs="Calibri" w:eastAsia="Calibri" w:hAnsi="Calibri"/>
        </w:rPr>
        <w:t xml:space="preserve">A review of every decision in the ranking audit of 24 September 2026 (478 rows). It also reviews the agent review stored with the run (review 13), which endorsed it, held 31 rows, flagged 7 and corrected 2. Sources: the run export; Command Center reads pulled on 25 September (365 days of product data, campaign placement reports for 90 and 14 days, six months of daily rank on 15 terms, economics per SKU); the Sellerboard inventory planner (25 September) for all 63 children, and the Sellerboard dashboard for weekly sales and sessions; the earlier SCS4 corrections document; and the SOPs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The direction is right, and the stored review is right to endorse it. The product is on a Re-Launch, the ranking lane is the right lane, and the King push has the stock behind it (King White, 792 units). But the run is priced on a sales base the product no longer has. It reads TACoS against $2,633 a day, the 28-day average. Weekly sales have fallen for three weeks running: $22,882 in the week of 25 August, then $12,608 in the week of 15 September ($1,801 a day). Sessions fell 36% over the same weeks. At today’s base, the spend this review keeps ($583 a day) is 32% TACoS before any gain, and the run’s full $802 would be 45%. The ranking-push band is 10–18%. Four more things need changing:</w:t>
      </w:r>
    </w:p>
    <w:p>
      <w:pPr>
        <w:pStyle w:val="ListParagraph"/>
        <w:numPr>
          <w:ilvl w:val="0"/>
          <w:numId w:val="2"/>
        </w:numPr>
        <w:spacing w:after="60"/>
      </w:pPr>
      <w:r>
        <w:rPr>
          <w:rFonts w:ascii="Calibri" w:cs="Calibri" w:eastAsia="Calibri" w:hAnsi="Calibri"/>
        </w:rPr>
        <w:t xml:space="preserve">The swaps need the planner. The biggest is right: 31 King campaigns ($1,284 and 41 orders in 14 days) must leave King Graphite, the size’s best seller, which has 31 units (15 days) and nothing inbound. The run also sends 9 Full campaigns to Full Navy Blue, and moves 6 King-term campaigns that advertise a Queen child onto King White. Both are right. But it moves 3 Twin campaigns off Twin Graphite onto Twin White, which has 12 units and nothing inbound. That is the same child the stored review refused to build on. Hold them. And the run’s swap for the Cal King campaign behind the rank collapse goes to the wrong size (King White).</w:t>
      </w:r>
    </w:p>
    <w:p>
      <w:pPr>
        <w:pStyle w:val="ListParagraph"/>
        <w:numPr>
          <w:ilvl w:val="0"/>
          <w:numId w:val="2"/>
        </w:numPr>
        <w:spacing w:after="60"/>
      </w:pPr>
      <w:r>
        <w:rPr>
          <w:rFonts w:ascii="Calibri" w:cs="Calibri" w:eastAsia="Calibri" w:hAnsi="Calibri"/>
        </w:rPr>
        <w:t xml:space="preserve">One of the four rank freezes is a real loss. “cal king cooling sheets” sat at #2–6 every day to 21 September, then read #116 and #129. The other three are not new losses: one is a one-day high read as a start point, and two terms have been unranked since late April. The run froze those three on data four to five months old.</w:t>
      </w:r>
    </w:p>
    <w:p>
      <w:pPr>
        <w:pStyle w:val="ListParagraph"/>
        <w:numPr>
          <w:ilvl w:val="0"/>
          <w:numId w:val="2"/>
        </w:numPr>
        <w:spacing w:after="60"/>
      </w:pPr>
      <w:r>
        <w:rPr>
          <w:rFonts w:ascii="Calibri" w:cs="Calibri" w:eastAsia="Calibri" w:hAnsi="Calibri"/>
        </w:rPr>
        <w:t xml:space="preserve">The stored review passed all 179 renames. 9 stamp a child the ad will not serve, including Full White on a Queen campaign (row 2065, the campaign behind the page check’s failure).</w:t>
      </w:r>
    </w:p>
    <w:p>
      <w:pPr>
        <w:pStyle w:val="ListParagraph"/>
        <w:numPr>
          <w:ilvl w:val="0"/>
          <w:numId w:val="2"/>
        </w:numPr>
        <w:spacing w:after="60"/>
      </w:pPr>
      <w:r>
        <w:rPr>
          <w:rFonts w:ascii="Calibri" w:cs="Calibri" w:eastAsia="Calibri" w:hAnsi="Calibri"/>
        </w:rPr>
        <w:t xml:space="preserve">4 enabled campaigns advertise Full Midnight Black, which is out (1 unit), and the run does not touch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478</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31,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283</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Renames to deploy only after their swap is done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bl>
    <w:p>
      <w:pPr>
        <w:spacing w:after="80"/>
      </w:pPr>
    </w:p>
    <w:p>
      <w:pPr>
        <w:spacing w:after="100"/>
      </w:pPr>
      <w:r>
        <w:rPr>
          <w:rFonts w:ascii="Calibri" w:cs="Calibri" w:eastAsia="Calibri" w:hAnsi="Calibri"/>
        </w:rPr>
        <w:t xml:space="preserve">Outcome: the run books spend $245.93 → $801.55 a day ($555.62), +1208 top-of-search clicks and +157.5 orders a week, and ACoS 25.9% → 31.4% against a 39.2% break-even. $152.89 a day of that, 44 orders a week, sits on campaigns that are paused. With the held rows removed, the run’s own arithmetic gives $337.06 a day, +743 clicks and +100.0 orders a week. That is $583 a day in all; the stored review reached $577. The orders are a ceiling, not a forecast. Even if they all arrive, they add about $1,020 a day in sales, and TACoS on today’s base would still read about 21%.</w:t>
      </w:r>
    </w:p>
    <w:p>
      <w:pPr>
        <w:pStyle w:val="Heading2"/>
      </w:pPr>
      <w:r>
        <w:rPr>
          <w:rFonts w:ascii="Calibri" w:cs="Calibri" w:eastAsia="Calibri" w:hAnsi="Calibri"/>
        </w:rPr>
        <w:t xml:space="preserve">What to do</w:t>
      </w:r>
    </w:p>
    <w:p>
      <w:pPr>
        <w:pStyle w:val="ListParagraph"/>
        <w:numPr>
          <w:ilvl w:val="0"/>
          <w:numId w:val="2"/>
        </w:numPr>
        <w:spacing w:after="60"/>
      </w:pPr>
      <w:r>
        <w:rPr>
          <w:rFonts w:ascii="Calibri" w:cs="Calibri" w:eastAsia="Calibri" w:hAnsi="Calibri"/>
        </w:rPr>
        <w:t xml:space="preserve">Deploy the run as the stored review left it, less the 22 rows held here. Set the stop before it loads: weekly TACoS above 27% for two weeks, or above 36% in any one week, is code red for a ranking push. At that point cut the top-of-search raises back to the last step.</w:t>
      </w:r>
    </w:p>
    <w:p>
      <w:pPr>
        <w:pStyle w:val="ListParagraph"/>
        <w:numPr>
          <w:ilvl w:val="0"/>
          <w:numId w:val="2"/>
        </w:numPr>
        <w:spacing w:after="60"/>
      </w:pPr>
      <w:r>
        <w:rPr>
          <w:rFonts w:ascii="Calibri" w:cs="Calibri" w:eastAsia="Calibri" w:hAnsi="Calibri"/>
        </w:rPr>
        <w:t xml:space="preserve">Do the 47 due swaps by hand: 31 King Graphite → King White first ($1,284 in 14 days), then 9 Full White → Full Navy Blue, the 6 King-term campaigns on Queen Graphite → King White, and Queen Cool Grey → Queen Graphite. Ship the 46 renames that stamp those targets after each swap, not before.</w:t>
      </w:r>
    </w:p>
    <w:p>
      <w:pPr>
        <w:pStyle w:val="ListParagraph"/>
        <w:numPr>
          <w:ilvl w:val="0"/>
          <w:numId w:val="2"/>
        </w:numPr>
        <w:spacing w:after="60"/>
      </w:pPr>
      <w:r>
        <w:rPr>
          <w:rFonts w:ascii="Calibri" w:cs="Calibri" w:eastAsia="Calibri" w:hAnsi="Calibri"/>
        </w:rPr>
        <w:t xml:space="preserve">Keep the Twin campaigns on Twin Graphite, and re-point the Twin term on Queen Graphite (row 871) to Twin Graphite, not Twin White. Hold every Twin build until Twin White has an inbound.</w:t>
      </w:r>
    </w:p>
    <w:p>
      <w:pPr>
        <w:pStyle w:val="ListParagraph"/>
        <w:numPr>
          <w:ilvl w:val="0"/>
          <w:numId w:val="2"/>
        </w:numPr>
        <w:spacing w:after="60"/>
      </w:pPr>
      <w:r>
        <w:rPr>
          <w:rFonts w:ascii="Calibri" w:cs="Calibri" w:eastAsia="Calibri" w:hAnsi="Calibri"/>
        </w:rPr>
        <w:t xml:space="preserve">Diagnose the Cal King collapse first. It is a “Multi SKUs” campaign; the run’s own swap row reads one of its children as Cal King Sage Green, which is out. Check its ad roster, and move any dead Cal King ad to Cal King White, not King White.</w:t>
      </w:r>
    </w:p>
    <w:p>
      <w:pPr>
        <w:pStyle w:val="ListParagraph"/>
        <w:numPr>
          <w:ilvl w:val="0"/>
          <w:numId w:val="2"/>
        </w:numPr>
        <w:spacing w:after="60"/>
      </w:pPr>
      <w:r>
        <w:rPr>
          <w:rFonts w:ascii="Calibri" w:cs="Calibri" w:eastAsia="Calibri" w:hAnsi="Calibri"/>
        </w:rPr>
        <w:t xml:space="preserve">Lift the three freezes that are not new losses. Re-point the four Full Midnight Black campaigns (C5b).</w:t>
      </w:r>
    </w:p>
    <w:p>
      <w:pPr>
        <w:pStyle w:val="ListParagraph"/>
        <w:numPr>
          <w:ilvl w:val="0"/>
          <w:numId w:val="2"/>
        </w:numPr>
        <w:spacing w:after="60"/>
      </w:pPr>
      <w:r>
        <w:rPr>
          <w:rFonts w:ascii="Calibri" w:cs="Calibri" w:eastAsia="Calibri" w:hAnsi="Calibri"/>
        </w:rPr>
        <w:t xml:space="preserve">Name the cause of the sales fall before the next step up. Price increases on 18 and 24 August and a main-image change on 2 September are the logged events in the window.</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900"/>
        <w:gridCol w:w="1200"/>
        <w:gridCol w:w="1400"/>
        <w:gridCol w:w="1400"/>
        <w:gridCol w:w="17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Units</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Sessions</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Unit session %</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25–31 Aug</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$22,882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4,637</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$2,834</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 Sep</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$21,747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3,740</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7.3%</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$2,224</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8–14 Sep</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$17,493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226</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3,708</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$2,017</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15–21 Sep</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$12,608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164</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2,965</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$1,633</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22–24 Sep (3 days)</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$3,495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731</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$457</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13.1%</w:t>
            </w:r>
          </w:p>
        </w:tc>
      </w:tr>
    </w:tbl>
    <w:p>
      <w:pPr>
        <w:spacing w:after="80"/>
      </w:pPr>
    </w:p>
    <w:p>
      <w:pPr>
        <w:spacing w:after="120"/>
      </w:pPr>
      <w:r>
        <w:rPr>
          <w:rFonts w:ascii="Calibri" w:cs="Calibri" w:eastAsia="Calibri" w:hAnsi="Calibri"/>
          <w:i/>
          <w:iCs/>
          <w:color w:val="555555"/>
          <w:sz w:val="17"/>
          <w:szCs w:val="17"/>
        </w:rPr>
        <w:t xml:space="preserve">Source: Sellerboard dashboard, SKUs “SL-COOLING-SHEET”, Amazon.com, pulled 25 September. Command Center’s spend and total sales agree to within 1% for the complete weeks.</w:t>
      </w:r>
    </w:p>
    <w:p>
      <w:pPr>
        <w:spacing w:after="100"/>
      </w:pPr>
      <w:r>
        <w:rPr>
          <w:rFonts w:ascii="Calibri" w:cs="Calibri" w:eastAsia="Calibri" w:hAnsi="Calibri"/>
        </w:rPr>
        <w:t xml:space="preserve">Sales fell 45% in three weeks, from $3,269 a day to $1,801. Sessions fell 36% and conversion fell from 6.4% to 5.5%. Ad spend fell too, from $2,834 to $1,633 a week, so TACoS rose only slightly, to 13.0%. The product has swung before: Command Center shows $786 a day in January, $3,973 in March and $965 in July. So the fall is not unusual in size, but its cause is not named. Logged events: price updates on 7 August, price increases on 18 and 24 August (the second by $5), and a main-image change on 2 September. No deal is planned for 25 September to 25 October.</w:t>
      </w:r>
    </w:p>
    <w:p>
      <w:pPr>
        <w:spacing w:after="100"/>
      </w:pPr>
      <w:r>
        <w:rPr>
          <w:rFonts w:ascii="Calibri" w:cs="Calibri" w:eastAsia="Calibri" w:hAnsi="Calibri"/>
        </w:rPr>
        <w:t xml:space="preserve">Economics: the run prices on $30.45 a unit (break-even 39.2%, “profitability”). Command Center’s landed-cost figure is $20.42 a unit (30.9% break-even) at the blended list price. By child at list, King carries $20.58–26.61, Queen about $20.55, Cal King about $19.73 and Twin $13.45. The earlier SCS4 corrections document prices on the lower figure. On that basis the run’s ACoS of 31.4% after the push sits just over the 30.9% break-even, not 8 points under it.</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1,142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516</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1,866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9 children. 1 of them is out or under 14 days of stock: 6 campaigns, $68 of the $3,249 spent in the last 14 days. 1 more is at risk (flagged by the planner, under 30 days, or under 14 days of sellable FBA units, with no inbound to cover it): 30 campaigns, $1,253.</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SL-COOLING-SHEET-KING-GRAPHITE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$1,253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SL-COOLING-SHEET-FULL-MIDNIGHT-BLACK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SL-COOLING-SHEET-QUEEN-REGAL-PURPLE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0.70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SL-COOLING-SHEET-QUEEN-MIDNIGHT-BLACK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0.76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SL-COOLING-SHEET-CAL-KING-GRAPHITE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SL-COOLING-SHEET-TWIN-GRAPHITE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0.60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SL-COOLING-SHEET-QUEEN-WHITE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SL-COOLING-SHEET-QUEEN-SAGE-GREEN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0.60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spacing w:after="100"/>
      </w:pPr>
      <w:r>
        <w:rPr>
          <w:rFonts w:ascii="Calibri" w:cs="Calibri" w:eastAsia="Calibri" w:hAnsi="Calibri"/>
        </w:rPr>
        <w:t xml:space="preserve">The hero read differs from the sales read. King White is the King hero with 792 units, but it sold 28 units in the last 28 days against King Graphite’s 61. King Graphite is the size’s real seller and runs out in about two weeks. Moving the King campaigns to White is forced by stock. Watch the conversion rate on the moved campaigns for the first week.</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catalogue stage is Re-Launch, so the run is on the ranking lane, with a TACoS band of 10–18%. The last full week read 13.0%, inside the band. The run’s projected 18.9% sits at the ceiling, but only on the 28-day sales base. On the last full week’s base the kept spend is 32% TACoS, and the gain the run credits to the kept rows only brings that to about 21%. That is above the band either way. It is not a reason to refuse a push on a product that is losing traffic, but it is a reason to push in one measured step with the stop set. The same step was proposed on 22 September (review 8: $273 → $827 a day); spend has not followed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500"/>
        <w:gridCol w:w="1500"/>
        <w:gridCol w:w="18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Objective</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$11,372</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$2,646</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37.1%</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Defensive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$5,179</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$282</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$1,008</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$364</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$784</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$287</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19.8%</w:t>
            </w:r>
          </w:p>
        </w:tc>
      </w:tr>
    </w:tbl>
    <w:p>
      <w:pPr>
        <w:spacing w:after="80"/>
      </w:pPr>
    </w:p>
    <w:p>
      <w:pPr>
        <w:spacing w:after="120"/>
      </w:pPr>
      <w:r>
        <w:rPr>
          <w:rFonts w:ascii="Calibri" w:cs="Calibri" w:eastAsia="Calibri" w:hAnsi="Calibri"/>
          <w:i/>
          <w:iCs/>
          <w:color w:val="555555"/>
          <w:sz w:val="17"/>
          <w:szCs w:val="17"/>
        </w:rPr>
        <w:t xml:space="preserve">Source: Command Center ppc_campaigns, product 45, by the campaign objective tag.</w:t>
      </w:r>
    </w:p>
    <w:p>
      <w:pPr>
        <w:spacing w:after="100"/>
      </w:pPr>
      <w:r>
        <w:rPr>
          <w:rFonts w:ascii="Calibri" w:cs="Calibri" w:eastAsia="Calibri" w:hAnsi="Calibri"/>
        </w:rPr>
        <w:t xml:space="preserve">Ranking campaigns carry the account: $2,646 of the $3,580 spent in the last 14 days, at 37.1% ACoS. Defensive spend fell from $5,179 over 90 days to $282 in the last 14.</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C5. Child swaps, judged on the planner</w:t>
      </w:r>
    </w:p>
    <w:p>
      <w:pPr>
        <w:spacing w:after="100"/>
      </w:pPr>
      <w:r>
        <w:rPr>
          <w:rFonts w:ascii="Calibri" w:cs="Calibri" w:eastAsia="Calibri" w:hAnsi="Calibri"/>
        </w:rPr>
        <w:t xml:space="preserve">The run stages 55 swaps; every one skips at apply. Judged on the planner for both children: 47 are due and 8 are held. The run dates no arrival for any hero, and its size rows say none lands inside 45 days. So undated inbound units do not count as cover here. That is what makes Full White (9 units, 25 days, 30 inbound undated) at risk.</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SL-COOLING-SHEET-KING-GRAPHITE → SL-COOLING-SHEET-KING-WHITE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SL-COOLING-SHEET-KING-GRAPHITE · 31 FBA · 2.34/d · 15d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SL-COOLING-SHEET-KING-WHITE · 792 FBA · 4.22/d · 202d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SL-COOLING-SHEET-FULL-WHITE → SL-COOLING-SHEET-FULL-NAVY-BLUE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SL-COOLING-SHEET-FULL-WHITE · 9 FBA +30 inb · 0.37/d · 25d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SL-COOLING-SHEET-FULL-NAVY-BLUE · 161 FBA · 0.47/d · 345d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SL-COOLING-SHEET-KING-WHITE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483 FBA · 2.06/d · 238d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SL-COOLING-SHEET-KING-WHITE · 792 FBA · 4.22/d · 202d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SL-COOLING-SHEET-TWIN-GRAPHITE → SL-COOLING-SHEET-TWIN-WHITE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SL-COOLING-SHEET-TWIN-GRAPHITE · 32 FBA +30 inb · 0.60/d · 64d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SL-COOLING-SHEET-TWIN-WHITE · 12 FBA · 0.35/d · 38d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SL-COOLING-SHEET-TWIN-WHITE → SL-COOLING-SHEET-TWIN-GRAPHITE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SL-COOLING-SHEET-TWIN-WHITE · 12 FBA · 0.35/d · 38d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SL-COOLING-SHEET-TWIN-GRAPHITE · 32 FBA +30 inb · 0.60/d · 64d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effect (paused)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SL-COOLING-SHEET-QUEEN-COOL-GREY → SL-COOLING-SHEET-QUEEN-GRAPHITE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SL-COOLING-SHEET-QUEEN-COOL-GREY · 0 FBA · 0.00/d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483 FBA · 2.06/d · 238d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SL-COOLING-SHEET-TWIN-WHITE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483 FBA · 2.06/d · 238d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SL-COOLING-SHEET-TWIN-WHITE · 12 FBA · 0.35/d · 38d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SL-COOLING-SHEET-TWIN-GRAPHITE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SL-COOLING-SHEET-QUEEN-GRAPHITE · 483 FBA · 2.06/d · 238d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SL-COOLING-SHEET-TWIN-GRAPHITE · 32 FBA +30 inb · 0.60/d · 64d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effect (paused)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SL-COOLING-SHEET-CAL-KING-SAGE-GREEN → SL-COOLING-SHEET-KING-WHITE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SL-COOLING-SHEET-CAL-KING-SAGE-GREEN · 0 FBA +30 inb · 0.10/d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SL-COOLING-SHEET-KING-WHITE · 792 FBA · 4.22/d · 202d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SL-COOLING-SHEET-QUEEN-WHITE → SL-COOLING-SHEET-KING-WHITE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SL-COOLING-SHEET-QUEEN-WHITE · 88 FBA +150 inb · 2.48/d · 36d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SL-COOLING-SHEET-KING-WHITE · 792 FBA · 4.22/d · 202d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188</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spacing w:after="120"/>
      </w:pPr>
      <w:r>
        <w:rPr>
          <w:rFonts w:ascii="Calibri" w:cs="Calibri" w:eastAsia="Calibri" w:hAnsi="Calibri"/>
          <w:i/>
          <w:iCs/>
          <w:color w:val="555555"/>
          <w:sz w:val="17"/>
          <w:szCs w:val="17"/>
        </w:rPr>
        <w:t xml:space="preserve">“Cross-size” moves from Queen Graphite to King White are size fixes: each campaign buys a King term but advertises a Queen child. They pass. The Queen Graphite → Twin White row is a size fix too, but onto the wrong Twin child.</w:t>
      </w:r>
    </w:p>
    <w:p>
      <w:pPr>
        <w:pStyle w:val="ListParagraph"/>
        <w:numPr>
          <w:ilvl w:val="0"/>
          <w:numId w:val="2"/>
        </w:numPr>
        <w:spacing w:after="60"/>
      </w:pPr>
      <w:r>
        <w:rPr>
          <w:rFonts w:ascii="Calibri" w:cs="Calibri" w:eastAsia="Calibri" w:hAnsi="Calibri"/>
        </w:rPr>
        <w:t xml:space="preserve">King Graphite → King White (31): due. Graphite has 31 units, 2.34 a day, no inbound. White keeps about 111 days after every King move in the run.</w:t>
      </w:r>
    </w:p>
    <w:p>
      <w:pPr>
        <w:pStyle w:val="ListParagraph"/>
        <w:numPr>
          <w:ilvl w:val="0"/>
          <w:numId w:val="2"/>
        </w:numPr>
        <w:spacing w:after="60"/>
      </w:pPr>
      <w:r>
        <w:rPr>
          <w:rFonts w:ascii="Calibri" w:cs="Calibri" w:eastAsia="Calibri" w:hAnsi="Calibri"/>
        </w:rPr>
        <w:t xml:space="preserve">Full White → Full Navy Blue (9): due. This is the Full pivot (row 1968) carried out. Navy Blue has 161 units and 345 days. 6 of these campaigns are not in the export’s campaign list.</w:t>
      </w:r>
    </w:p>
    <w:p>
      <w:pPr>
        <w:pStyle w:val="ListParagraph"/>
        <w:numPr>
          <w:ilvl w:val="0"/>
          <w:numId w:val="2"/>
        </w:numPr>
        <w:spacing w:after="60"/>
      </w:pPr>
      <w:r>
        <w:rPr>
          <w:rFonts w:ascii="Calibri" w:cs="Calibri" w:eastAsia="Calibri" w:hAnsi="Calibri"/>
        </w:rPr>
        <w:t xml:space="preserve">Queen Graphite → King White (6): size fixes, due. One (row 1341) is on a campaign the export does not carry; it is flagged, so check the ad group first.</w:t>
      </w:r>
    </w:p>
    <w:p>
      <w:pPr>
        <w:pStyle w:val="ListParagraph"/>
        <w:numPr>
          <w:ilvl w:val="0"/>
          <w:numId w:val="2"/>
        </w:numPr>
        <w:spacing w:after="60"/>
      </w:pPr>
      <w:r>
        <w:rPr>
          <w:rFonts w:ascii="Calibri" w:cs="Calibri" w:eastAsia="Calibri" w:hAnsi="Calibri"/>
        </w:rPr>
        <w:t xml:space="preserve">Twin Graphite → Twin White (3): held. The hero rule moves the campaigns the wrong way. Twin White has 12 units, 0.35 a day and nothing inbound, and the run’s own row 809 says Twin Graphite converts at 14.0% on 150 paid clicks against White’s 9.0%. Row 871 (a Twin term on Queen Graphite) is held for the same reason; re-point it to Twin Graphite.</w:t>
      </w:r>
    </w:p>
    <w:p>
      <w:pPr>
        <w:pStyle w:val="ListParagraph"/>
        <w:numPr>
          <w:ilvl w:val="0"/>
          <w:numId w:val="2"/>
        </w:numPr>
        <w:spacing w:after="60"/>
      </w:pPr>
      <w:r>
        <w:rPr>
          <w:rFonts w:ascii="Calibri" w:cs="Calibri" w:eastAsia="Calibri" w:hAnsi="Calibri"/>
        </w:rPr>
        <w:t xml:space="preserve">Cal King Sage Green → King White (row 1314) and Queen White → King White (row 1347): held. The first names Cal King terms; the second moves a colour term with no spend off a child that has 36 days and 150 inbound.</w:t>
      </w:r>
    </w:p>
    <w:p>
      <w:pPr>
        <w:pStyle w:val="Heading2"/>
      </w:pPr>
      <w:r>
        <w:rPr>
          <w:rFonts w:ascii="Calibri" w:cs="Calibri" w:eastAsia="Calibri" w:hAnsi="Calibri"/>
        </w:rPr>
        <w:t xml:space="preserve">C5b. Campaigns on a child that is out or under 14 days, with no row in the run (4)</w:t>
      </w:r>
    </w:p>
    <w:p>
      <w:pPr>
        <w:spacing w:after="100"/>
      </w:pPr>
      <w:r>
        <w:rPr>
          <w:rFonts w:ascii="Calibri" w:cs="Calibri" w:eastAsia="Calibri" w:hAnsi="Calibri"/>
        </w:rPr>
        <w:t xml:space="preserve">4 enabled campaigns advertise a child that is out or under 14 days, and the run writes neither a swap nor a pause for them. They spent $22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SLEEPHORIA - Cooling Sheets - B0F7LXB26C - full size cooling sheets - </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SL-COOLING-SHEET-FULL-MIDNIGHT-BLACK · 1 FBA +30 inb · 0.18/d · 12d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SL-COOLING-SHEET-FULL-SAGE-GREEN: 70 in FBA, 1 reserved, 0.52/day, 137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SLEEPHORIA - Cooling Sheets - B0F7LXB26C - cooling bed sheets full - 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SL-COOLING-SHEET-FULL-MIDNIGHT-BLACK · 1 FBA +30 inb · 0.18/d · 12d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SL-COOLING-SHEET-FULL-SAGE-GREEN: 70 in FBA, 1 reserved, 0.52/day, 137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Fitted |  Full-full size sheets cooling-HSV-</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SL-COOLING-SHEET-FULL-MIDNIGHT-BLACK · 1 FBA +30 inb · 0.18/d · 12d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SL-COOLING-SHEET-FULL-SAGE-GREEN: 70 in FBA, 1 reserved, 0.52/day, 137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SLEEPHORIA - Cooling Sheets - B0F7LXB26C - full size bed sheets coolin</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SL-COOLING-SHEET-FULL-MIDNIGHT-BLACK · 1 FBA +30 inb · 0.18/d · 12d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SL-COOLING-SHEET-FULL-SAGE-GREEN: 70 in FBA, 1 reserved, 0.52/day, 137 days left.</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four Full Midnight Black campaigns can also go to Full Navy Blue, where the pivot sends the rest of the size.</w:t>
      </w:r>
    </w:p>
    <w:p>
      <w:pPr>
        <w:pStyle w:val="Heading2"/>
      </w:pPr>
      <w:r>
        <w:rPr>
          <w:rFonts w:ascii="Calibri" w:cs="Calibri" w:eastAsia="Calibri" w:hAnsi="Calibri"/>
        </w:rPr>
        <w:t xml:space="preserve">C6. Freezes (4, one real)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3400"/>
        <w:gridCol w:w="16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3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Daily crawl</w:t>
            </w:r>
          </w:p>
        </w:tc>
        <w:tc>
          <w:tcPr>
            <w:tcW w:type="dxa" w:w="1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 cooling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(2026-08-24) → #129</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 every day to 21 Sep; #116 on 22 Sep, #129 on 23 Sep</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Freeze; a step in the last three days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sheet set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 (2026-08-25) → #93</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7-day median 127 around 25 Aug, 67 on 23 Sep</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Lift; no loss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deep pocket king sheets cooling</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 (2026-04-01) → #91</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 every day since 1 May</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Lift; not a new loss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bed sheet set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 (2026-03-28) → #81</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 every day since 27 April</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Lift; not a new loss</w:t>
            </w:r>
          </w:p>
        </w:tc>
      </w:tr>
    </w:tbl>
    <w:p>
      <w:pPr>
        <w:spacing w:after="80"/>
      </w:pPr>
    </w:p>
    <w:p>
      <w:pPr>
        <w:spacing w:after="120"/>
      </w:pPr>
      <w:r>
        <w:rPr>
          <w:rFonts w:ascii="Calibri" w:cs="Calibri" w:eastAsia="Calibri" w:hAnsi="Calibri"/>
          <w:i/>
          <w:iCs/>
          <w:color w:val="555555"/>
          <w:sz w:val="17"/>
          <w:szCs w:val="17"/>
        </w:rPr>
        <w:t xml:space="preserve">Source: Command Center ppc_ranks, product 45, 15 March to 23 September.</w:t>
      </w:r>
    </w:p>
    <w:p>
      <w:pPr>
        <w:spacing w:after="100"/>
      </w:pPr>
      <w:r>
        <w:rPr>
          <w:rFonts w:ascii="Calibri" w:cs="Calibri" w:eastAsia="Calibri" w:hAnsi="Calibri"/>
        </w:rPr>
        <w:t xml:space="preserve">The earlier SCS4 corrections document read all four collapses as single-day artefacts on the 7-day median. For three of them that holds. “cal king cooling sheets” still reads #5 on the 7-day median, but only because the drop is two days old: two days running at #116 and #129, after 30 days at #2–6, is a step, not noise. Re-read it on 26 September; if it is back in the top 10, lift the freeze.</w:t>
      </w:r>
    </w:p>
    <w:p>
      <w:pPr>
        <w:spacing w:after="100"/>
      </w:pPr>
      <w:r>
        <w:rPr>
          <w:rFonts w:ascii="Calibri" w:cs="Calibri" w:eastAsia="Calibri" w:hAnsi="Calibri"/>
        </w:rPr>
        <w:t xml:space="preserve">“king sheet set cooling” read #115 on 24 August, #58 on 25 August and #77 on 26 August. The run took the one-day high as its start point; the week around it had a median of 127, and the term is better now (67). The two stale terms show a flaw in the freeze read: when a term has not ranked for months, the run compares ranks from 28 March and 1 April with the last ones it has, and calls the gap a 30-day loss.</w:t>
      </w:r>
    </w:p>
    <w:p>
      <w:pPr>
        <w:pStyle w:val="Heading2"/>
      </w:pPr>
      <w:r>
        <w:rPr>
          <w:rFonts w:ascii="Calibri" w:cs="Calibri" w:eastAsia="Calibri" w:hAnsi="Calibri"/>
        </w:rPr>
        <w:t xml:space="preserve">Other rows</w:t>
      </w:r>
    </w:p>
    <w:p>
      <w:pPr>
        <w:pStyle w:val="ListParagraph"/>
        <w:numPr>
          <w:ilvl w:val="0"/>
          <w:numId w:val="2"/>
        </w:numPr>
        <w:spacing w:after="60"/>
      </w:pPr>
      <w:r>
        <w:rPr>
          <w:rFonts w:ascii="Calibri" w:cs="Calibri" w:eastAsia="Calibri" w:hAnsi="Calibri"/>
        </w:rPr>
        <w:t xml:space="preserve">15 writes land on paused campaigns: held (C1). The stored review held 14 of them; it passed row 483, a top-of-search raise (93% → 162%) on the paused Twin exact. Together they book $152.89 a day and 44 orders a week that cannot happen.</w:t>
      </w:r>
    </w:p>
    <w:p>
      <w:pPr>
        <w:pStyle w:val="ListParagraph"/>
        <w:numPr>
          <w:ilvl w:val="0"/>
          <w:numId w:val="2"/>
        </w:numPr>
        <w:spacing w:after="60"/>
      </w:pPr>
      <w:r>
        <w:rPr>
          <w:rFonts w:ascii="Calibri" w:cs="Calibri" w:eastAsia="Calibri" w:hAnsi="Calibri"/>
        </w:rPr>
        <w:t xml:space="preserve">27 cuts claim rank IMPROVES while their own mechanism predicts fewer clicks: flagged (C2).</w:t>
      </w:r>
    </w:p>
    <w:p>
      <w:pPr>
        <w:pStyle w:val="ListParagraph"/>
        <w:numPr>
          <w:ilvl w:val="0"/>
          <w:numId w:val="2"/>
        </w:numPr>
        <w:spacing w:after="60"/>
      </w:pPr>
      <w:r>
        <w:rPr>
          <w:rFonts w:ascii="Calibri" w:cs="Calibri" w:eastAsia="Calibri" w:hAnsi="Calibri"/>
        </w:rPr>
        <w:t xml:space="preserve">14 rows write on 8 campaigns missing from the export’s campaign list. Command Center carries all of them ($73 and 9 orders in 14 days). They stand, flagged (C11).</w:t>
      </w:r>
    </w:p>
    <w:p>
      <w:pPr>
        <w:pStyle w:val="ListParagraph"/>
        <w:numPr>
          <w:ilvl w:val="0"/>
          <w:numId w:val="2"/>
        </w:numPr>
        <w:spacing w:after="60"/>
      </w:pPr>
      <w:r>
        <w:rPr>
          <w:rFonts w:ascii="Calibri" w:cs="Calibri" w:eastAsia="Calibri" w:hAnsi="Calibri"/>
        </w:rPr>
        <w:t xml:space="preserve">Builds: the stored review held 7 and flagged 7. Held here as well: the two Twin cross-format builds it flagged (rows 1410, 1418), because they feature Twin White. The other builds feature King White (in stock) and Queen White and Queen Light Pink (in stock).</w:t>
      </w:r>
    </w:p>
    <w:p>
      <w:pPr>
        <w:pStyle w:val="ListParagraph"/>
        <w:numPr>
          <w:ilvl w:val="0"/>
          <w:numId w:val="2"/>
        </w:numPr>
        <w:spacing w:after="60"/>
      </w:pPr>
      <w:r>
        <w:rPr>
          <w:rFonts w:ascii="Calibri" w:cs="Calibri" w:eastAsia="Calibri" w:hAnsi="Calibri"/>
        </w:rPr>
        <w:t xml:space="preserve">Renames: 9 held, because the name stamps a child the ad will not serve. 46 stamp the target of a due swap and ship after it.</w:t>
      </w:r>
    </w:p>
    <w:p>
      <w:pPr>
        <w:pStyle w:val="ListParagraph"/>
        <w:numPr>
          <w:ilvl w:val="0"/>
          <w:numId w:val="2"/>
        </w:numPr>
        <w:spacing w:after="60"/>
      </w:pPr>
      <w:r>
        <w:rPr>
          <w:rFonts w:ascii="Calibri" w:cs="Calibri" w:eastAsia="Calibri" w:hAnsi="Calibri"/>
        </w:rPr>
        <w:t xml:space="preserve">The Queen and Full pivots (rows 1967, 1968) stand. Queen White has 36 days on the planner (88 units, 150 inbound undated). Queen Graphite has 483 units and 238 days.</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caught the largest booking error: 11 top-of-search raises on paused campaigns, worth $152.89 a day. It repeated review 8’s holds on the dark Queen campaigns and the Cal King → King re-point. It refused the Twin push on a hero with 13 units, and it moved the own-ASIN defence off Queen White. It missed these:</w:t>
      </w:r>
    </w:p>
    <w:p>
      <w:pPr>
        <w:pStyle w:val="ListParagraph"/>
        <w:numPr>
          <w:ilvl w:val="0"/>
          <w:numId w:val="2"/>
        </w:numPr>
        <w:spacing w:after="60"/>
      </w:pPr>
      <w:r>
        <w:rPr>
          <w:rFonts w:ascii="Calibri" w:cs="Calibri" w:eastAsia="Calibri" w:hAnsi="Calibri"/>
        </w:rPr>
        <w:t xml:space="preserve">the sales base: it read TACoS on the 28-day average and did not mention that weekly sales had nearly halved;</w:t>
      </w:r>
    </w:p>
    <w:p>
      <w:pPr>
        <w:pStyle w:val="ListParagraph"/>
        <w:numPr>
          <w:ilvl w:val="0"/>
          <w:numId w:val="2"/>
        </w:numPr>
        <w:spacing w:after="60"/>
      </w:pPr>
      <w:r>
        <w:rPr>
          <w:rFonts w:ascii="Calibri" w:cs="Calibri" w:eastAsia="Calibri" w:hAnsi="Calibri"/>
        </w:rPr>
        <w:t xml:space="preserve">the Twin swaps: it passed 3 moves onto Twin White, the child it refused to build on;</w:t>
      </w:r>
    </w:p>
    <w:p>
      <w:pPr>
        <w:pStyle w:val="ListParagraph"/>
        <w:numPr>
          <w:ilvl w:val="0"/>
          <w:numId w:val="2"/>
        </w:numPr>
        <w:spacing w:after="60"/>
      </w:pPr>
      <w:r>
        <w:rPr>
          <w:rFonts w:ascii="Calibri" w:cs="Calibri" w:eastAsia="Calibri" w:hAnsi="Calibri"/>
        </w:rPr>
        <w:t xml:space="preserve">the freezes: it read none against the daily crawl, and three of the four are not new losses;</w:t>
      </w:r>
    </w:p>
    <w:p>
      <w:pPr>
        <w:pStyle w:val="ListParagraph"/>
        <w:numPr>
          <w:ilvl w:val="0"/>
          <w:numId w:val="2"/>
        </w:numPr>
        <w:spacing w:after="60"/>
      </w:pPr>
      <w:r>
        <w:rPr>
          <w:rFonts w:ascii="Calibri" w:cs="Calibri" w:eastAsia="Calibri" w:hAnsi="Calibri"/>
        </w:rPr>
        <w:t xml:space="preserve">row 483, the twelfth write on a paused campaign;</w:t>
      </w:r>
    </w:p>
    <w:p>
      <w:pPr>
        <w:pStyle w:val="ListParagraph"/>
        <w:numPr>
          <w:ilvl w:val="0"/>
          <w:numId w:val="2"/>
        </w:numPr>
        <w:spacing w:after="60"/>
      </w:pPr>
      <w:r>
        <w:rPr>
          <w:rFonts w:ascii="Calibri" w:cs="Calibri" w:eastAsia="Calibri" w:hAnsi="Calibri"/>
        </w:rPr>
        <w:t xml:space="preserve">the renames: it passed all 179, including 9 that stamp a child the ad will not serve;</w:t>
      </w:r>
    </w:p>
    <w:p>
      <w:pPr>
        <w:pStyle w:val="ListParagraph"/>
        <w:numPr>
          <w:ilvl w:val="0"/>
          <w:numId w:val="2"/>
        </w:numPr>
        <w:spacing w:after="60"/>
      </w:pPr>
      <w:r>
        <w:rPr>
          <w:rFonts w:ascii="Calibri" w:cs="Calibri" w:eastAsia="Calibri" w:hAnsi="Calibri"/>
        </w:rPr>
        <w:t xml:space="preserve">the four Full Midnight Black campaigns the run does not touch.</w:t>
      </w:r>
    </w:p>
    <w:p>
      <w:pPr>
        <w:spacing w:after="100"/>
      </w:pPr>
      <w:r>
        <w:rPr>
          <w:rFonts w:ascii="Calibri" w:cs="Calibri" w:eastAsia="Calibri" w:hAnsi="Calibri"/>
        </w:rPr>
        <w:t xml:space="preserve">One correction to its account of the page check: it says campaign 318084270874163 advertises Full White. The export’s campaign list gives Queen Graphite. The engine’s withheld swap and rename 2065 would put Full White on it. Its advice to keep the campaign on Queen Graphite is right; the rename is held here.</w:t>
      </w:r>
    </w:p>
    <w:p>
      <w:pPr>
        <w:pStyle w:val="Heading1"/>
      </w:pPr>
      <w:r>
        <w:rPr>
          <w:rFonts w:ascii="Calibri" w:cs="Calibri" w:eastAsia="Calibri" w:hAnsi="Calibri"/>
        </w:rPr>
        <w:t xml:space="preserve">E.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 or after a swap</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179</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97</w:t>
            </w:r>
          </w:p>
        </w:tc>
      </w:tr>
    </w:tbl>
    <w:p>
      <w:pPr>
        <w:spacing w:after="80"/>
      </w:pPr>
    </w:p>
    <w:p>
      <w:pPr>
        <w:spacing w:after="100"/>
      </w:pPr>
      <w:r>
        <w:rPr>
          <w:rFonts w:ascii="Calibri" w:cs="Calibri" w:eastAsia="Calibri" w:hAnsi="Calibri"/>
        </w:rPr>
        <w:t xml:space="preserve">The per-row verdicts, with planner columns for every swap, are in SCS4_Review_Rows_20260924-7aed7be1.xlsx.</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SCS4 audit review · run 20260924-7aed7be1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SCS4 audit review</dc:title>
  <dc:creator>Claude Code</dc:creator>
  <cp:lastModifiedBy>Un-named</cp:lastModifiedBy>
  <cp:revision>1</cp:revision>
  <dcterms:created xsi:type="dcterms:W3CDTF">2026-09-25T08:40:10.664Z</dcterms:created>
  <dcterms:modified xsi:type="dcterms:W3CDTF">2026-09-25T08:40:10.664Z</dcterms:modified>
</cp:coreProperties>
</file>

<file path=docProps/custom.xml><?xml version="1.0" encoding="utf-8"?>
<Properties xmlns="http://schemas.openxmlformats.org/officeDocument/2006/custom-properties" xmlns:vt="http://schemas.openxmlformats.org/officeDocument/2006/docPropsVTypes"/>
</file>