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olor w:val="1F3A5F"/>
          <w:sz w:val="36"/>
          <w:szCs w:val="36"/>
        </w:rPr>
        <w:t xml:space="preserve">Audit engine improvements — closing the gaps seen in the B6 and SCS4 runs</w:t>
      </w:r>
    </w:p>
    <w:p>
      <w:pPr>
        <w:spacing w:after="100"/>
      </w:pPr>
      <w:r>
        <w:rPr>
          <w:rFonts w:ascii="Calibri" w:cs="Calibri" w:eastAsia="Calibri" w:hAnsi="Calibri"/>
        </w:rPr>
        <w:t xml:space="preserve">This document lists every gap the manual corrections found in the PPC audit engine and specifies the fix for each, so the next run produces the correction documents’ answers on its own. It draws on two audited runs — Decolure Bamboo Sheets 6-Piece (21 September, corrected in “DBS6 Corrections by Situation”) and Sleephoria Cooling Sheets 4 Piece (run 20260924-7aed7be1, corrected in “SCS4 Corrections by Situation”) — and it holds the engine to one standard: “Bids and placements on Exact campaigns”.</w:t>
      </w:r>
    </w:p>
    <w:p>
      <w:pPr>
        <w:spacing w:after="100"/>
      </w:pPr>
      <w:r>
        <w:rPr>
          <w:rFonts w:ascii="Calibri" w:cs="Calibri" w:eastAsia="Calibri" w:hAnsi="Calibri"/>
        </w:rPr>
        <w:t xml:space="preserve">Each gap gives what we see (with the figures from the two runs), why it matters (the clause of the logic document it breaks), the fix (what the engine must do), and the test that shows it is fixed. Priority: P0 — before the next run on any product; P1 — within two weeks; P2 — next cycle. Section 8 turns the fixes into conformance checks the code runs on every row; section 9 is the acceptance test for the next run; section 10 is the order of work.</w:t>
      </w:r>
    </w:p>
    <w:p>
      <w:pPr>
        <w:pStyle w:val="Heading2"/>
      </w:pPr>
      <w:r>
        <w:rPr>
          <w:rFonts w:ascii="Calibri" w:cs="Calibri" w:eastAsia="Calibri" w:hAnsi="Calibri"/>
        </w:rPr>
        <w:t xml:space="preserve">The gaps at a glance</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700"/>
        <w:gridCol w:w="8300"/>
        <w:gridCol w:w="972"/>
      </w:tblGrid>
      <w:tr>
        <w:trPr>
          <w:cantSplit/>
          <w:tblHeader/>
        </w:trPr>
        <w:tc>
          <w:tcPr>
            <w:tcW w:type="dxa" w:w="7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w:t>
            </w:r>
          </w:p>
        </w:tc>
        <w:tc>
          <w:tcPr>
            <w:tcW w:type="dxa" w:w="83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Gap</w:t>
            </w:r>
          </w:p>
        </w:tc>
        <w:tc>
          <w:tcPr>
            <w:tcW w:type="dxa" w:w="9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Priority</w:t>
            </w:r>
          </w:p>
        </w:tc>
      </w:tr>
      <w:tr>
        <w:trPr>
          <w:cantSplit/>
          <w:tblHeader w:val="false"/>
        </w:trPr>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I1</w:t>
            </w:r>
          </w:p>
        </w:tc>
        <w:tc>
          <w:tcPr>
            <w:tcW w:type="dxa" w:w="8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Contribution is one product figure, and the wrong one</w:t>
            </w:r>
          </w:p>
        </w:tc>
        <w:tc>
          <w:tcPr>
            <w:tcW w:type="dxa" w:w="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P0</w:t>
            </w:r>
          </w:p>
        </w:tc>
      </w:tr>
      <w:tr>
        <w:trPr>
          <w:cantSplit/>
          <w:tblHeader w:val="false"/>
        </w:trPr>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I2</w:t>
            </w:r>
          </w:p>
        </w:tc>
        <w:tc>
          <w:tcPr>
            <w:tcW w:type="dxa" w:w="8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Rank is read from one day’s crawl</w:t>
            </w:r>
          </w:p>
        </w:tc>
        <w:tc>
          <w:tcPr>
            <w:tcW w:type="dxa" w:w="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P0</w:t>
            </w:r>
          </w:p>
        </w:tc>
      </w:tr>
      <w:tr>
        <w:trPr>
          <w:cantSplit/>
          <w:tblHeader w:val="false"/>
        </w:trPr>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I3</w:t>
            </w:r>
          </w:p>
        </w:tc>
        <w:tc>
          <w:tcPr>
            <w:tcW w:type="dxa" w:w="8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“30 days ago” is not 30 days ago</w:t>
            </w:r>
          </w:p>
        </w:tc>
        <w:tc>
          <w:tcPr>
            <w:tcW w:type="dxa" w:w="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P0</w:t>
            </w:r>
          </w:p>
        </w:tc>
      </w:tr>
      <w:tr>
        <w:trPr>
          <w:cantSplit/>
          <w:tblHeader w:val="false"/>
        </w:trPr>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I4</w:t>
            </w:r>
          </w:p>
        </w:tc>
        <w:tc>
          <w:tcPr>
            <w:tcW w:type="dxa" w:w="8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One window for every question</w:t>
            </w:r>
          </w:p>
        </w:tc>
        <w:tc>
          <w:tcPr>
            <w:tcW w:type="dxa" w:w="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P1</w:t>
            </w:r>
          </w:p>
        </w:tc>
      </w:tr>
      <w:tr>
        <w:trPr>
          <w:cantSplit/>
          <w:tblHeader w:val="false"/>
        </w:trPr>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I5</w:t>
            </w:r>
          </w:p>
        </w:tc>
        <w:tc>
          <w:tcPr>
            <w:tcW w:type="dxa" w:w="8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Placement is estimated at keyword grain</w:t>
            </w:r>
          </w:p>
        </w:tc>
        <w:tc>
          <w:tcPr>
            <w:tcW w:type="dxa" w:w="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P1</w:t>
            </w:r>
          </w:p>
        </w:tc>
      </w:tr>
      <w:tr>
        <w:trPr>
          <w:cantSplit/>
          <w:tblHeader w:val="false"/>
        </w:trPr>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I6</w:t>
            </w:r>
          </w:p>
        </w:tc>
        <w:tc>
          <w:tcPr>
            <w:tcW w:type="dxa" w:w="8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Top-of-search impression share is not read as a signal</w:t>
            </w:r>
          </w:p>
        </w:tc>
        <w:tc>
          <w:tcPr>
            <w:tcW w:type="dxa" w:w="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P0</w:t>
            </w:r>
          </w:p>
        </w:tc>
      </w:tr>
      <w:tr>
        <w:trPr>
          <w:cantSplit/>
          <w:tblHeader w:val="false"/>
        </w:trPr>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I7</w:t>
            </w:r>
          </w:p>
        </w:tc>
        <w:tc>
          <w:tcPr>
            <w:tcW w:type="dxa" w:w="8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Campaigns advertising the product are missing from the export</w:t>
            </w:r>
          </w:p>
        </w:tc>
        <w:tc>
          <w:tcPr>
            <w:tcW w:type="dxa" w:w="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P1</w:t>
            </w:r>
          </w:p>
        </w:tc>
      </w:tr>
      <w:tr>
        <w:trPr>
          <w:cantSplit/>
          <w:tblHeader w:val="false"/>
        </w:trPr>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I8</w:t>
            </w:r>
          </w:p>
        </w:tc>
        <w:tc>
          <w:tcPr>
            <w:tcW w:type="dxa" w:w="8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Live values are not re-read before export</w:t>
            </w:r>
          </w:p>
        </w:tc>
        <w:tc>
          <w:tcPr>
            <w:tcW w:type="dxa" w:w="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P1</w:t>
            </w:r>
          </w:p>
        </w:tc>
      </w:tr>
      <w:tr>
        <w:trPr>
          <w:cantSplit/>
          <w:tblHeader w:val="false"/>
        </w:trPr>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I9</w:t>
            </w:r>
          </w:p>
        </w:tc>
        <w:tc>
          <w:tcPr>
            <w:tcW w:type="dxa" w:w="8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Changes made outside the app and listing events are invisible</w:t>
            </w:r>
          </w:p>
        </w:tc>
        <w:tc>
          <w:tcPr>
            <w:tcW w:type="dxa" w:w="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P1</w:t>
            </w:r>
          </w:p>
        </w:tc>
      </w:tr>
      <w:tr>
        <w:trPr>
          <w:cantSplit/>
          <w:tblHeader w:val="false"/>
        </w:trPr>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I10</w:t>
            </w:r>
          </w:p>
        </w:tc>
        <w:tc>
          <w:tcPr>
            <w:tcW w:type="dxa" w:w="8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Syntax library gaps put terms in the wrong group</w:t>
            </w:r>
          </w:p>
        </w:tc>
        <w:tc>
          <w:tcPr>
            <w:tcW w:type="dxa" w:w="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P1</w:t>
            </w:r>
          </w:p>
        </w:tc>
      </w:tr>
      <w:tr>
        <w:trPr>
          <w:cantSplit/>
          <w:tblHeader w:val="false"/>
        </w:trPr>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I11</w:t>
            </w:r>
          </w:p>
        </w:tc>
        <w:tc>
          <w:tcPr>
            <w:tcW w:type="dxa" w:w="8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In-focus terms are not in the rank tracker</w:t>
            </w:r>
          </w:p>
        </w:tc>
        <w:tc>
          <w:tcPr>
            <w:tcW w:type="dxa" w:w="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P1</w:t>
            </w:r>
          </w:p>
        </w:tc>
      </w:tr>
      <w:tr>
        <w:trPr>
          <w:cantSplit/>
          <w:tblHeader w:val="false"/>
        </w:trPr>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P1</w:t>
            </w:r>
          </w:p>
        </w:tc>
        <w:tc>
          <w:tcPr>
            <w:tcW w:type="dxa" w:w="8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The market bound is circular</w:t>
            </w:r>
          </w:p>
        </w:tc>
        <w:tc>
          <w:tcPr>
            <w:tcW w:type="dxa" w:w="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P0</w:t>
            </w:r>
          </w:p>
        </w:tc>
      </w:tr>
      <w:tr>
        <w:trPr>
          <w:cantSplit/>
          <w:tblHeader w:val="false"/>
        </w:trPr>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P2</w:t>
            </w:r>
          </w:p>
        </w:tc>
        <w:tc>
          <w:tcPr>
            <w:tcW w:type="dxa" w:w="8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 per-campaign, per-placement ceiling</w:t>
            </w:r>
          </w:p>
        </w:tc>
        <w:tc>
          <w:tcPr>
            <w:tcW w:type="dxa" w:w="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P0</w:t>
            </w:r>
          </w:p>
        </w:tc>
      </w:tr>
      <w:tr>
        <w:trPr>
          <w:cantSplit/>
          <w:tblHeader w:val="false"/>
        </w:trPr>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P3</w:t>
            </w:r>
          </w:p>
        </w:tc>
        <w:tc>
          <w:tcPr>
            <w:tcW w:type="dxa" w:w="8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Premiums without the five properties; holds without a reason</w:t>
            </w:r>
          </w:p>
        </w:tc>
        <w:tc>
          <w:tcPr>
            <w:tcW w:type="dxa" w:w="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P0</w:t>
            </w:r>
          </w:p>
        </w:tc>
      </w:tr>
      <w:tr>
        <w:trPr>
          <w:cantSplit/>
          <w:tblHeader w:val="false"/>
        </w:trPr>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P4</w:t>
            </w:r>
          </w:p>
        </w:tc>
        <w:tc>
          <w:tcPr>
            <w:tcW w:type="dxa" w:w="8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The four conditions for a wide gap are not tested</w:t>
            </w:r>
          </w:p>
        </w:tc>
        <w:tc>
          <w:tcPr>
            <w:tcW w:type="dxa" w:w="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P1</w:t>
            </w:r>
          </w:p>
        </w:tc>
      </w:tr>
      <w:tr>
        <w:trPr>
          <w:cantSplit/>
          <w:tblHeader w:val="false"/>
        </w:trPr>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P5</w:t>
            </w:r>
          </w:p>
        </w:tc>
        <w:tc>
          <w:tcPr>
            <w:tcW w:type="dxa" w:w="8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The distribution fix is written without the price step it needs</w:t>
            </w:r>
          </w:p>
        </w:tc>
        <w:tc>
          <w:tcPr>
            <w:tcW w:type="dxa" w:w="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P0</w:t>
            </w:r>
          </w:p>
        </w:tc>
      </w:tr>
      <w:tr>
        <w:trPr>
          <w:cantSplit/>
          <w:tblHeader w:val="false"/>
        </w:trPr>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P6</w:t>
            </w:r>
          </w:p>
        </w:tc>
        <w:tc>
          <w:tcPr>
            <w:tcW w:type="dxa" w:w="8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Step size is not tied to the delivery gap or to what the last step bought</w:t>
            </w:r>
          </w:p>
        </w:tc>
        <w:tc>
          <w:tcPr>
            <w:tcW w:type="dxa" w:w="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P0</w:t>
            </w:r>
          </w:p>
        </w:tc>
      </w:tr>
      <w:tr>
        <w:trPr>
          <w:cantSplit/>
          <w:tblHeader w:val="false"/>
        </w:trPr>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P7</w:t>
            </w:r>
          </w:p>
        </w:tc>
        <w:tc>
          <w:tcPr>
            <w:tcW w:type="dxa" w:w="8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Prices come down as a residue, on a ladder, or on pushes that never ran</w:t>
            </w:r>
          </w:p>
        </w:tc>
        <w:tc>
          <w:tcPr>
            <w:tcW w:type="dxa" w:w="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P0</w:t>
            </w:r>
          </w:p>
        </w:tc>
      </w:tr>
      <w:tr>
        <w:trPr>
          <w:cantSplit/>
          <w:tblHeader w:val="false"/>
        </w:trPr>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P8</w:t>
            </w:r>
          </w:p>
        </w:tc>
        <w:tc>
          <w:tcPr>
            <w:tcW w:type="dxa" w:w="8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Base cut on rows that are not delivering</w:t>
            </w:r>
          </w:p>
        </w:tc>
        <w:tc>
          <w:tcPr>
            <w:tcW w:type="dxa" w:w="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P1</w:t>
            </w:r>
          </w:p>
        </w:tc>
      </w:tr>
      <w:tr>
        <w:trPr>
          <w:cantSplit/>
          <w:tblHeader w:val="false"/>
        </w:trPr>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P9</w:t>
            </w:r>
          </w:p>
        </w:tc>
        <w:tc>
          <w:tcPr>
            <w:tcW w:type="dxa" w:w="8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Rest-of-search modifier cut when it has earned its lift</w:t>
            </w:r>
          </w:p>
        </w:tc>
        <w:tc>
          <w:tcPr>
            <w:tcW w:type="dxa" w:w="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P2</w:t>
            </w:r>
          </w:p>
        </w:tc>
      </w:tr>
      <w:tr>
        <w:trPr>
          <w:cantSplit/>
          <w:tblHeader w:val="false"/>
        </w:trPr>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P10</w:t>
            </w:r>
          </w:p>
        </w:tc>
        <w:tc>
          <w:tcPr>
            <w:tcW w:type="dxa" w:w="8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The 900% wall is not handled</w:t>
            </w:r>
          </w:p>
        </w:tc>
        <w:tc>
          <w:tcPr>
            <w:tcW w:type="dxa" w:w="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P1</w:t>
            </w:r>
          </w:p>
        </w:tc>
      </w:tr>
      <w:tr>
        <w:trPr>
          <w:cantSplit/>
          <w:tblHeader w:val="false"/>
        </w:trPr>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P11</w:t>
            </w:r>
          </w:p>
        </w:tc>
        <w:tc>
          <w:tcPr>
            <w:tcW w:type="dxa" w:w="8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Rows state a percentage, not two prices and a loss</w:t>
            </w:r>
          </w:p>
        </w:tc>
        <w:tc>
          <w:tcPr>
            <w:tcW w:type="dxa" w:w="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P1</w:t>
            </w:r>
          </w:p>
        </w:tc>
      </w:tr>
      <w:tr>
        <w:trPr>
          <w:cantSplit/>
          <w:tblHeader w:val="false"/>
        </w:trPr>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P12</w:t>
            </w:r>
          </w:p>
        </w:tc>
        <w:tc>
          <w:tcPr>
            <w:tcW w:type="dxa" w:w="8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Requirements are inflated, unreachable or unfunded without saying so</w:t>
            </w:r>
          </w:p>
        </w:tc>
        <w:tc>
          <w:tcPr>
            <w:tcW w:type="dxa" w:w="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P0</w:t>
            </w:r>
          </w:p>
        </w:tc>
      </w:tr>
      <w:tr>
        <w:trPr>
          <w:cantSplit/>
          <w:tblHeader w:val="false"/>
        </w:trPr>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P13</w:t>
            </w:r>
          </w:p>
        </w:tc>
        <w:tc>
          <w:tcPr>
            <w:tcW w:type="dxa" w:w="8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Budget moves on the wrong evidence</w:t>
            </w:r>
          </w:p>
        </w:tc>
        <w:tc>
          <w:tcPr>
            <w:tcW w:type="dxa" w:w="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P0</w:t>
            </w:r>
          </w:p>
        </w:tc>
      </w:tr>
      <w:tr>
        <w:trPr>
          <w:cantSplit/>
          <w:tblHeader w:val="false"/>
        </w:trPr>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P14</w:t>
            </w:r>
          </w:p>
        </w:tc>
        <w:tc>
          <w:tcPr>
            <w:tcW w:type="dxa" w:w="8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 envelope, so no push is ever “Funded”</w:t>
            </w:r>
          </w:p>
        </w:tc>
        <w:tc>
          <w:tcPr>
            <w:tcW w:type="dxa" w:w="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P0</w:t>
            </w:r>
          </w:p>
        </w:tc>
      </w:tr>
      <w:tr>
        <w:trPr>
          <w:cantSplit/>
          <w:tblHeader w:val="false"/>
        </w:trPr>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S1</w:t>
            </w:r>
          </w:p>
        </w:tc>
        <w:tc>
          <w:tcPr>
            <w:tcW w:type="dxa" w:w="8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Child swaps do not load</w:t>
            </w:r>
          </w:p>
        </w:tc>
        <w:tc>
          <w:tcPr>
            <w:tcW w:type="dxa" w:w="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P0</w:t>
            </w:r>
          </w:p>
        </w:tc>
      </w:tr>
      <w:tr>
        <w:trPr>
          <w:cantSplit/>
          <w:tblHeader w:val="false"/>
        </w:trPr>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S2</w:t>
            </w:r>
          </w:p>
        </w:tc>
        <w:tc>
          <w:tcPr>
            <w:tcW w:type="dxa" w:w="8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Renames stamp a child the ad does not serve</w:t>
            </w:r>
          </w:p>
        </w:tc>
        <w:tc>
          <w:tcPr>
            <w:tcW w:type="dxa" w:w="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P1</w:t>
            </w:r>
          </w:p>
        </w:tc>
      </w:tr>
      <w:tr>
        <w:trPr>
          <w:cantSplit/>
          <w:tblHeader w:val="false"/>
        </w:trPr>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S3</w:t>
            </w:r>
          </w:p>
        </w:tc>
        <w:tc>
          <w:tcPr>
            <w:tcW w:type="dxa" w:w="8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Cover is read on the hero, not the child the size pushes on</w:t>
            </w:r>
          </w:p>
        </w:tc>
        <w:tc>
          <w:tcPr>
            <w:tcW w:type="dxa" w:w="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P0</w:t>
            </w:r>
          </w:p>
        </w:tc>
      </w:tr>
      <w:tr>
        <w:trPr>
          <w:cantSplit/>
          <w:tblHeader w:val="false"/>
        </w:trPr>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S4</w:t>
            </w:r>
          </w:p>
        </w:tc>
        <w:tc>
          <w:tcPr>
            <w:tcW w:type="dxa" w:w="8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Swaps contradict each other or cross sizes</w:t>
            </w:r>
          </w:p>
        </w:tc>
        <w:tc>
          <w:tcPr>
            <w:tcW w:type="dxa" w:w="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P0</w:t>
            </w:r>
          </w:p>
        </w:tc>
      </w:tr>
      <w:tr>
        <w:trPr>
          <w:cantSplit/>
          <w:tblHeader w:val="false"/>
        </w:trPr>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S5</w:t>
            </w:r>
          </w:p>
        </w:tc>
        <w:tc>
          <w:tcPr>
            <w:tcW w:type="dxa" w:w="8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Builds and pushes on a child without stock</w:t>
            </w:r>
          </w:p>
        </w:tc>
        <w:tc>
          <w:tcPr>
            <w:tcW w:type="dxa" w:w="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P0</w:t>
            </w:r>
          </w:p>
        </w:tc>
      </w:tr>
      <w:tr>
        <w:trPr>
          <w:cantSplit/>
          <w:tblHeader w:val="false"/>
        </w:trPr>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S6</w:t>
            </w:r>
          </w:p>
        </w:tc>
        <w:tc>
          <w:tcPr>
            <w:tcW w:type="dxa" w:w="8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The tracker may read a different child from the ad</w:t>
            </w:r>
          </w:p>
        </w:tc>
        <w:tc>
          <w:tcPr>
            <w:tcW w:type="dxa" w:w="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P2</w:t>
            </w:r>
          </w:p>
        </w:tc>
      </w:tr>
      <w:tr>
        <w:trPr>
          <w:cantSplit/>
          <w:tblHeader w:val="false"/>
        </w:trPr>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T1</w:t>
            </w:r>
          </w:p>
        </w:tc>
        <w:tc>
          <w:tcPr>
            <w:tcW w:type="dxa" w:w="8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Writes on paused campaigns</w:t>
            </w:r>
          </w:p>
        </w:tc>
        <w:tc>
          <w:tcPr>
            <w:tcW w:type="dxa" w:w="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P0</w:t>
            </w:r>
          </w:p>
        </w:tc>
      </w:tr>
      <w:tr>
        <w:trPr>
          <w:cantSplit/>
          <w:tblHeader w:val="false"/>
        </w:trPr>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T2</w:t>
            </w:r>
          </w:p>
        </w:tc>
        <w:tc>
          <w:tcPr>
            <w:tcW w:type="dxa" w:w="8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A paused campaign takes a plan term out of ranking without a decision</w:t>
            </w:r>
          </w:p>
        </w:tc>
        <w:tc>
          <w:tcPr>
            <w:tcW w:type="dxa" w:w="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P0</w:t>
            </w:r>
          </w:p>
        </w:tc>
      </w:tr>
      <w:tr>
        <w:trPr>
          <w:cantSplit/>
          <w:tblHeader w:val="false"/>
        </w:trPr>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T3</w:t>
            </w:r>
          </w:p>
        </w:tc>
        <w:tc>
          <w:tcPr>
            <w:tcW w:type="dxa" w:w="8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Duplicate builds instead of re-enabling campaigns with history</w:t>
            </w:r>
          </w:p>
        </w:tc>
        <w:tc>
          <w:tcPr>
            <w:tcW w:type="dxa" w:w="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P1</w:t>
            </w:r>
          </w:p>
        </w:tc>
      </w:tr>
      <w:tr>
        <w:trPr>
          <w:cantSplit/>
          <w:tblHeader w:val="false"/>
        </w:trPr>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T4</w:t>
            </w:r>
          </w:p>
        </w:tc>
        <w:tc>
          <w:tcPr>
            <w:tcW w:type="dxa" w:w="8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Rows parked for a person to “re-price or pause”</w:t>
            </w:r>
          </w:p>
        </w:tc>
        <w:tc>
          <w:tcPr>
            <w:tcW w:type="dxa" w:w="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P0</w:t>
            </w:r>
          </w:p>
        </w:tc>
      </w:tr>
      <w:tr>
        <w:trPr>
          <w:cantSplit/>
          <w:tblHeader w:val="false"/>
        </w:trPr>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T5</w:t>
            </w:r>
          </w:p>
        </w:tc>
        <w:tc>
          <w:tcPr>
            <w:tcW w:type="dxa" w:w="8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Rows are priced in the same run they are re-tagged</w:t>
            </w:r>
          </w:p>
        </w:tc>
        <w:tc>
          <w:tcPr>
            <w:tcW w:type="dxa" w:w="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P2</w:t>
            </w:r>
          </w:p>
        </w:tc>
      </w:tr>
      <w:tr>
        <w:trPr>
          <w:cantSplit/>
          <w:tblHeader w:val="false"/>
        </w:trPr>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T6</w:t>
            </w:r>
          </w:p>
        </w:tc>
        <w:tc>
          <w:tcPr>
            <w:tcW w:type="dxa" w:w="8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Sibling listings bid the same terms unknowingly</w:t>
            </w:r>
          </w:p>
        </w:tc>
        <w:tc>
          <w:tcPr>
            <w:tcW w:type="dxa" w:w="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P1</w:t>
            </w:r>
          </w:p>
        </w:tc>
      </w:tr>
      <w:tr>
        <w:trPr>
          <w:cantSplit/>
          <w:tblHeader w:val="false"/>
        </w:trPr>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T7</w:t>
            </w:r>
          </w:p>
        </w:tc>
        <w:tc>
          <w:tcPr>
            <w:tcW w:type="dxa" w:w="8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Non-SP builds have no path</w:t>
            </w:r>
          </w:p>
        </w:tc>
        <w:tc>
          <w:tcPr>
            <w:tcW w:type="dxa" w:w="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P1</w:t>
            </w:r>
          </w:p>
        </w:tc>
      </w:tr>
      <w:tr>
        <w:trPr>
          <w:cantSplit/>
          <w:tblHeader w:val="false"/>
        </w:trPr>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E1</w:t>
            </w:r>
          </w:p>
        </w:tc>
        <w:tc>
          <w:tcPr>
            <w:tcW w:type="dxa" w:w="8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Withheld rows export as changes</w:t>
            </w:r>
          </w:p>
        </w:tc>
        <w:tc>
          <w:tcPr>
            <w:tcW w:type="dxa" w:w="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P0</w:t>
            </w:r>
          </w:p>
        </w:tc>
      </w:tr>
      <w:tr>
        <w:trPr>
          <w:cantSplit/>
          <w:tblHeader w:val="false"/>
        </w:trPr>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E2</w:t>
            </w:r>
          </w:p>
        </w:tc>
        <w:tc>
          <w:tcPr>
            <w:tcW w:type="dxa" w:w="8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No-op, duplicate and overtaken rows</w:t>
            </w:r>
          </w:p>
        </w:tc>
        <w:tc>
          <w:tcPr>
            <w:tcW w:type="dxa" w:w="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P1</w:t>
            </w:r>
          </w:p>
        </w:tc>
      </w:tr>
      <w:tr>
        <w:trPr>
          <w:cantSplit/>
          <w:tblHeader w:val="false"/>
        </w:trPr>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E3</w:t>
            </w:r>
          </w:p>
        </w:tc>
        <w:tc>
          <w:tcPr>
            <w:tcW w:type="dxa" w:w="8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The outcome is booked on moves that cannot happen</w:t>
            </w:r>
          </w:p>
        </w:tc>
        <w:tc>
          <w:tcPr>
            <w:tcW w:type="dxa" w:w="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P0</w:t>
            </w:r>
          </w:p>
        </w:tc>
      </w:tr>
      <w:tr>
        <w:trPr>
          <w:cantSplit/>
          <w:tblHeader w:val="false"/>
        </w:trPr>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E4</w:t>
            </w:r>
          </w:p>
        </w:tc>
        <w:tc>
          <w:tcPr>
            <w:tcW w:type="dxa" w:w="8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Predictions come from the plan, not the step</w:t>
            </w:r>
          </w:p>
        </w:tc>
        <w:tc>
          <w:tcPr>
            <w:tcW w:type="dxa" w:w="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P0</w:t>
            </w:r>
          </w:p>
        </w:tc>
      </w:tr>
      <w:tr>
        <w:trPr>
          <w:cantSplit/>
          <w:tblHeader w:val="false"/>
        </w:trPr>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E5</w:t>
            </w:r>
          </w:p>
        </w:tc>
        <w:tc>
          <w:tcPr>
            <w:tcW w:type="dxa" w:w="8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The last change is not graded before the next</w:t>
            </w:r>
          </w:p>
        </w:tc>
        <w:tc>
          <w:tcPr>
            <w:tcW w:type="dxa" w:w="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P0</w:t>
            </w:r>
          </w:p>
        </w:tc>
      </w:tr>
      <w:tr>
        <w:trPr>
          <w:cantSplit/>
          <w:tblHeader w:val="false"/>
        </w:trPr>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E6</w:t>
            </w:r>
          </w:p>
        </w:tc>
        <w:tc>
          <w:tcPr>
            <w:tcW w:type="dxa" w:w="8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The review agent checks consistency, not the pricing logic</w:t>
            </w:r>
          </w:p>
        </w:tc>
        <w:tc>
          <w:tcPr>
            <w:tcW w:type="dxa" w:w="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P1</w:t>
            </w:r>
          </w:p>
        </w:tc>
      </w:tr>
      <w:tr>
        <w:trPr>
          <w:cantSplit/>
          <w:tblHeader w:val="false"/>
        </w:trPr>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E7</w:t>
            </w:r>
          </w:p>
        </w:tc>
        <w:tc>
          <w:tcPr>
            <w:tcW w:type="dxa" w:w="8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Engine-check failures are not always named</w:t>
            </w:r>
          </w:p>
        </w:tc>
        <w:tc>
          <w:tcPr>
            <w:tcW w:type="dxa" w:w="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P2</w:t>
            </w:r>
          </w:p>
        </w:tc>
      </w:tr>
      <w:tr>
        <w:trPr>
          <w:cantSplit/>
          <w:tblHeader w:val="false"/>
        </w:trPr>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R1</w:t>
            </w:r>
          </w:p>
        </w:tc>
        <w:tc>
          <w:tcPr>
            <w:tcW w:type="dxa" w:w="8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Traffic gap and performance gap are not told apart</w:t>
            </w:r>
          </w:p>
        </w:tc>
        <w:tc>
          <w:tcPr>
            <w:tcW w:type="dxa" w:w="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P0</w:t>
            </w:r>
          </w:p>
        </w:tc>
      </w:tr>
      <w:tr>
        <w:trPr>
          <w:cantSplit/>
          <w:tblHeader w:val="false"/>
        </w:trPr>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R2</w:t>
            </w:r>
          </w:p>
        </w:tc>
        <w:tc>
          <w:tcPr>
            <w:tcW w:type="dxa" w:w="8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The placement goal is not reported where the leak sits</w:t>
            </w:r>
          </w:p>
        </w:tc>
        <w:tc>
          <w:tcPr>
            <w:tcW w:type="dxa" w:w="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P1</w:t>
            </w:r>
          </w:p>
        </w:tc>
      </w:tr>
      <w:tr>
        <w:trPr>
          <w:cantSplit/>
          <w:tblHeader w:val="false"/>
        </w:trPr>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R3</w:t>
            </w:r>
          </w:p>
        </w:tc>
        <w:tc>
          <w:tcPr>
            <w:tcW w:type="dxa" w:w="8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No-deal runs have no velocity story</w:t>
            </w:r>
          </w:p>
        </w:tc>
        <w:tc>
          <w:tcPr>
            <w:tcW w:type="dxa" w:w="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P1</w:t>
            </w:r>
          </w:p>
        </w:tc>
      </w:tr>
      <w:tr>
        <w:trPr>
          <w:cantSplit/>
          <w:tblHeader w:val="false"/>
        </w:trPr>
        <w:tc>
          <w:tcPr>
            <w:tcW w:type="dxa" w:w="7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R4</w:t>
            </w:r>
          </w:p>
        </w:tc>
        <w:tc>
          <w:tcPr>
            <w:tcW w:type="dxa" w:w="8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Head terms are left on inherited prices after a build-out</w:t>
            </w:r>
          </w:p>
        </w:tc>
        <w:tc>
          <w:tcPr>
            <w:tcW w:type="dxa" w:w="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P1</w:t>
            </w:r>
          </w:p>
        </w:tc>
      </w:tr>
      <w:tr>
        <w:trPr>
          <w:cantSplit/>
          <w:tblHeader w:val="false"/>
        </w:trPr>
        <w:tc>
          <w:tcPr>
            <w:tcW w:type="dxa" w:w="7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R5</w:t>
            </w:r>
          </w:p>
        </w:tc>
        <w:tc>
          <w:tcPr>
            <w:tcW w:type="dxa" w:w="8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Competitor reads are thin</w:t>
            </w:r>
          </w:p>
        </w:tc>
        <w:tc>
          <w:tcPr>
            <w:tcW w:type="dxa" w:w="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P2</w:t>
            </w:r>
          </w:p>
        </w:tc>
      </w:tr>
    </w:tbl>
    <w:p>
      <w:pPr>
        <w:spacing w:after="80"/>
      </w:pPr>
    </w:p>
    <w:p>
      <w:pPr>
        <w:spacing w:after="100"/>
      </w:pPr>
      <w:r>
        <w:rPr>
          <w:rFonts w:ascii="Calibri" w:cs="Calibri" w:eastAsia="Calibri" w:hAnsi="Calibri"/>
        </w:rPr>
        <w:t xml:space="preserve">50 gaps: 25 P0, 20 P1, 5 P2. Two themes run through them. First, the engine does not derive a price the way the logic document does — no per-campaign ceiling, a circular market bound, premiums without the five properties, descents with no landing point. Second, what it writes is not what loads or what can happen — swaps that skip, writes on paused campaigns, withheld rows exported as changes, an outcome booked on moves that cannot happen.</w:t>
      </w:r>
    </w:p>
    <w:p>
      <w:pPr>
        <w:pStyle w:val="Heading2"/>
      </w:pPr>
      <w:r>
        <w:rPr>
          <w:rFonts w:ascii="Calibri" w:cs="Calibri" w:eastAsia="Calibri" w:hAnsi="Calibri"/>
        </w:rPr>
        <w:t xml:space="preserve">What the two runs had in common</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572"/>
      </w:tblGrid>
      <w:tr>
        <w:trPr>
          <w:cantSplit/>
          <w:tblHeader/>
        </w:trPr>
        <w:tc>
          <w:tcPr>
            <w:tcW w:type="dxa" w:w="34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Pattern</w:t>
            </w:r>
          </w:p>
        </w:tc>
        <w:tc>
          <w:tcPr>
            <w:tcW w:type="dxa" w:w="3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B6 (21 Sep)</w:t>
            </w:r>
          </w:p>
        </w:tc>
        <w:tc>
          <w:tcPr>
            <w:tcW w:type="dxa" w:w="35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SCS4 (24 Sep)</w:t>
            </w:r>
          </w:p>
        </w:tc>
      </w:tr>
      <w:tr>
        <w:trPr>
          <w:cantSplit/>
          <w:tblHeader w:val="false"/>
        </w:trPr>
        <w:tc>
          <w:tcPr>
            <w:tcW w:type="dxa" w:w="3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Market bound built from our own paid CPC</w:t>
            </w:r>
          </w:p>
        </w:tc>
        <w:tc>
          <w:tcPr>
            <w:tcW w:type="dxa" w:w="3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yes — “our own paid CPC + 15%”</w:t>
            </w:r>
          </w:p>
        </w:tc>
        <w:tc>
          <w:tcPr>
            <w:tcW w:type="dxa" w:w="35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yes — own or group CPC + 15%; 29 rows parked on it</w:t>
            </w:r>
          </w:p>
        </w:tc>
      </w:tr>
      <w:tr>
        <w:trPr>
          <w:cantSplit/>
          <w:tblHeader w:val="false"/>
        </w:trPr>
        <w:tc>
          <w:tcPr>
            <w:tcW w:type="dxa" w:w="3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Rank read</w:t>
            </w:r>
          </w:p>
        </w:tc>
        <w:tc>
          <w:tcPr>
            <w:tcW w:type="dxa" w:w="3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single day; “bamboo sheets” 26–38 in a week</w:t>
            </w:r>
          </w:p>
        </w:tc>
        <w:tc>
          <w:tcPr>
            <w:tcW w:type="dxa" w:w="35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single day; 4 false “collapses”, 2 against March/April dates</w:t>
            </w:r>
          </w:p>
        </w:tc>
      </w:tr>
      <w:tr>
        <w:trPr>
          <w:cantSplit/>
          <w:tblHeader w:val="false"/>
        </w:trPr>
        <w:tc>
          <w:tcPr>
            <w:tcW w:type="dxa" w:w="3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Budget raises on campaigns not running out</w:t>
            </w:r>
          </w:p>
        </w:tc>
        <w:tc>
          <w:tcPr>
            <w:tcW w:type="dxa" w:w="3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 of 5</w:t>
            </w:r>
          </w:p>
        </w:tc>
        <w:tc>
          <w:tcPr>
            <w:tcW w:type="dxa" w:w="35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 of 9</w:t>
            </w:r>
          </w:p>
        </w:tc>
      </w:tr>
      <w:tr>
        <w:trPr>
          <w:cantSplit/>
          <w:tblHeader w:val="false"/>
        </w:trPr>
        <w:tc>
          <w:tcPr>
            <w:tcW w:type="dxa" w:w="3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Withheld rows exported as changes</w:t>
            </w:r>
          </w:p>
        </w:tc>
        <w:tc>
          <w:tcPr>
            <w:tcW w:type="dxa" w:w="3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w:t>
            </w:r>
          </w:p>
        </w:tc>
        <w:tc>
          <w:tcPr>
            <w:tcW w:type="dxa" w:w="35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15</w:t>
            </w:r>
          </w:p>
        </w:tc>
      </w:tr>
      <w:tr>
        <w:trPr>
          <w:cantSplit/>
          <w:tblHeader w:val="false"/>
        </w:trPr>
        <w:tc>
          <w:tcPr>
            <w:tcW w:type="dxa" w:w="3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Price moves without a derived ceiling</w:t>
            </w:r>
          </w:p>
        </w:tc>
        <w:tc>
          <w:tcPr>
            <w:tcW w:type="dxa" w:w="3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held thin in-focus rows</w:t>
            </w:r>
          </w:p>
        </w:tc>
        <w:tc>
          <w:tcPr>
            <w:tcW w:type="dxa" w:w="35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priced thin rows above an underived ceiling</w:t>
            </w:r>
          </w:p>
        </w:tc>
      </w:tr>
      <w:tr>
        <w:trPr>
          <w:cantSplit/>
          <w:tblHeader w:val="false"/>
        </w:trPr>
        <w:tc>
          <w:tcPr>
            <w:tcW w:type="dxa" w:w="3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Last change graded before the next</w:t>
            </w:r>
          </w:p>
        </w:tc>
        <w:tc>
          <w:tcPr>
            <w:tcW w:type="dxa" w:w="3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 — 720 decisions, none scored</w:t>
            </w:r>
          </w:p>
        </w:tc>
        <w:tc>
          <w:tcPr>
            <w:tcW w:type="dxa" w:w="35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 — 0 graded, 0 tuner records</w:t>
            </w:r>
          </w:p>
        </w:tc>
      </w:tr>
      <w:tr>
        <w:trPr>
          <w:cantSplit/>
          <w:tblHeader w:val="false"/>
        </w:trPr>
        <w:tc>
          <w:tcPr>
            <w:tcW w:type="dxa" w:w="3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Impression share used to act or grade</w:t>
            </w:r>
          </w:p>
        </w:tc>
        <w:tc>
          <w:tcPr>
            <w:tcW w:type="dxa" w:w="3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 (median 7.5%)</w:t>
            </w:r>
          </w:p>
        </w:tc>
        <w:tc>
          <w:tcPr>
            <w:tcW w:type="dxa" w:w="35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 (head terms 1.5–3.8%)</w:t>
            </w:r>
          </w:p>
        </w:tc>
      </w:tr>
      <w:tr>
        <w:trPr>
          <w:cantSplit/>
          <w:tblHeader w:val="false"/>
        </w:trPr>
        <w:tc>
          <w:tcPr>
            <w:tcW w:type="dxa" w:w="3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Sibling listings in the same auctions</w:t>
            </w:r>
          </w:p>
        </w:tc>
        <w:tc>
          <w:tcPr>
            <w:tcW w:type="dxa" w:w="3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1,242 shared terms, 87% of spend</w:t>
            </w:r>
          </w:p>
        </w:tc>
        <w:tc>
          <w:tcPr>
            <w:tcW w:type="dxa" w:w="35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 terms declined for ownership</w:t>
            </w:r>
          </w:p>
        </w:tc>
      </w:tr>
      <w:tr>
        <w:trPr>
          <w:cantSplit/>
          <w:tblHeader w:val="false"/>
        </w:trPr>
        <w:tc>
          <w:tcPr>
            <w:tcW w:type="dxa" w:w="3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Deal read</w:t>
            </w:r>
          </w:p>
        </w:tc>
        <w:tc>
          <w:tcPr>
            <w:tcW w:type="dxa" w:w="3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none, not stated</w:t>
            </w:r>
          </w:p>
        </w:tc>
        <w:tc>
          <w:tcPr>
            <w:tcW w:type="dxa" w:w="35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none, not stated</w:t>
            </w:r>
          </w:p>
        </w:tc>
      </w:tr>
      <w:tr>
        <w:trPr>
          <w:cantSplit/>
          <w:tblHeader w:val="false"/>
        </w:trPr>
        <w:tc>
          <w:tcPr>
            <w:tcW w:type="dxa" w:w="3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Non-SP builds with no path</w:t>
            </w:r>
          </w:p>
        </w:tc>
        <w:tc>
          <w:tcPr>
            <w:tcW w:type="dxa" w:w="3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w:t>
            </w:r>
          </w:p>
        </w:tc>
        <w:tc>
          <w:tcPr>
            <w:tcW w:type="dxa" w:w="35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7 (creative gate unchecked twice)</w:t>
            </w:r>
          </w:p>
        </w:tc>
      </w:tr>
    </w:tbl>
    <w:p>
      <w:pPr>
        <w:spacing w:after="80"/>
      </w:pPr>
    </w:p>
    <w:p>
      <w:pPr>
        <w:pStyle w:val="Heading1"/>
      </w:pPr>
      <w:r>
        <w:rPr>
          <w:rFonts w:ascii="Calibri" w:cs="Calibri" w:eastAsia="Calibri" w:hAnsi="Calibri"/>
        </w:rPr>
        <w:t xml:space="preserve">1. Inputs the engine prices from</w:t>
      </w:r>
    </w:p>
    <w:p>
      <w:pPr>
        <w:pStyle w:val="Heading2"/>
      </w:pPr>
      <w:r>
        <w:rPr>
          <w:rFonts w:ascii="Calibri" w:cs="Calibri" w:eastAsia="Calibri" w:hAnsi="Calibri"/>
        </w:rPr>
        <w:t xml:space="preserve">I1 Contribution is one product figure, and the wrong one (P0)</w:t>
      </w:r>
    </w:p>
    <w:p>
      <w:pPr>
        <w:spacing w:after="100"/>
      </w:pPr>
      <w:r>
        <w:rPr>
          <w:rFonts w:ascii="Calibri" w:cs="Calibri" w:eastAsia="Calibri" w:hAnsi="Calibri"/>
        </w:rPr>
        <w:t xml:space="preserve">What we see. SCS4 priced every row on $30.37 per unit (break-even ACoS 39.1%, “profitability” source) and wrote “$28–$29.50 contribution per order” on its PRICES lines. Command Center’s landed-cost contribution is $26.53 on King White, $20.55 on Queen Graphite and $13.45 on Twin Graphite (blended $20.42, break-even 30.9%). Queen ceilings were overstated by up to ~60%, Twin by ~110%; the run’s “ACoS 31.4% inside a 39.1% break-even” is over break-even on the Command Center figure. B6 priced on the advertised child’s contribution ($26.46 average) and did not have this problem.</w:t>
      </w:r>
    </w:p>
    <w:p>
      <w:pPr>
        <w:spacing w:after="100"/>
      </w:pPr>
      <w:r>
        <w:rPr>
          <w:rFonts w:ascii="Calibri" w:cs="Calibri" w:eastAsia="Calibri" w:hAnsi="Calibri"/>
        </w:rPr>
        <w:t xml:space="preserve">Why it matters. Logic doc §2: “If the contribution is wrong, every price is wrong. Each bid traces back to that contribution. Any open question on landed cost is flagged by name on the rows it touches.”</w:t>
      </w:r>
    </w:p>
    <w:p>
      <w:pPr>
        <w:spacing w:after="100"/>
      </w:pPr>
      <w:r>
        <w:rPr>
          <w:rFonts w:ascii="Calibri" w:cs="Calibri" w:eastAsia="Calibri" w:hAnsi="Calibri"/>
        </w:rPr>
        <w:t xml:space="preserve">The fix. Read contribution per serving child (price − referral − fulfilment − landed cost) from one source of record. Compare it with every other source the engine can see; if two differ by more than 10% for a child that carries spend, run with the lower figure and write the difference by name on every row it touches. Never use a blended product figure for a per-child ceiling.</w:t>
      </w:r>
    </w:p>
    <w:p>
      <w:pPr>
        <w:spacing w:after="100"/>
      </w:pPr>
      <w:r>
        <w:rPr>
          <w:rFonts w:ascii="Calibri" w:cs="Calibri" w:eastAsia="Calibri" w:hAnsi="Calibri"/>
        </w:rPr>
        <w:t xml:space="preserve">How we know it is fixed. Every PRICES line names the child and its contribution; the run header lists any contribution source conflict; no row uses the blended figure.</w:t>
      </w:r>
    </w:p>
    <w:p>
      <w:pPr>
        <w:pStyle w:val="Heading2"/>
      </w:pPr>
      <w:r>
        <w:rPr>
          <w:rFonts w:ascii="Calibri" w:cs="Calibri" w:eastAsia="Calibri" w:hAnsi="Calibri"/>
        </w:rPr>
        <w:t xml:space="preserve">I2 Rank is read from one day’s crawl (P0)</w:t>
      </w:r>
    </w:p>
    <w:p>
      <w:pPr>
        <w:spacing w:after="100"/>
      </w:pPr>
      <w:r>
        <w:rPr>
          <w:rFonts w:ascii="Calibri" w:cs="Calibri" w:eastAsia="Calibri" w:hAnsi="Calibri"/>
        </w:rPr>
        <w:t xml:space="preserve">What we see. SCS4 froze four campaigns as “rank collapses”: “cal king cooling sheets” #5 → #129 (7-day median 5 → 5.5, flat), “king sheet set cooling” #58 → #93 (7-day median 127 → 67, improved). The engine’s head-term rank (“cooling sheets” 22) differs from the 7-day median (17.5). In B6 one day’s reading on “bamboo sheets” moved between 26 and 38 in a week.</w:t>
      </w:r>
    </w:p>
    <w:p>
      <w:pPr>
        <w:spacing w:after="100"/>
      </w:pPr>
      <w:r>
        <w:rPr>
          <w:rFonts w:ascii="Calibri" w:cs="Calibri" w:eastAsia="Calibri" w:hAnsi="Calibri"/>
        </w:rPr>
        <w:t xml:space="preserve">Why it matters. Logic doc §13: rank is a lagging, noisy signal; click share is the first alarm and rank the confirming read. A freeze on a single-day read stops a push for nothing.</w:t>
      </w:r>
    </w:p>
    <w:p>
      <w:pPr>
        <w:spacing w:after="100"/>
      </w:pPr>
      <w:r>
        <w:rPr>
          <w:rFonts w:ascii="Calibri" w:cs="Calibri" w:eastAsia="Calibri" w:hAnsi="Calibri"/>
        </w:rPr>
        <w:t xml:space="preserve">The fix. Use the tracker’s 7-day median of ranked days for sizing, claims, freezes and grading. Unranked days are excluded, not counted as a rank. A “collapse” needs a 10+ position loss on the 7-day median against the 7-day median 30 days earlier.</w:t>
      </w:r>
    </w:p>
    <w:p>
      <w:pPr>
        <w:spacing w:after="100"/>
      </w:pPr>
      <w:r>
        <w:rPr>
          <w:rFonts w:ascii="Calibri" w:cs="Calibri" w:eastAsia="Calibri" w:hAnsi="Calibri"/>
        </w:rPr>
        <w:t xml:space="preserve">How we know it is fixed. No rank figure in a rationale is a single-day value; every collapse row shows both 7-day medians and their dates.</w:t>
      </w:r>
    </w:p>
    <w:p>
      <w:pPr>
        <w:pStyle w:val="Heading2"/>
      </w:pPr>
      <w:r>
        <w:rPr>
          <w:rFonts w:ascii="Calibri" w:cs="Calibri" w:eastAsia="Calibri" w:hAnsi="Calibri"/>
        </w:rPr>
        <w:t xml:space="preserve">I3 “30 days ago” is not 30 days ago (P0)</w:t>
      </w:r>
    </w:p>
    <w:p>
      <w:pPr>
        <w:spacing w:after="100"/>
      </w:pPr>
      <w:r>
        <w:rPr>
          <w:rFonts w:ascii="Calibri" w:cs="Calibri" w:eastAsia="Calibri" w:hAnsi="Calibri"/>
        </w:rPr>
        <w:t xml:space="preserve">What we see. SCS4 froze “deep pocket king sheets cooling” on #47 dated 2026-04-01 and “queen bed sheet set cooling” on #35 dated 2026-03-28, both labelled “lost in 30 days”.</w:t>
      </w:r>
    </w:p>
    <w:p>
      <w:pPr>
        <w:spacing w:after="100"/>
      </w:pPr>
      <w:r>
        <w:rPr>
          <w:rFonts w:ascii="Calibri" w:cs="Calibri" w:eastAsia="Calibri" w:hAnsi="Calibri"/>
        </w:rPr>
        <w:t xml:space="preserve">Why it matters. A comparison against a date six months back is not a 30-day comparison; it froze two in-focus campaigns.</w:t>
      </w:r>
    </w:p>
    <w:p>
      <w:pPr>
        <w:spacing w:after="100"/>
      </w:pPr>
      <w:r>
        <w:rPr>
          <w:rFonts w:ascii="Calibri" w:cs="Calibri" w:eastAsia="Calibri" w:hAnsi="Calibri"/>
        </w:rPr>
        <w:t xml:space="preserve">The fix. The comparison point must sit inside 30 ± 3 days of the audit date; if the tracker has no read there, the row says “no 30-day read” and nothing is frozen.</w:t>
      </w:r>
    </w:p>
    <w:p>
      <w:pPr>
        <w:spacing w:after="100"/>
      </w:pPr>
      <w:r>
        <w:rPr>
          <w:rFonts w:ascii="Calibri" w:cs="Calibri" w:eastAsia="Calibri" w:hAnsi="Calibri"/>
        </w:rPr>
        <w:t xml:space="preserve">How we know it is fixed. Code check: every date quoted as “30 days ago” is within 27–33 days of the audit date.</w:t>
      </w:r>
    </w:p>
    <w:p>
      <w:pPr>
        <w:pStyle w:val="Heading2"/>
      </w:pPr>
      <w:r>
        <w:rPr>
          <w:rFonts w:ascii="Calibri" w:cs="Calibri" w:eastAsia="Calibri" w:hAnsi="Calibri"/>
        </w:rPr>
        <w:t xml:space="preserve">I4 One window for every question (P1)</w:t>
      </w:r>
    </w:p>
    <w:p>
      <w:pPr>
        <w:spacing w:after="100"/>
      </w:pPr>
      <w:r>
        <w:rPr>
          <w:rFonts w:ascii="Calibri" w:cs="Calibri" w:eastAsia="Calibri" w:hAnsi="Calibri"/>
        </w:rPr>
        <w:t xml:space="preserve">What we see. B6: every price input was 90 days. SCS4: budget eligibility read one day of the pack (“$20.38 of $20.00 = 102%” on “cooling sheets”) while the 7-day use was 50%; 7 of 9 budget raises rested on that.</w:t>
      </w:r>
    </w:p>
    <w:p>
      <w:pPr>
        <w:spacing w:after="100"/>
      </w:pPr>
      <w:r>
        <w:rPr>
          <w:rFonts w:ascii="Calibri" w:cs="Calibri" w:eastAsia="Calibri" w:hAnsi="Calibri"/>
        </w:rPr>
        <w:t xml:space="preserve">Why it matters. Logic doc §3/§12 and DBS6: conversion needs sample (90 days); where clicks land is recent (14 days); budget and “is it serving” are the last 3–7 days.</w:t>
      </w:r>
    </w:p>
    <w:p>
      <w:pPr>
        <w:spacing w:after="100"/>
      </w:pPr>
      <w:r>
        <w:rPr>
          <w:rFonts w:ascii="Calibri" w:cs="Calibri" w:eastAsia="Calibri" w:hAnsi="Calibri"/>
        </w:rPr>
        <w:t xml:space="preserve">The fix. Fix the window per question: conversion by placement 90 days; placement mix 14 days; delivery 8 days against the 31 before; budget use and serving 7 and 3 days; deal days as their own window. Each rationale states the window beside every figure.</w:t>
      </w:r>
    </w:p>
    <w:p>
      <w:pPr>
        <w:spacing w:after="100"/>
      </w:pPr>
      <w:r>
        <w:rPr>
          <w:rFonts w:ascii="Calibri" w:cs="Calibri" w:eastAsia="Calibri" w:hAnsi="Calibri"/>
        </w:rPr>
        <w:t xml:space="preserve">How we know it is fixed. Budget raise rows cite 7-day utilisation; mix rows cite 14-day clicks; ceiling rows cite 90-day placement clicks and orders.</w:t>
      </w:r>
    </w:p>
    <w:p>
      <w:pPr>
        <w:pStyle w:val="Heading2"/>
      </w:pPr>
      <w:r>
        <w:rPr>
          <w:rFonts w:ascii="Calibri" w:cs="Calibri" w:eastAsia="Calibri" w:hAnsi="Calibri"/>
        </w:rPr>
        <w:t xml:space="preserve">I5 Placement is estimated at keyword grain (P1)</w:t>
      </w:r>
    </w:p>
    <w:p>
      <w:pPr>
        <w:spacing w:after="100"/>
      </w:pPr>
      <w:r>
        <w:rPr>
          <w:rFonts w:ascii="Calibri" w:cs="Calibri" w:eastAsia="Calibri" w:hAnsi="Calibri"/>
        </w:rPr>
        <w:t xml:space="preserve">What we see. B6: the engine’s placement figures are a keyword-level estimate — on 33 changed campaigns they differed from Amazon’s placement report by more than 20%.</w:t>
      </w:r>
    </w:p>
    <w:p>
      <w:pPr>
        <w:spacing w:after="100"/>
      </w:pPr>
      <w:r>
        <w:rPr>
          <w:rFonts w:ascii="Calibri" w:cs="Calibri" w:eastAsia="Calibri" w:hAnsi="Calibri"/>
        </w:rPr>
        <w:t xml:space="preserve">Why it matters. Logic doc §16 Table 2: placement per campaign per placement, never a roll-up — “the modifier is the lever”, and it lives on the campaign.</w:t>
      </w:r>
    </w:p>
    <w:p>
      <w:pPr>
        <w:spacing w:after="100"/>
      </w:pPr>
      <w:r>
        <w:rPr>
          <w:rFonts w:ascii="Calibri" w:cs="Calibri" w:eastAsia="Calibri" w:hAnsi="Calibri"/>
        </w:rPr>
        <w:t xml:space="preserve">The fix. Read placement from Amazon’s campaign placement report (clicks, orders, spend, CPC per placement). Keyword-level placement is shown only as an estimate with its band, never priced from.</w:t>
      </w:r>
    </w:p>
    <w:p>
      <w:pPr>
        <w:spacing w:after="100"/>
      </w:pPr>
      <w:r>
        <w:rPr>
          <w:rFonts w:ascii="Calibri" w:cs="Calibri" w:eastAsia="Calibri" w:hAnsi="Calibri"/>
        </w:rPr>
        <w:t xml:space="preserve">How we know it is fixed. Every mix and ceiling figure matches the campaign placement report to the click.</w:t>
      </w:r>
    </w:p>
    <w:p>
      <w:pPr>
        <w:pStyle w:val="Heading2"/>
      </w:pPr>
      <w:r>
        <w:rPr>
          <w:rFonts w:ascii="Calibri" w:cs="Calibri" w:eastAsia="Calibri" w:hAnsi="Calibri"/>
        </w:rPr>
        <w:t xml:space="preserve">I6 Top-of-search impression share is not read as a signal (P0)</w:t>
      </w:r>
    </w:p>
    <w:p>
      <w:pPr>
        <w:spacing w:after="100"/>
      </w:pPr>
      <w:r>
        <w:rPr>
          <w:rFonts w:ascii="Calibri" w:cs="Calibri" w:eastAsia="Calibri" w:hAnsi="Calibri"/>
        </w:rPr>
        <w:t xml:space="preserve">What we see. Both runs quote impression share in prose and never act on it. SCS4 head campaigns sit at 1.5–3.8%; B6’s median in-focus target was 7.5%. Neither run graded a push on whether share rose.</w:t>
      </w:r>
    </w:p>
    <w:p>
      <w:pPr>
        <w:spacing w:after="100"/>
      </w:pPr>
      <w:r>
        <w:rPr>
          <w:rFonts w:ascii="Calibri" w:cs="Calibri" w:eastAsia="Calibri" w:hAnsi="Calibri"/>
        </w:rPr>
        <w:t xml:space="preserve">Why it matters. Logic doc §5, §6, §9: impression share tells you whether the bid clears the auction; it stops a climb (share high → the demand is not there) and it is what a funding step is graded on.</w:t>
      </w:r>
    </w:p>
    <w:p>
      <w:pPr>
        <w:spacing w:after="100"/>
      </w:pPr>
      <w:r>
        <w:rPr>
          <w:rFonts w:ascii="Calibri" w:cs="Calibri" w:eastAsia="Calibri" w:hAnsi="Calibri"/>
        </w:rPr>
        <w:t xml:space="preserve">The fix. Read top-of-search impression share per target and per campaign, 30 days and 8 days, beside the effective bid. Use it in three places: the delivery-gap test (share ≥ 30–40% → re-base the requirement, no price), the reachability test (delivered ÷ share), and the grade of every price step.</w:t>
      </w:r>
    </w:p>
    <w:p>
      <w:pPr>
        <w:spacing w:after="100"/>
      </w:pPr>
      <w:r>
        <w:rPr>
          <w:rFonts w:ascii="Calibri" w:cs="Calibri" w:eastAsia="Calibri" w:hAnsi="Calibri"/>
        </w:rPr>
        <w:t xml:space="preserve">How we know it is fixed. Every ranking row carries share now and share after the last step; every price step has a share-based falsifier.</w:t>
      </w:r>
    </w:p>
    <w:p>
      <w:pPr>
        <w:pStyle w:val="Heading2"/>
      </w:pPr>
      <w:r>
        <w:rPr>
          <w:rFonts w:ascii="Calibri" w:cs="Calibri" w:eastAsia="Calibri" w:hAnsi="Calibri"/>
        </w:rPr>
        <w:t xml:space="preserve">I7 Campaigns advertising the product are missing from the export (P1)</w:t>
      </w:r>
    </w:p>
    <w:p>
      <w:pPr>
        <w:spacing w:after="100"/>
      </w:pPr>
      <w:r>
        <w:rPr>
          <w:rFonts w:ascii="Calibri" w:cs="Calibri" w:eastAsia="Calibri" w:hAnsi="Calibri"/>
        </w:rPr>
        <w:t xml:space="preserve">What we see. SCS4: 19 campaigns advertising the product ($161 in 14 days) are absent from the audit’s campaign list — 9 re-tagged exacts and 10 PAT conquest campaigns — though the run writes decisions on some of them.</w:t>
      </w:r>
    </w:p>
    <w:p>
      <w:pPr>
        <w:spacing w:after="100"/>
      </w:pPr>
      <w:r>
        <w:rPr>
          <w:rFonts w:ascii="Calibri" w:cs="Calibri" w:eastAsia="Calibri" w:hAnsi="Calibri"/>
        </w:rPr>
        <w:t xml:space="preserve">Why it matters. The export promises “every campaign advertising the product”; a row whose inputs are not in the file cannot be recomputed or reviewed.</w:t>
      </w:r>
    </w:p>
    <w:p>
      <w:pPr>
        <w:spacing w:after="100"/>
      </w:pPr>
      <w:r>
        <w:rPr>
          <w:rFonts w:ascii="Calibri" w:cs="Calibri" w:eastAsia="Calibri" w:hAnsi="Calibri"/>
        </w:rPr>
        <w:t xml:space="preserve">The fix. Build the campaign list from the placement report’s campaign set (every campaign with the product’s ASIN as an ad), not from the objective registry.</w:t>
      </w:r>
    </w:p>
    <w:p>
      <w:pPr>
        <w:spacing w:after="100"/>
      </w:pPr>
      <w:r>
        <w:rPr>
          <w:rFonts w:ascii="Calibri" w:cs="Calibri" w:eastAsia="Calibri" w:hAnsi="Calibri"/>
        </w:rPr>
        <w:t xml:space="preserve">How we know it is fixed. Campaign count in the export equals Command Center’s count for the same window.</w:t>
      </w:r>
    </w:p>
    <w:p>
      <w:pPr>
        <w:pStyle w:val="Heading2"/>
      </w:pPr>
      <w:r>
        <w:rPr>
          <w:rFonts w:ascii="Calibri" w:cs="Calibri" w:eastAsia="Calibri" w:hAnsi="Calibri"/>
        </w:rPr>
        <w:t xml:space="preserve">I8 Live values are not re-read before export (P1)</w:t>
      </w:r>
    </w:p>
    <w:p>
      <w:pPr>
        <w:spacing w:after="100"/>
      </w:pPr>
      <w:r>
        <w:rPr>
          <w:rFonts w:ascii="Calibri" w:cs="Calibri" w:eastAsia="Calibri" w:hAnsi="Calibri"/>
        </w:rPr>
        <w:t xml:space="preserve">What we see. B6: 2 rows were overtaken by changes deployed on 22 September, after the audit, and would have written over a newer value.</w:t>
      </w:r>
    </w:p>
    <w:p>
      <w:pPr>
        <w:spacing w:after="100"/>
      </w:pPr>
      <w:r>
        <w:rPr>
          <w:rFonts w:ascii="Calibri" w:cs="Calibri" w:eastAsia="Calibri" w:hAnsi="Calibri"/>
        </w:rPr>
        <w:t xml:space="preserve">Why it matters. A write must start from the value that is live when it loads.</w:t>
      </w:r>
    </w:p>
    <w:p>
      <w:pPr>
        <w:spacing w:after="100"/>
      </w:pPr>
      <w:r>
        <w:rPr>
          <w:rFonts w:ascii="Calibri" w:cs="Calibri" w:eastAsia="Calibri" w:hAnsi="Calibri"/>
        </w:rPr>
        <w:t xml:space="preserve">The fix. Re-read every changed field on the morning of the write; drop or re-solve any row whose live value differs from current_at_audit.</w:t>
      </w:r>
    </w:p>
    <w:p>
      <w:pPr>
        <w:spacing w:after="100"/>
      </w:pPr>
      <w:r>
        <w:rPr>
          <w:rFonts w:ascii="Calibri" w:cs="Calibri" w:eastAsia="Calibri" w:hAnsi="Calibri"/>
        </w:rPr>
        <w:t xml:space="preserve">How we know it is fixed. Export log lists rows re-solved or dropped for drift; none loads on a stale “from”.</w:t>
      </w:r>
    </w:p>
    <w:p>
      <w:pPr>
        <w:pStyle w:val="Heading2"/>
      </w:pPr>
      <w:r>
        <w:rPr>
          <w:rFonts w:ascii="Calibri" w:cs="Calibri" w:eastAsia="Calibri" w:hAnsi="Calibri"/>
        </w:rPr>
        <w:t xml:space="preserve">I9 Changes made outside the app and listing events are invisible (P1)</w:t>
      </w:r>
    </w:p>
    <w:p>
      <w:pPr>
        <w:spacing w:after="100"/>
      </w:pPr>
      <w:r>
        <w:rPr>
          <w:rFonts w:ascii="Calibri" w:cs="Calibri" w:eastAsia="Calibri" w:hAnsi="Calibri"/>
        </w:rPr>
        <w:t xml:space="preserve">What we see. B6: ad clicks fell from about 350 to 114 a day between 26 Aug and 5 Sep with no logged decision. SCS4: price rises on 18 and 24 Aug (+$5) and a main-image change on 2 Sep line up with the head term’s slide; the run never mentions them. Command Center holds no logged decisions for SCS4 at all, and the brief says “no earlier audit run is stored” while run 20260922 and its review exist.</w:t>
      </w:r>
    </w:p>
    <w:p>
      <w:pPr>
        <w:spacing w:after="100"/>
      </w:pPr>
      <w:r>
        <w:rPr>
          <w:rFonts w:ascii="Calibri" w:cs="Calibri" w:eastAsia="Calibri" w:hAnsi="Calibri"/>
        </w:rPr>
        <w:t xml:space="preserve">Why it matters. Grading needs to know what else changed; a drop with no logged cause cannot be graded or reversed.</w:t>
      </w:r>
    </w:p>
    <w:p>
      <w:pPr>
        <w:spacing w:after="100"/>
      </w:pPr>
      <w:r>
        <w:rPr>
          <w:rFonts w:ascii="Calibri" w:cs="Calibri" w:eastAsia="Calibri" w:hAnsi="Calibri"/>
        </w:rPr>
        <w:t xml:space="preserve">The fix. Pull the console change history (budgets, pauses, bids) and the listing-event log into the brief; write every deployed decision to the decision log; make the brief find the previous run and its review.</w:t>
      </w:r>
    </w:p>
    <w:p>
      <w:pPr>
        <w:spacing w:after="100"/>
      </w:pPr>
      <w:r>
        <w:rPr>
          <w:rFonts w:ascii="Calibri" w:cs="Calibri" w:eastAsia="Calibri" w:hAnsi="Calibri"/>
        </w:rPr>
        <w:t xml:space="preserve">How we know it is fixed. The brief’s “previous” and “events” sections are populated whenever a prior run or event exists.</w:t>
      </w:r>
    </w:p>
    <w:p>
      <w:pPr>
        <w:pStyle w:val="Heading2"/>
      </w:pPr>
      <w:r>
        <w:rPr>
          <w:rFonts w:ascii="Calibri" w:cs="Calibri" w:eastAsia="Calibri" w:hAnsi="Calibri"/>
        </w:rPr>
        <w:t xml:space="preserve">I10 Syntax library gaps put terms in the wrong group (P1)</w:t>
      </w:r>
    </w:p>
    <w:p>
      <w:pPr>
        <w:spacing w:after="100"/>
      </w:pPr>
      <w:r>
        <w:rPr>
          <w:rFonts w:ascii="Calibri" w:cs="Calibri" w:eastAsia="Calibri" w:hAnsi="Calibri"/>
        </w:rPr>
        <w:t xml:space="preserve">What we see. SCS4: “cool sheets king” and “cool king sheets” (King intent, converting 13.8% at the top) sit in no group and were tapered as out of focus; “cal king cooling sheets” sits in Cooling|King and was re-pointed to a King child.</w:t>
      </w:r>
    </w:p>
    <w:p>
      <w:pPr>
        <w:spacing w:after="100"/>
      </w:pPr>
      <w:r>
        <w:rPr>
          <w:rFonts w:ascii="Calibri" w:cs="Calibri" w:eastAsia="Calibri" w:hAnsi="Calibri"/>
        </w:rPr>
        <w:t xml:space="preserve">Why it matters. Focus is decided by group; a term filed in the wrong group gets the wrong price and the wrong child.</w:t>
      </w:r>
    </w:p>
    <w:p>
      <w:pPr>
        <w:spacing w:after="100"/>
      </w:pPr>
      <w:r>
        <w:rPr>
          <w:rFonts w:ascii="Calibri" w:cs="Calibri" w:eastAsia="Calibri" w:hAnsi="Calibri"/>
        </w:rPr>
        <w:t xml:space="preserve">The fix. Map size synonyms (cal king, california king, cali king) and root synonyms (cool, cold, cooling) before grouping; report unfiled terms that carry spend as a run finding.</w:t>
      </w:r>
    </w:p>
    <w:p>
      <w:pPr>
        <w:spacing w:after="100"/>
      </w:pPr>
      <w:r>
        <w:rPr>
          <w:rFonts w:ascii="Calibri" w:cs="Calibri" w:eastAsia="Calibri" w:hAnsi="Calibri"/>
        </w:rPr>
        <w:t xml:space="preserve">How we know it is fixed. Unfiled terms with spend = 0; no Cal King term in a King group.</w:t>
      </w:r>
    </w:p>
    <w:p>
      <w:pPr>
        <w:pStyle w:val="Heading2"/>
      </w:pPr>
      <w:r>
        <w:rPr>
          <w:rFonts w:ascii="Calibri" w:cs="Calibri" w:eastAsia="Calibri" w:hAnsi="Calibri"/>
        </w:rPr>
        <w:t xml:space="preserve">I11 In-focus terms are not in the rank tracker (P1)</w:t>
      </w:r>
    </w:p>
    <w:p>
      <w:pPr>
        <w:spacing w:after="100"/>
      </w:pPr>
      <w:r>
        <w:rPr>
          <w:rFonts w:ascii="Calibri" w:cs="Calibri" w:eastAsia="Calibri" w:hAnsi="Calibri"/>
        </w:rPr>
        <w:t xml:space="preserve">What we see. SCS4: 25 of 86 enabled in-focus campaigns have no rank on file; their plan terms are untracked, so they can never earn a push.</w:t>
      </w:r>
    </w:p>
    <w:p>
      <w:pPr>
        <w:spacing w:after="100"/>
      </w:pPr>
      <w:r>
        <w:rPr>
          <w:rFonts w:ascii="Calibri" w:cs="Calibri" w:eastAsia="Calibri" w:hAnsi="Calibri"/>
        </w:rPr>
        <w:t xml:space="preserve">Why it matters. Logic doc §6: a term with no rank on file cannot carry a push; it waits at its ceiling until a read exists.</w:t>
      </w:r>
    </w:p>
    <w:p>
      <w:pPr>
        <w:spacing w:after="100"/>
      </w:pPr>
      <w:r>
        <w:rPr>
          <w:rFonts w:ascii="Calibri" w:cs="Calibri" w:eastAsia="Calibri" w:hAnsi="Calibri"/>
        </w:rPr>
        <w:t xml:space="preserve">The fix. Every term the plan targets and every in-focus exact keyword is added to the tracker automatically when the plan or campaign is created.</w:t>
      </w:r>
    </w:p>
    <w:p>
      <w:pPr>
        <w:spacing w:after="100"/>
      </w:pPr>
      <w:r>
        <w:rPr>
          <w:rFonts w:ascii="Calibri" w:cs="Calibri" w:eastAsia="Calibri" w:hAnsi="Calibri"/>
        </w:rPr>
        <w:t xml:space="preserve">How we know it is fixed. No in-focus exact keyword without a tracker entry.</w:t>
      </w:r>
    </w:p>
    <w:p>
      <w:pPr>
        <w:pStyle w:val="Heading1"/>
      </w:pPr>
      <w:r>
        <w:rPr>
          <w:rFonts w:ascii="Calibri" w:cs="Calibri" w:eastAsia="Calibri" w:hAnsi="Calibri"/>
        </w:rPr>
        <w:t xml:space="preserve">2. How the engine prices a row</w:t>
      </w:r>
    </w:p>
    <w:p>
      <w:pPr>
        <w:pStyle w:val="Heading2"/>
      </w:pPr>
      <w:r>
        <w:rPr>
          <w:rFonts w:ascii="Calibri" w:cs="Calibri" w:eastAsia="Calibri" w:hAnsi="Calibri"/>
        </w:rPr>
        <w:t xml:space="preserve">P1 The market bound is circular (P0)</w:t>
      </w:r>
    </w:p>
    <w:p>
      <w:pPr>
        <w:spacing w:after="100"/>
      </w:pPr>
      <w:r>
        <w:rPr>
          <w:rFonts w:ascii="Calibri" w:cs="Calibri" w:eastAsia="Calibri" w:hAnsi="Calibri"/>
        </w:rPr>
        <w:t xml:space="preserve">What we see. Both runs stop climbs at “top of search clears at $X on this campaign’s own top-of-search CPC + 15%” (or the group’s own CPC). That is what we paid at 2–8% impression share, not what wins the slot. SCS4 parked 29 campaigns as “not in the auction” against this bound.</w:t>
      </w:r>
    </w:p>
    <w:p>
      <w:pPr>
        <w:spacing w:after="100"/>
      </w:pPr>
      <w:r>
        <w:rPr>
          <w:rFonts w:ascii="Calibri" w:cs="Calibri" w:eastAsia="Calibri" w:hAnsi="Calibri"/>
        </w:rPr>
        <w:t xml:space="preserve">Why it matters. Logic doc §6 and §8: the bound is what the position clears at for that term plus a tolerance; “a wide gap is a reason to pay more, never a reason to pay more than the position costs”.</w:t>
      </w:r>
    </w:p>
    <w:p>
      <w:pPr>
        <w:spacing w:after="100"/>
      </w:pPr>
      <w:r>
        <w:rPr>
          <w:rFonts w:ascii="Calibri" w:cs="Calibri" w:eastAsia="Calibri" w:hAnsi="Calibri"/>
        </w:rPr>
        <w:t xml:space="preserve">The fix. Replace it with the logic document’s five bounds in order: base from the serving child; modifier ≤ 900%; market bound from what campaigns holding 30%+ top-of-search share pay (per term when measured, account reference otherwise, named as an estimate); per-unit bound (contribution); flat backstop. The binding bound is named on the row.</w:t>
      </w:r>
    </w:p>
    <w:p>
      <w:pPr>
        <w:spacing w:after="100"/>
      </w:pPr>
      <w:r>
        <w:rPr>
          <w:rFonts w:ascii="Calibri" w:cs="Calibri" w:eastAsia="Calibri" w:hAnsi="Calibri"/>
        </w:rPr>
        <w:t xml:space="preserve">How we know it is fixed. No rationale derives a bound from the campaign’s own CPC; every capped row names which of the five bounds bound it.</w:t>
      </w:r>
    </w:p>
    <w:p>
      <w:pPr>
        <w:pStyle w:val="Heading2"/>
      </w:pPr>
      <w:r>
        <w:rPr>
          <w:rFonts w:ascii="Calibri" w:cs="Calibri" w:eastAsia="Calibri" w:hAnsi="Calibri"/>
        </w:rPr>
        <w:t xml:space="preserve">P2 No per-campaign, per-placement ceiling (P0)</w:t>
      </w:r>
    </w:p>
    <w:p>
      <w:pPr>
        <w:spacing w:after="100"/>
      </w:pPr>
      <w:r>
        <w:rPr>
          <w:rFonts w:ascii="Calibri" w:cs="Calibri" w:eastAsia="Calibri" w:hAnsi="Calibri"/>
        </w:rPr>
        <w:t xml:space="preserve">What we see. SCS4 prices rows on “the declared plan’s price”, a lane blend or a borrowed group rate; long-tail Queen rows sit at $2.84–$3.17 against a $2.12 ceiling with no premium case.</w:t>
      </w:r>
    </w:p>
    <w:p>
      <w:pPr>
        <w:spacing w:after="100"/>
      </w:pPr>
      <w:r>
        <w:rPr>
          <w:rFonts w:ascii="Calibri" w:cs="Calibri" w:eastAsia="Calibri" w:hAnsi="Calibri"/>
        </w:rPr>
        <w:t xml:space="preserve">Why it matters. Logic doc §3: every campaign gets its own ceiling at every placement — contribution × that placement’s rate; under 15 clicks the child’s rate, 15–49 blended by click count, 50+ its own; 15+ with no orders stays on the child’s rate.</w:t>
      </w:r>
    </w:p>
    <w:p>
      <w:pPr>
        <w:spacing w:after="100"/>
      </w:pPr>
      <w:r>
        <w:rPr>
          <w:rFonts w:ascii="Calibri" w:cs="Calibri" w:eastAsia="Calibri" w:hAnsi="Calibri"/>
        </w:rPr>
        <w:t xml:space="preserve">The fix. Compute and print, for every campaign: ceilings at top of search, rest of search and product pages, the rate each was computed at, its basis (child / blend weight / own) and the clicks and orders behind it.</w:t>
      </w:r>
    </w:p>
    <w:p>
      <w:pPr>
        <w:spacing w:after="100"/>
      </w:pPr>
      <w:r>
        <w:rPr>
          <w:rFonts w:ascii="Calibri" w:cs="Calibri" w:eastAsia="Calibri" w:hAnsi="Calibri"/>
        </w:rPr>
        <w:t xml:space="preserve">How we know it is fixed. Table 1 (per child) and a per-campaign ceiling block exist in every export.</w:t>
      </w:r>
    </w:p>
    <w:p>
      <w:pPr>
        <w:pStyle w:val="Heading2"/>
      </w:pPr>
      <w:r>
        <w:rPr>
          <w:rFonts w:ascii="Calibri" w:cs="Calibri" w:eastAsia="Calibri" w:hAnsi="Calibri"/>
        </w:rPr>
        <w:t xml:space="preserve">P3 Premiums without the five properties; holds without a reason (P0)</w:t>
      </w:r>
    </w:p>
    <w:p>
      <w:pPr>
        <w:spacing w:after="100"/>
      </w:pPr>
      <w:r>
        <w:rPr>
          <w:rFonts w:ascii="Calibri" w:cs="Calibri" w:eastAsia="Calibri" w:hAnsi="Calibri"/>
        </w:rPr>
        <w:t xml:space="preserve">What we see. SCS4 raised prices above the ceiling on rows with no rank on file and no requirement (“thin in-focus push”), and held others as “inventory not there” when share was 9.7%. B6 held thin in-focus rows “for review”.</w:t>
      </w:r>
    </w:p>
    <w:p>
      <w:pPr>
        <w:spacing w:after="100"/>
      </w:pPr>
      <w:r>
        <w:rPr>
          <w:rFonts w:ascii="Calibri" w:cs="Calibri" w:eastAsia="Calibri" w:hAnsi="Calibri"/>
        </w:rPr>
        <w:t xml:space="preserve">Why it matters. Logic doc §11: a push must be Sized, Dated, Ceilinged, Predicted and Funded; miss one and the row keeps its Ranking objective but is priced at its ceiling with the reason named.</w:t>
      </w:r>
    </w:p>
    <w:p>
      <w:pPr>
        <w:spacing w:after="100"/>
      </w:pPr>
      <w:r>
        <w:rPr>
          <w:rFonts w:ascii="Calibri" w:cs="Calibri" w:eastAsia="Calibri" w:hAnsi="Calibri"/>
        </w:rPr>
        <w:t xml:space="preserve">The fix. Before any price above the ceiling, test the five properties and write the result on the row. Fail → price at the ceiling (climb to it or descend to it), reason named.</w:t>
      </w:r>
    </w:p>
    <w:p>
      <w:pPr>
        <w:spacing w:after="100"/>
      </w:pPr>
      <w:r>
        <w:rPr>
          <w:rFonts w:ascii="Calibri" w:cs="Calibri" w:eastAsia="Calibri" w:hAnsi="Calibri"/>
        </w:rPr>
        <w:t xml:space="preserve">How we know it is fixed. Every row priced above its ceiling shows five “pass” properties; every other ranking row shows which one failed.</w:t>
      </w:r>
    </w:p>
    <w:p>
      <w:pPr>
        <w:pStyle w:val="Heading2"/>
      </w:pPr>
      <w:r>
        <w:rPr>
          <w:rFonts w:ascii="Calibri" w:cs="Calibri" w:eastAsia="Calibri" w:hAnsi="Calibri"/>
        </w:rPr>
        <w:t xml:space="preserve">P4 The four conditions for a wide gap are not tested (P1)</w:t>
      </w:r>
    </w:p>
    <w:p>
      <w:pPr>
        <w:spacing w:after="100"/>
      </w:pPr>
      <w:r>
        <w:rPr>
          <w:rFonts w:ascii="Calibri" w:cs="Calibri" w:eastAsia="Calibri" w:hAnsi="Calibri"/>
        </w:rPr>
        <w:t xml:space="preserve">What we see. Neither run tests click-through and conversion at the top against the market on the term before sizing a premium. SCS4’s generic Cooling group converts 7.5% at the top against a 9.6% bar and was pushed like King and Queen.</w:t>
      </w:r>
    </w:p>
    <w:p>
      <w:pPr>
        <w:spacing w:after="100"/>
      </w:pPr>
      <w:r>
        <w:rPr>
          <w:rFonts w:ascii="Calibri" w:cs="Calibri" w:eastAsia="Calibri" w:hAnsi="Calibri"/>
        </w:rPr>
        <w:t xml:space="preserve">Why it matters. Logic doc §6: velocity in the window, CTR above market, CVR above market, stock after — all four, or the term takes maintenance at its ceiling.</w:t>
      </w:r>
    </w:p>
    <w:p>
      <w:pPr>
        <w:spacing w:after="100"/>
      </w:pPr>
      <w:r>
        <w:rPr>
          <w:rFonts w:ascii="Calibri" w:cs="Calibri" w:eastAsia="Calibri" w:hAnsi="Calibri"/>
        </w:rPr>
        <w:t xml:space="preserve">The fix. Evaluate the four on the term (campaign placement read, 15+ clicks / 300+ impressions) or the group when the term is thin; write each on the row.</w:t>
      </w:r>
    </w:p>
    <w:p>
      <w:pPr>
        <w:spacing w:after="100"/>
      </w:pPr>
      <w:r>
        <w:rPr>
          <w:rFonts w:ascii="Calibri" w:cs="Calibri" w:eastAsia="Calibri" w:hAnsi="Calibri"/>
        </w:rPr>
        <w:t xml:space="preserve">How we know it is fixed. Premium rows carry four condition results with their sources.</w:t>
      </w:r>
    </w:p>
    <w:p>
      <w:pPr>
        <w:pStyle w:val="Heading2"/>
      </w:pPr>
      <w:r>
        <w:rPr>
          <w:rFonts w:ascii="Calibri" w:cs="Calibri" w:eastAsia="Calibri" w:hAnsi="Calibri"/>
        </w:rPr>
        <w:t xml:space="preserve">P5 The distribution fix is written without the price step it needs (P0)</w:t>
      </w:r>
    </w:p>
    <w:p>
      <w:pPr>
        <w:spacing w:after="100"/>
      </w:pPr>
      <w:r>
        <w:rPr>
          <w:rFonts w:ascii="Calibri" w:cs="Calibri" w:eastAsia="Calibri" w:hAnsi="Calibri"/>
        </w:rPr>
        <w:t xml:space="preserve">What we see. SCS4: on 11 in-focus campaigns the run cut the base and held the top-of-search price “to the cent” even where its own text said “COMBINED WRITE allowed … top of search delivers 45% of its plan clicks”. B6: the 70/20 check printed “fails” beside a reduction instead of stopping it.</w:t>
      </w:r>
    </w:p>
    <w:p>
      <w:pPr>
        <w:spacing w:after="100"/>
      </w:pPr>
      <w:r>
        <w:rPr>
          <w:rFonts w:ascii="Calibri" w:cs="Calibri" w:eastAsia="Calibri" w:hAnsi="Calibri"/>
        </w:rPr>
        <w:t xml:space="preserve">Why it matters. Logic doc §9: where product pages are over 20% and top of search is short, the combined write moves both; the base step is graded on product-page share, the price step on top-of-search clicks.</w:t>
      </w:r>
    </w:p>
    <w:p>
      <w:pPr>
        <w:spacing w:after="100"/>
      </w:pPr>
      <w:r>
        <w:rPr>
          <w:rFonts w:ascii="Calibri" w:cs="Calibri" w:eastAsia="Calibri" w:hAnsi="Calibri"/>
        </w:rPr>
        <w:t xml:space="preserve">The fix. When both conditions are live, write both in one row with two predictions. Make the 70/20 check a gate, not a label.</w:t>
      </w:r>
    </w:p>
    <w:p>
      <w:pPr>
        <w:spacing w:after="100"/>
      </w:pPr>
      <w:r>
        <w:rPr>
          <w:rFonts w:ascii="Calibri" w:cs="Calibri" w:eastAsia="Calibri" w:hAnsi="Calibri"/>
        </w:rPr>
        <w:t xml:space="preserve">How we know it is fixed. No in-focus row with product pages &gt; 20% and delivery &lt; 70% holds its price.</w:t>
      </w:r>
    </w:p>
    <w:p>
      <w:pPr>
        <w:pStyle w:val="Heading2"/>
      </w:pPr>
      <w:r>
        <w:rPr>
          <w:rFonts w:ascii="Calibri" w:cs="Calibri" w:eastAsia="Calibri" w:hAnsi="Calibri"/>
        </w:rPr>
        <w:t xml:space="preserve">P6 Step size is not tied to the delivery gap or to what the last step bought (P0)</w:t>
      </w:r>
    </w:p>
    <w:p>
      <w:pPr>
        <w:spacing w:after="100"/>
      </w:pPr>
      <w:r>
        <w:rPr>
          <w:rFonts w:ascii="Calibri" w:cs="Calibri" w:eastAsia="Calibri" w:hAnsi="Calibri"/>
        </w:rPr>
        <w:t xml:space="preserve">What we see. SCS4 claims “top-of-search clicks 1.32 → 32 a week (×24)” on a +14% step while its own book says steps that size bought ×1.26. B6’s graded hit rate over 90 days was 6.1% (10 of 163).</w:t>
      </w:r>
    </w:p>
    <w:p>
      <w:pPr>
        <w:spacing w:after="100"/>
      </w:pPr>
      <w:r>
        <w:rPr>
          <w:rFonts w:ascii="Calibri" w:cs="Calibri" w:eastAsia="Calibri" w:hAnsi="Calibri"/>
        </w:rPr>
        <w:t xml:space="preserve">Why it matters. Logic doc §10: every figure is a cap; the step is sized from the campaign — delivery, where clicks land, what the last step returned; “a step that produced nothing is a finding”.</w:t>
      </w:r>
    </w:p>
    <w:p>
      <w:pPr>
        <w:spacing w:after="100"/>
      </w:pPr>
      <w:r>
        <w:rPr>
          <w:rFonts w:ascii="Calibri" w:cs="Calibri" w:eastAsia="Calibri" w:hAnsi="Calibri"/>
        </w:rPr>
        <w:t xml:space="preserve">The fix. Size price steps by the delivery gap (+30% under 30% delivered, +20% at 30–70%, +10% over 70%, none at requirement), halve when share did not rise after the last step, and predict what the step can buy from the response book — the plan’s requirement is the destination, not the prediction.</w:t>
      </w:r>
    </w:p>
    <w:p>
      <w:pPr>
        <w:spacing w:after="100"/>
      </w:pPr>
      <w:r>
        <w:rPr>
          <w:rFonts w:ascii="Calibri" w:cs="Calibri" w:eastAsia="Calibri" w:hAnsi="Calibri"/>
        </w:rPr>
        <w:t xml:space="preserve">How we know it is fixed. Predictions sit within the book’s range for the step size; hit rate is reported per run.</w:t>
      </w:r>
    </w:p>
    <w:p>
      <w:pPr>
        <w:pStyle w:val="Heading2"/>
      </w:pPr>
      <w:r>
        <w:rPr>
          <w:rFonts w:ascii="Calibri" w:cs="Calibri" w:eastAsia="Calibri" w:hAnsi="Calibri"/>
        </w:rPr>
        <w:t xml:space="preserve">P7 Prices come down as a residue, on a ladder, or on pushes that never ran (P0)</w:t>
      </w:r>
    </w:p>
    <w:p>
      <w:pPr>
        <w:spacing w:after="100"/>
      </w:pPr>
      <w:r>
        <w:rPr>
          <w:rFonts w:ascii="Calibri" w:cs="Calibri" w:eastAsia="Calibri" w:hAnsi="Calibri"/>
        </w:rPr>
        <w:t xml:space="preserve">What we see. SCS4 tapers out-of-focus rows 10% a run below their ceiling (including a King term converting 13.8%), cut an in-focus row 146% → 75% to a lane-blend “break-even” and cut two others. B6 cut and held rows that had not received their clicks.</w:t>
      </w:r>
    </w:p>
    <w:p>
      <w:pPr>
        <w:spacing w:after="100"/>
      </w:pPr>
      <w:r>
        <w:rPr>
          <w:rFonts w:ascii="Calibri" w:cs="Calibri" w:eastAsia="Calibri" w:hAnsi="Calibri"/>
        </w:rPr>
        <w:t xml:space="preserve">Why it matters. Logic doc §9 and §14: a price that comes down lands on a named point; a funded push is not cut until it has delivered 70% of its required clicks with product pages under 20%.</w:t>
      </w:r>
    </w:p>
    <w:p>
      <w:pPr>
        <w:spacing w:after="100"/>
      </w:pPr>
      <w:r>
        <w:rPr>
          <w:rFonts w:ascii="Calibri" w:cs="Calibri" w:eastAsia="Calibri" w:hAnsi="Calibri"/>
        </w:rPr>
        <w:t xml:space="preserve">The fix. Descents go to the ceiling in one named step; out of focus holds inside its ceiling; the cut-back gate blocks any top-of-search cut on a push under 70% delivery (verdicts: continue, fix delivery, stop on the dated loss ceiling).</w:t>
      </w:r>
    </w:p>
    <w:p>
      <w:pPr>
        <w:spacing w:after="100"/>
      </w:pPr>
      <w:r>
        <w:rPr>
          <w:rFonts w:ascii="Calibri" w:cs="Calibri" w:eastAsia="Calibri" w:hAnsi="Calibri"/>
        </w:rPr>
        <w:t xml:space="preserve">How we know it is fixed. No descent row lacks a named landing point; no cut on a push below 70% delivery.</w:t>
      </w:r>
    </w:p>
    <w:p>
      <w:pPr>
        <w:pStyle w:val="Heading2"/>
      </w:pPr>
      <w:r>
        <w:rPr>
          <w:rFonts w:ascii="Calibri" w:cs="Calibri" w:eastAsia="Calibri" w:hAnsi="Calibri"/>
        </w:rPr>
        <w:t xml:space="preserve">P8 Base cut on rows that are not delivering (P1)</w:t>
      </w:r>
    </w:p>
    <w:p>
      <w:pPr>
        <w:spacing w:after="100"/>
      </w:pPr>
      <w:r>
        <w:rPr>
          <w:rFonts w:ascii="Calibri" w:cs="Calibri" w:eastAsia="Calibri" w:hAnsi="Calibri"/>
        </w:rPr>
        <w:t xml:space="preserve">What we see. B6: base cuts on rows with no recent clicks. SCS4 holds the base on thin rows correctly but still ships price cuts on them.</w:t>
      </w:r>
    </w:p>
    <w:p>
      <w:pPr>
        <w:spacing w:after="100"/>
      </w:pPr>
      <w:r>
        <w:rPr>
          <w:rFonts w:ascii="Calibri" w:cs="Calibri" w:eastAsia="Calibri" w:hAnsi="Calibri"/>
        </w:rPr>
        <w:t xml:space="preserve">Why it matters. Logic doc §12: “Campaign on, no clicks arriving — hold the base, push the modifier only.”</w:t>
      </w:r>
    </w:p>
    <w:p>
      <w:pPr>
        <w:spacing w:after="100"/>
      </w:pPr>
      <w:r>
        <w:rPr>
          <w:rFonts w:ascii="Calibri" w:cs="Calibri" w:eastAsia="Calibri" w:hAnsi="Calibri"/>
        </w:rPr>
        <w:t xml:space="preserve">The fix. Under 15 clicks in 14 days: the base holds; only the top-of-search price moves.</w:t>
      </w:r>
    </w:p>
    <w:p>
      <w:pPr>
        <w:spacing w:after="100"/>
      </w:pPr>
      <w:r>
        <w:rPr>
          <w:rFonts w:ascii="Calibri" w:cs="Calibri" w:eastAsia="Calibri" w:hAnsi="Calibri"/>
        </w:rPr>
        <w:t xml:space="preserve">How we know it is fixed. No base cut on a row with &lt; 15 clicks in 14 days.</w:t>
      </w:r>
    </w:p>
    <w:p>
      <w:pPr>
        <w:pStyle w:val="Heading2"/>
      </w:pPr>
      <w:r>
        <w:rPr>
          <w:rFonts w:ascii="Calibri" w:cs="Calibri" w:eastAsia="Calibri" w:hAnsi="Calibri"/>
        </w:rPr>
        <w:t xml:space="preserve">P9 Rest-of-search modifier cut when it has earned its lift (P2)</w:t>
      </w:r>
    </w:p>
    <w:p>
      <w:pPr>
        <w:spacing w:after="100"/>
      </w:pPr>
      <w:r>
        <w:rPr>
          <w:rFonts w:ascii="Calibri" w:cs="Calibri" w:eastAsia="Calibri" w:hAnsi="Calibri"/>
        </w:rPr>
        <w:t xml:space="preserve">What we see. SCS4 cut “cooling bed sheets king” rest of search 25% → 0% as a “leak” while rest of search had 22 clicks and 3 orders (13.6%) against no orders on 14 product-page clicks.</w:t>
      </w:r>
    </w:p>
    <w:p>
      <w:pPr>
        <w:spacing w:after="100"/>
      </w:pPr>
      <w:r>
        <w:rPr>
          <w:rFonts w:ascii="Calibri" w:cs="Calibri" w:eastAsia="Calibri" w:hAnsi="Calibri"/>
        </w:rPr>
        <w:t xml:space="preserve">Why it matters. Logic doc §8: rest of search sits at zero until it earns a lift — 15+ clicks converting at or above the product-page rate — a switch, not a blend.</w:t>
      </w:r>
    </w:p>
    <w:p>
      <w:pPr>
        <w:spacing w:after="100"/>
      </w:pPr>
      <w:r>
        <w:rPr>
          <w:rFonts w:ascii="Calibri" w:cs="Calibri" w:eastAsia="Calibri" w:hAnsi="Calibri"/>
        </w:rPr>
        <w:t xml:space="preserve">The fix. Apply the earned-lift switch before any rest-of-search cut.</w:t>
      </w:r>
    </w:p>
    <w:p>
      <w:pPr>
        <w:spacing w:after="100"/>
      </w:pPr>
      <w:r>
        <w:rPr>
          <w:rFonts w:ascii="Calibri" w:cs="Calibri" w:eastAsia="Calibri" w:hAnsi="Calibri"/>
        </w:rPr>
        <w:t xml:space="preserve">How we know it is fixed. No rest-of-search cut on a row that meets the switch.</w:t>
      </w:r>
    </w:p>
    <w:p>
      <w:pPr>
        <w:pStyle w:val="Heading2"/>
      </w:pPr>
      <w:r>
        <w:rPr>
          <w:rFonts w:ascii="Calibri" w:cs="Calibri" w:eastAsia="Calibri" w:hAnsi="Calibri"/>
        </w:rPr>
        <w:t xml:space="preserve">P10 The 900% wall is not handled (P1)</w:t>
      </w:r>
    </w:p>
    <w:p>
      <w:pPr>
        <w:spacing w:after="100"/>
      </w:pPr>
      <w:r>
        <w:rPr>
          <w:rFonts w:ascii="Calibri" w:cs="Calibri" w:eastAsia="Calibri" w:hAnsi="Calibri"/>
        </w:rPr>
        <w:t xml:space="preserve">What we see. B6: rows left at 400–860% after the 11 September round; steps that would pass 900% were not re-solved onto the base.</w:t>
      </w:r>
    </w:p>
    <w:p>
      <w:pPr>
        <w:spacing w:after="100"/>
      </w:pPr>
      <w:r>
        <w:rPr>
          <w:rFonts w:ascii="Calibri" w:cs="Calibri" w:eastAsia="Calibri" w:hAnsi="Calibri"/>
        </w:rPr>
        <w:t xml:space="preserve">Why it matters. Logic doc §10: at the wall the only remaining way to lift the top-of-search price is the base, stated as a trade.</w:t>
      </w:r>
    </w:p>
    <w:p>
      <w:pPr>
        <w:spacing w:after="100"/>
      </w:pPr>
      <w:r>
        <w:rPr>
          <w:rFonts w:ascii="Calibri" w:cs="Calibri" w:eastAsia="Calibri" w:hAnsi="Calibri"/>
        </w:rPr>
        <w:t xml:space="preserve">The fix. If a step needs more than 900%, the base carries the rest (base = price ÷ 10) and the row states the product-page trade.</w:t>
      </w:r>
    </w:p>
    <w:p>
      <w:pPr>
        <w:spacing w:after="100"/>
      </w:pPr>
      <w:r>
        <w:rPr>
          <w:rFonts w:ascii="Calibri" w:cs="Calibri" w:eastAsia="Calibri" w:hAnsi="Calibri"/>
        </w:rPr>
        <w:t xml:space="preserve">How we know it is fixed. No modifier above 900%; every wall row states the trade.</w:t>
      </w:r>
    </w:p>
    <w:p>
      <w:pPr>
        <w:pStyle w:val="Heading2"/>
      </w:pPr>
      <w:r>
        <w:rPr>
          <w:rFonts w:ascii="Calibri" w:cs="Calibri" w:eastAsia="Calibri" w:hAnsi="Calibri"/>
        </w:rPr>
        <w:t xml:space="preserve">P11 Rows state a percentage, not two prices and a loss (P1)</w:t>
      </w:r>
    </w:p>
    <w:p>
      <w:pPr>
        <w:spacing w:after="100"/>
      </w:pPr>
      <w:r>
        <w:rPr>
          <w:rFonts w:ascii="Calibri" w:cs="Calibri" w:eastAsia="Calibri" w:hAnsi="Calibri"/>
        </w:rPr>
        <w:t xml:space="preserve">What we see. SCS4 rows state a modifier change and a cost per order computed on the wrong contribution; B6 rows lacked the loss per order at the new price.</w:t>
      </w:r>
    </w:p>
    <w:p>
      <w:pPr>
        <w:spacing w:after="100"/>
      </w:pPr>
      <w:r>
        <w:rPr>
          <w:rFonts w:ascii="Calibri" w:cs="Calibri" w:eastAsia="Calibri" w:hAnsi="Calibri"/>
        </w:rPr>
        <w:t xml:space="preserve">Why it matters. Logic doc §5 and §6: every modifier row states both prices and the multiple; every priced row states the loss per order, at this write and at the destination.</w:t>
      </w:r>
    </w:p>
    <w:p>
      <w:pPr>
        <w:spacing w:after="100"/>
      </w:pPr>
      <w:r>
        <w:rPr>
          <w:rFonts w:ascii="Calibri" w:cs="Calibri" w:eastAsia="Calibri" w:hAnsi="Calibri"/>
        </w:rPr>
        <w:t xml:space="preserve">The fix. Standard PRICES line: “Top of search $A against $B on product pages, R to one; a top-of-search order costs $C at X% (basis) — a loss of $L against $K contribution; destination $D (bound).”</w:t>
      </w:r>
    </w:p>
    <w:p>
      <w:pPr>
        <w:spacing w:after="100"/>
      </w:pPr>
      <w:r>
        <w:rPr>
          <w:rFonts w:ascii="Calibri" w:cs="Calibri" w:eastAsia="Calibri" w:hAnsi="Calibri"/>
        </w:rPr>
        <w:t xml:space="preserve">How we know it is fixed. Code check: every tos/bid row has the PRICES line with all fields.</w:t>
      </w:r>
    </w:p>
    <w:p>
      <w:pPr>
        <w:pStyle w:val="Heading2"/>
      </w:pPr>
      <w:r>
        <w:rPr>
          <w:rFonts w:ascii="Calibri" w:cs="Calibri" w:eastAsia="Calibri" w:hAnsi="Calibri"/>
        </w:rPr>
        <w:t xml:space="preserve">P12 Requirements are inflated, unreachable or unfunded without saying so (P0)</w:t>
      </w:r>
    </w:p>
    <w:p>
      <w:pPr>
        <w:spacing w:after="100"/>
      </w:pPr>
      <w:r>
        <w:rPr>
          <w:rFonts w:ascii="Calibri" w:cs="Calibri" w:eastAsia="Calibri" w:hAnsi="Calibri"/>
        </w:rPr>
        <w:t xml:space="preserve">What we see. SCS4: a one-a-day unit floor lifts 30 long-tail requirements above the plan’s own units (“paid 42 exceeds the plan’s total 5”). The head term asks 1,352 clicks a week; winning every auction at its 1.52% share would buy about 800. The 60 in-focus requirements total 3,935 clicks a week against 195 delivered; buying them would cost about $2,070 a day. B6: $1,050 a day to buy its plan. Neither run states the shortfall as a decision.</w:t>
      </w:r>
    </w:p>
    <w:p>
      <w:pPr>
        <w:spacing w:after="100"/>
      </w:pPr>
      <w:r>
        <w:rPr>
          <w:rFonts w:ascii="Calibri" w:cs="Calibri" w:eastAsia="Calibri" w:hAnsi="Calibri"/>
        </w:rPr>
        <w:t xml:space="preserve">Why it matters. Logic doc §7 and §11: required clicks = units at the target rank ÷ top-of-search conversion; a push that cannot be funded is stated as a shortfall and becomes a decision — fund it or hold it with the number named.</w:t>
      </w:r>
    </w:p>
    <w:p>
      <w:pPr>
        <w:spacing w:after="100"/>
      </w:pPr>
      <w:r>
        <w:rPr>
          <w:rFonts w:ascii="Calibri" w:cs="Calibri" w:eastAsia="Calibri" w:hAnsi="Calibri"/>
        </w:rPr>
        <w:t xml:space="preserve">The fix. Use the plan’s own units (no artificial floor); compute reachability (delivered ÷ share) and grade unreachable requirements on share; sum the cost of the requirement at this write’s prices against the envelope and print the shortfall.</w:t>
      </w:r>
    </w:p>
    <w:p>
      <w:pPr>
        <w:spacing w:after="100"/>
      </w:pPr>
      <w:r>
        <w:rPr>
          <w:rFonts w:ascii="Calibri" w:cs="Calibri" w:eastAsia="Calibri" w:hAnsi="Calibri"/>
        </w:rPr>
        <w:t xml:space="preserve">How we know it is fixed. Run header shows requirement, delivered, reachable, envelope and shortfall; no floor-inflated requirement.</w:t>
      </w:r>
    </w:p>
    <w:p>
      <w:pPr>
        <w:pStyle w:val="Heading2"/>
      </w:pPr>
      <w:r>
        <w:rPr>
          <w:rFonts w:ascii="Calibri" w:cs="Calibri" w:eastAsia="Calibri" w:hAnsi="Calibri"/>
        </w:rPr>
        <w:t xml:space="preserve">P13 Budget moves on the wrong evidence (P0)</w:t>
      </w:r>
    </w:p>
    <w:p>
      <w:pPr>
        <w:spacing w:after="100"/>
      </w:pPr>
      <w:r>
        <w:rPr>
          <w:rFonts w:ascii="Calibri" w:cs="Calibri" w:eastAsia="Calibri" w:hAnsi="Calibri"/>
        </w:rPr>
        <w:t xml:space="preserve">What we see. SCS4: 9 budget raises — 4 on campaigns using 43–69% of budget over 7 days, 2 on paused campaigns, 1 on an out-of-focus campaign. B6: 5 raises on campaigns using 0–44%.</w:t>
      </w:r>
    </w:p>
    <w:p>
      <w:pPr>
        <w:spacing w:after="100"/>
      </w:pPr>
      <w:r>
        <w:rPr>
          <w:rFonts w:ascii="Calibri" w:cs="Calibri" w:eastAsia="Calibri" w:hAnsi="Calibri"/>
        </w:rPr>
        <w:t xml:space="preserve">Why it matters. Logic doc §12: budget exhausted → raise the budget, price holds; budget intact and share low → price is the lever.</w:t>
      </w:r>
    </w:p>
    <w:p>
      <w:pPr>
        <w:spacing w:after="100"/>
      </w:pPr>
      <w:r>
        <w:rPr>
          <w:rFonts w:ascii="Calibri" w:cs="Calibri" w:eastAsia="Calibri" w:hAnsi="Calibri"/>
        </w:rPr>
        <w:t xml:space="preserve">The fix. +30% only where 7-day use ≥ 80%; never on paused or out-of-focus campaigns; when raised, the price holds that write.</w:t>
      </w:r>
    </w:p>
    <w:p>
      <w:pPr>
        <w:spacing w:after="100"/>
      </w:pPr>
      <w:r>
        <w:rPr>
          <w:rFonts w:ascii="Calibri" w:cs="Calibri" w:eastAsia="Calibri" w:hAnsi="Calibri"/>
        </w:rPr>
        <w:t xml:space="preserve">How we know it is fixed. Every budget raise cites 7-day use ≥ 80% and an enabled, in-focus campaign.</w:t>
      </w:r>
    </w:p>
    <w:p>
      <w:pPr>
        <w:pStyle w:val="Heading2"/>
      </w:pPr>
      <w:r>
        <w:rPr>
          <w:rFonts w:ascii="Calibri" w:cs="Calibri" w:eastAsia="Calibri" w:hAnsi="Calibri"/>
        </w:rPr>
        <w:t xml:space="preserve">P14 No envelope, so no push is ever “Funded” (P0)</w:t>
      </w:r>
    </w:p>
    <w:p>
      <w:pPr>
        <w:spacing w:after="100"/>
      </w:pPr>
      <w:r>
        <w:rPr>
          <w:rFonts w:ascii="Calibri" w:cs="Calibri" w:eastAsia="Calibri" w:hAnsi="Calibri"/>
        </w:rPr>
        <w:t xml:space="preserve">What we see. Neither engine run sets an envelope; the SCS4 outcome jumps spend $246 → $802 a day and the review cuts it to $577 by removing held moves. B6’s envelope ($619 a day) came from an operator ruling, not the engine.</w:t>
      </w:r>
    </w:p>
    <w:p>
      <w:pPr>
        <w:spacing w:after="100"/>
      </w:pPr>
      <w:r>
        <w:rPr>
          <w:rFonts w:ascii="Calibri" w:cs="Calibri" w:eastAsia="Calibri" w:hAnsi="Calibri"/>
        </w:rPr>
        <w:t xml:space="preserve">Why it matters. Logic doc §11: Funded — the envelope carries it, against the day’s headroom.</w:t>
      </w:r>
    </w:p>
    <w:p>
      <w:pPr>
        <w:spacing w:after="100"/>
      </w:pPr>
      <w:r>
        <w:rPr>
          <w:rFonts w:ascii="Calibri" w:cs="Calibri" w:eastAsia="Calibri" w:hAnsi="Calibri"/>
        </w:rPr>
        <w:t xml:space="preserve">The fix. Every run proposes an envelope (today’s in-focus spend + the cost of this write’s steps at the book’s response), states it against the product plan, and stops rows when it is spent.</w:t>
      </w:r>
    </w:p>
    <w:p>
      <w:pPr>
        <w:spacing w:after="100"/>
      </w:pPr>
      <w:r>
        <w:rPr>
          <w:rFonts w:ascii="Calibri" w:cs="Calibri" w:eastAsia="Calibri" w:hAnsi="Calibri"/>
        </w:rPr>
        <w:t xml:space="preserve">How we know it is fixed. Envelope and its daily burn are in the run header; rows beyond it are marked unfunded.</w:t>
      </w:r>
    </w:p>
    <w:p>
      <w:pPr>
        <w:pStyle w:val="Heading1"/>
      </w:pPr>
      <w:r>
        <w:rPr>
          <w:rFonts w:ascii="Calibri" w:cs="Calibri" w:eastAsia="Calibri" w:hAnsi="Calibri"/>
        </w:rPr>
        <w:t xml:space="preserve">3. Stock and the advertised child</w:t>
      </w:r>
    </w:p>
    <w:p>
      <w:pPr>
        <w:pStyle w:val="Heading2"/>
      </w:pPr>
      <w:r>
        <w:rPr>
          <w:rFonts w:ascii="Calibri" w:cs="Calibri" w:eastAsia="Calibri" w:hAnsi="Calibri"/>
        </w:rPr>
        <w:t xml:space="preserve">S1 Child swaps do not load (P0)</w:t>
      </w:r>
    </w:p>
    <w:p>
      <w:pPr>
        <w:spacing w:after="100"/>
      </w:pPr>
      <w:r>
        <w:rPr>
          <w:rFonts w:ascii="Calibri" w:cs="Calibri" w:eastAsia="Calibri" w:hAnsi="Calibri"/>
        </w:rPr>
        <w:t xml:space="preserve">What we see. SCS4: all 55 swaps carry “the swap is staged and SKIPS at apply until one exists (open item 2026-09-06)” — the loader has no product-ad roster. The King push stays on KING-GRAPHITE (31 units, 14 days of supply, 141 orders in 90 days) after the run loads.</w:t>
      </w:r>
    </w:p>
    <w:p>
      <w:pPr>
        <w:spacing w:after="100"/>
      </w:pPr>
      <w:r>
        <w:rPr>
          <w:rFonts w:ascii="Calibri" w:cs="Calibri" w:eastAsia="Calibri" w:hAnsi="Calibri"/>
        </w:rPr>
        <w:t xml:space="preserve">Why it matters. Logic doc §12: “The serving child cannot ship … void every read above.” A push on a child that runs out rents the position.</w:t>
      </w:r>
    </w:p>
    <w:p>
      <w:pPr>
        <w:spacing w:after="100"/>
      </w:pPr>
      <w:r>
        <w:rPr>
          <w:rFonts w:ascii="Calibri" w:cs="Calibri" w:eastAsia="Calibri" w:hAnsi="Calibri"/>
        </w:rPr>
        <w:t xml:space="preserve">The fix. Give the loader a product-ad roster; until then every swap becomes a same-day task with an owner and a due time, and every price step on that campaign waits for the swap.</w:t>
      </w:r>
    </w:p>
    <w:p>
      <w:pPr>
        <w:spacing w:after="100"/>
      </w:pPr>
      <w:r>
        <w:rPr>
          <w:rFonts w:ascii="Calibri" w:cs="Calibri" w:eastAsia="Calibri" w:hAnsi="Calibri"/>
        </w:rPr>
        <w:t xml:space="preserve">How we know it is fixed. After load, advertised child = serving child on every in-focus campaign (verified from the ads report).</w:t>
      </w:r>
    </w:p>
    <w:p>
      <w:pPr>
        <w:pStyle w:val="Heading2"/>
      </w:pPr>
      <w:r>
        <w:rPr>
          <w:rFonts w:ascii="Calibri" w:cs="Calibri" w:eastAsia="Calibri" w:hAnsi="Calibri"/>
        </w:rPr>
        <w:t xml:space="preserve">S2 Renames stamp a child the ad does not serve (P1)</w:t>
      </w:r>
    </w:p>
    <w:p>
      <w:pPr>
        <w:spacing w:after="100"/>
      </w:pPr>
      <w:r>
        <w:rPr>
          <w:rFonts w:ascii="Calibri" w:cs="Calibri" w:eastAsia="Calibri" w:hAnsi="Calibri"/>
        </w:rPr>
        <w:t xml:space="preserve">What we see. SCS4: 179 renames write “…-SL-COOLING-SHEET-KING-WHITE” into names while the ads still serve Graphite.</w:t>
      </w:r>
    </w:p>
    <w:p>
      <w:pPr>
        <w:spacing w:after="100"/>
      </w:pPr>
      <w:r>
        <w:rPr>
          <w:rFonts w:ascii="Calibri" w:cs="Calibri" w:eastAsia="Calibri" w:hAnsi="Calibri"/>
        </w:rPr>
        <w:t xml:space="preserve">Why it matters. A name that states the wrong child misleads every later read.</w:t>
      </w:r>
    </w:p>
    <w:p>
      <w:pPr>
        <w:spacing w:after="100"/>
      </w:pPr>
      <w:r>
        <w:rPr>
          <w:rFonts w:ascii="Calibri" w:cs="Calibri" w:eastAsia="Calibri" w:hAnsi="Calibri"/>
        </w:rPr>
        <w:t xml:space="preserve">The fix. Load renames only after the swap they depend on has landed.</w:t>
      </w:r>
    </w:p>
    <w:p>
      <w:pPr>
        <w:spacing w:after="100"/>
      </w:pPr>
      <w:r>
        <w:rPr>
          <w:rFonts w:ascii="Calibri" w:cs="Calibri" w:eastAsia="Calibri" w:hAnsi="Calibri"/>
        </w:rPr>
        <w:t xml:space="preserve">How we know it is fixed. No campaign name names a child it does not advertise.</w:t>
      </w:r>
    </w:p>
    <w:p>
      <w:pPr>
        <w:pStyle w:val="Heading2"/>
      </w:pPr>
      <w:r>
        <w:rPr>
          <w:rFonts w:ascii="Calibri" w:cs="Calibri" w:eastAsia="Calibri" w:hAnsi="Calibri"/>
        </w:rPr>
        <w:t xml:space="preserve">S3 Cover is read on the hero, not the child the size pushes on (P0)</w:t>
      </w:r>
    </w:p>
    <w:p>
      <w:pPr>
        <w:spacing w:after="100"/>
      </w:pPr>
      <w:r>
        <w:rPr>
          <w:rFonts w:ascii="Calibri" w:cs="Calibri" w:eastAsia="Calibri" w:hAnsi="Calibri"/>
        </w:rPr>
        <w:t xml:space="preserve">What we see. SCS4 declined to build “cooling bed sheets” (plan’s second term, 307 clicks a week) because the white Queen hero is under the horizon — while every Queen push runs on Graphite (486 units).</w:t>
      </w:r>
    </w:p>
    <w:p>
      <w:pPr>
        <w:spacing w:after="100"/>
      </w:pPr>
      <w:r>
        <w:rPr>
          <w:rFonts w:ascii="Calibri" w:cs="Calibri" w:eastAsia="Calibri" w:hAnsi="Calibri"/>
        </w:rPr>
        <w:t xml:space="preserve">Why it matters. The stock condition is about the child that serves the push.</w:t>
      </w:r>
    </w:p>
    <w:p>
      <w:pPr>
        <w:spacing w:after="100"/>
      </w:pPr>
      <w:r>
        <w:rPr>
          <w:rFonts w:ascii="Calibri" w:cs="Calibri" w:eastAsia="Calibri" w:hAnsi="Calibri"/>
        </w:rPr>
        <w:t xml:space="preserve">The fix. Every stock gate reads the serving child for the size.</w:t>
      </w:r>
    </w:p>
    <w:p>
      <w:pPr>
        <w:spacing w:after="100"/>
      </w:pPr>
      <w:r>
        <w:rPr>
          <w:rFonts w:ascii="Calibri" w:cs="Calibri" w:eastAsia="Calibri" w:hAnsi="Calibri"/>
        </w:rPr>
        <w:t xml:space="preserve">How we know it is fixed. No build declined on hero cover when a serving child has room.</w:t>
      </w:r>
    </w:p>
    <w:p>
      <w:pPr>
        <w:pStyle w:val="Heading2"/>
      </w:pPr>
      <w:r>
        <w:rPr>
          <w:rFonts w:ascii="Calibri" w:cs="Calibri" w:eastAsia="Calibri" w:hAnsi="Calibri"/>
        </w:rPr>
        <w:t xml:space="preserve">S4 Swaps contradict each other or cross sizes (P0)</w:t>
      </w:r>
    </w:p>
    <w:p>
      <w:pPr>
        <w:spacing w:after="100"/>
      </w:pPr>
      <w:r>
        <w:rPr>
          <w:rFonts w:ascii="Calibri" w:cs="Calibri" w:eastAsia="Calibri" w:hAnsi="Calibri"/>
        </w:rPr>
        <w:t xml:space="preserve">What we see. SCS4: Twin rows swap in both directions (two onto Graphite on conversion, four onto White by the hero rule); the Cal King campaign is re-pointed to KING-WHITE (a different size). The review held the Cal King row twice.</w:t>
      </w:r>
    </w:p>
    <w:p>
      <w:pPr>
        <w:spacing w:after="100"/>
      </w:pPr>
      <w:r>
        <w:rPr>
          <w:rFonts w:ascii="Calibri" w:cs="Calibri" w:eastAsia="Calibri" w:hAnsi="Calibri"/>
        </w:rPr>
        <w:t xml:space="preserve">Why it matters. A keyword naming a size stays on that size; one size, one serving child per run.</w:t>
      </w:r>
    </w:p>
    <w:p>
      <w:pPr>
        <w:spacing w:after="100"/>
      </w:pPr>
      <w:r>
        <w:rPr>
          <w:rFonts w:ascii="Calibri" w:cs="Calibri" w:eastAsia="Calibri" w:hAnsi="Calibri"/>
        </w:rPr>
        <w:t xml:space="preserve">The fix. Resolve one serving child per size per run and apply it to every campaign of that size; refuse a swap across sizes.</w:t>
      </w:r>
    </w:p>
    <w:p>
      <w:pPr>
        <w:spacing w:after="100"/>
      </w:pPr>
      <w:r>
        <w:rPr>
          <w:rFonts w:ascii="Calibri" w:cs="Calibri" w:eastAsia="Calibri" w:hAnsi="Calibri"/>
        </w:rPr>
        <w:t xml:space="preserve">How we know it is fixed. Per size, all swaps land on the same child; zero cross-size swaps.</w:t>
      </w:r>
    </w:p>
    <w:p>
      <w:pPr>
        <w:pStyle w:val="Heading2"/>
      </w:pPr>
      <w:r>
        <w:rPr>
          <w:rFonts w:ascii="Calibri" w:cs="Calibri" w:eastAsia="Calibri" w:hAnsi="Calibri"/>
        </w:rPr>
        <w:t xml:space="preserve">S5 Builds and pushes on a child without stock (P0)</w:t>
      </w:r>
    </w:p>
    <w:p>
      <w:pPr>
        <w:spacing w:after="100"/>
      </w:pPr>
      <w:r>
        <w:rPr>
          <w:rFonts w:ascii="Calibri" w:cs="Calibri" w:eastAsia="Calibri" w:hAnsi="Calibri"/>
        </w:rPr>
        <w:t xml:space="preserve">What we see. SCS4: six Twin builds and two Twin brand-format builds on TWIN-WHITE (13 units, nothing inbound); SB, SBV and SD builds on QUEEN-WHITE (89 units, under horizon). The engine’s room read did not count its own builds.</w:t>
      </w:r>
    </w:p>
    <w:p>
      <w:pPr>
        <w:spacing w:after="100"/>
      </w:pPr>
      <w:r>
        <w:rPr>
          <w:rFonts w:ascii="Calibri" w:cs="Calibri" w:eastAsia="Calibri" w:hAnsi="Calibri"/>
        </w:rPr>
        <w:t xml:space="preserve">Why it matters. Logic doc §6: stock to sustain it after — a position taken and lost to a stockout was rented.</w:t>
      </w:r>
    </w:p>
    <w:p>
      <w:pPr>
        <w:spacing w:after="100"/>
      </w:pPr>
      <w:r>
        <w:rPr>
          <w:rFonts w:ascii="Calibri" w:cs="Calibri" w:eastAsia="Calibri" w:hAnsi="Calibri"/>
        </w:rPr>
        <w:t xml:space="preserve">The fix. Count the run’s own builds and steps in the cover test; route builds to the serving child.</w:t>
      </w:r>
    </w:p>
    <w:p>
      <w:pPr>
        <w:spacing w:after="100"/>
      </w:pPr>
      <w:r>
        <w:rPr>
          <w:rFonts w:ascii="Calibri" w:cs="Calibri" w:eastAsia="Calibri" w:hAnsi="Calibri"/>
        </w:rPr>
        <w:t xml:space="preserve">How we know it is fixed. Every build names a child whose cover at the push pace clears the horizon including the run’s own builds.</w:t>
      </w:r>
    </w:p>
    <w:p>
      <w:pPr>
        <w:pStyle w:val="Heading2"/>
      </w:pPr>
      <w:r>
        <w:rPr>
          <w:rFonts w:ascii="Calibri" w:cs="Calibri" w:eastAsia="Calibri" w:hAnsi="Calibri"/>
        </w:rPr>
        <w:t xml:space="preserve">S6 The tracker may read a different child from the ad (P2)</w:t>
      </w:r>
    </w:p>
    <w:p>
      <w:pPr>
        <w:spacing w:after="100"/>
      </w:pPr>
      <w:r>
        <w:rPr>
          <w:rFonts w:ascii="Calibri" w:cs="Calibri" w:eastAsia="Calibri" w:hAnsi="Calibri"/>
        </w:rPr>
        <w:t xml:space="preserve">What we see. B6 and SCS4 both move ads between colours; the tracker’s child is not checked.</w:t>
      </w:r>
    </w:p>
    <w:p>
      <w:pPr>
        <w:spacing w:after="100"/>
      </w:pPr>
      <w:r>
        <w:rPr>
          <w:rFonts w:ascii="Calibri" w:cs="Calibri" w:eastAsia="Calibri" w:hAnsi="Calibri"/>
        </w:rPr>
        <w:t xml:space="preserve">Why it matters. A push graded on a child the tracker does not watch reads as a miss that is not one.</w:t>
      </w:r>
    </w:p>
    <w:p>
      <w:pPr>
        <w:spacing w:after="100"/>
      </w:pPr>
      <w:r>
        <w:rPr>
          <w:rFonts w:ascii="Calibri" w:cs="Calibri" w:eastAsia="Calibri" w:hAnsi="Calibri"/>
        </w:rPr>
        <w:t xml:space="preserve">The fix. Record the tracked child per term; grade on the child sales land on.</w:t>
      </w:r>
    </w:p>
    <w:p>
      <w:pPr>
        <w:spacing w:after="100"/>
      </w:pPr>
      <w:r>
        <w:rPr>
          <w:rFonts w:ascii="Calibri" w:cs="Calibri" w:eastAsia="Calibri" w:hAnsi="Calibri"/>
        </w:rPr>
        <w:t xml:space="preserve">How we know it is fixed. Each graded rank claim names the tracked child.</w:t>
      </w:r>
    </w:p>
    <w:p>
      <w:pPr>
        <w:pStyle w:val="Heading1"/>
      </w:pPr>
      <w:r>
        <w:rPr>
          <w:rFonts w:ascii="Calibri" w:cs="Calibri" w:eastAsia="Calibri" w:hAnsi="Calibri"/>
        </w:rPr>
        <w:t xml:space="preserve">4. Campaign state, structure and ownership</w:t>
      </w:r>
    </w:p>
    <w:p>
      <w:pPr>
        <w:pStyle w:val="Heading2"/>
      </w:pPr>
      <w:r>
        <w:rPr>
          <w:rFonts w:ascii="Calibri" w:cs="Calibri" w:eastAsia="Calibri" w:hAnsi="Calibri"/>
        </w:rPr>
        <w:t xml:space="preserve">T1 Writes on paused campaigns (P0)</w:t>
      </w:r>
    </w:p>
    <w:p>
      <w:pPr>
        <w:spacing w:after="100"/>
      </w:pPr>
      <w:r>
        <w:rPr>
          <w:rFonts w:ascii="Calibri" w:cs="Calibri" w:eastAsia="Calibri" w:hAnsi="Calibri"/>
        </w:rPr>
        <w:t xml:space="preserve">What we see. SCS4: 15 writes on paused campaigns (11 top-of-search raises, 2 budgets, 2 bids); the review held 14. They booked $152.89 a day, 44 orders and 351 top-of-search clicks a week into the outcome that cannot happen — about 28% of the spend delta.</w:t>
      </w:r>
    </w:p>
    <w:p>
      <w:pPr>
        <w:spacing w:after="100"/>
      </w:pPr>
      <w:r>
        <w:rPr>
          <w:rFonts w:ascii="Calibri" w:cs="Calibri" w:eastAsia="Calibri" w:hAnsi="Calibri"/>
        </w:rPr>
        <w:t xml:space="preserve">Why it matters. A paused campaign cannot serve at any price.</w:t>
      </w:r>
    </w:p>
    <w:p>
      <w:pPr>
        <w:spacing w:after="100"/>
      </w:pPr>
      <w:r>
        <w:rPr>
          <w:rFonts w:ascii="Calibri" w:cs="Calibri" w:eastAsia="Calibri" w:hAnsi="Calibri"/>
        </w:rPr>
        <w:t xml:space="preserve">The fix. No price, bid or budget write on a paused campaign; the row becomes a re-enable-or-drop decision.</w:t>
      </w:r>
    </w:p>
    <w:p>
      <w:pPr>
        <w:spacing w:after="100"/>
      </w:pPr>
      <w:r>
        <w:rPr>
          <w:rFonts w:ascii="Calibri" w:cs="Calibri" w:eastAsia="Calibri" w:hAnsi="Calibri"/>
        </w:rPr>
        <w:t xml:space="preserve">How we know it is fixed. Zero writes on paused campaigns; outcome excludes them.</w:t>
      </w:r>
    </w:p>
    <w:p>
      <w:pPr>
        <w:pStyle w:val="Heading2"/>
      </w:pPr>
      <w:r>
        <w:rPr>
          <w:rFonts w:ascii="Calibri" w:cs="Calibri" w:eastAsia="Calibri" w:hAnsi="Calibri"/>
        </w:rPr>
        <w:t xml:space="preserve">T2 A paused campaign takes a plan term out of ranking without a decision (P0)</w:t>
      </w:r>
    </w:p>
    <w:p>
      <w:pPr>
        <w:spacing w:after="100"/>
      </w:pPr>
      <w:r>
        <w:rPr>
          <w:rFonts w:ascii="Calibri" w:cs="Calibri" w:eastAsia="Calibri" w:hAnsi="Calibri"/>
        </w:rPr>
        <w:t xml:space="preserve">What we see. SCS4: “cooling bed sheets” (307 clicks a week, SV 12,715) and “twin cooling sheets” (341 clicks, 26 orders in 90 days) have their only exact paused. B6: two in-focus campaigns whose only keyword was paused.</w:t>
      </w:r>
    </w:p>
    <w:p>
      <w:pPr>
        <w:spacing w:after="100"/>
      </w:pPr>
      <w:r>
        <w:rPr>
          <w:rFonts w:ascii="Calibri" w:cs="Calibri" w:eastAsia="Calibri" w:hAnsi="Calibri"/>
        </w:rPr>
        <w:t xml:space="preserve">Why it matters. DBS6 A.7: re-enable at the last serving values and price it, or take the term out of focus and say why.</w:t>
      </w:r>
    </w:p>
    <w:p>
      <w:pPr>
        <w:spacing w:after="100"/>
      </w:pPr>
      <w:r>
        <w:rPr>
          <w:rFonts w:ascii="Calibri" w:cs="Calibri" w:eastAsia="Calibri" w:hAnsi="Calibri"/>
        </w:rPr>
        <w:t xml:space="preserve">The fix. For every plan term, check that an enabled exact carries it; if not, write a decision row (re-enable with values, or out of focus with a reason).</w:t>
      </w:r>
    </w:p>
    <w:p>
      <w:pPr>
        <w:spacing w:after="100"/>
      </w:pPr>
      <w:r>
        <w:rPr>
          <w:rFonts w:ascii="Calibri" w:cs="Calibri" w:eastAsia="Calibri" w:hAnsi="Calibri"/>
        </w:rPr>
        <w:t xml:space="preserve">How we know it is fixed. No plan term without an enabled exact or a dated decision.</w:t>
      </w:r>
    </w:p>
    <w:p>
      <w:pPr>
        <w:pStyle w:val="Heading2"/>
      </w:pPr>
      <w:r>
        <w:rPr>
          <w:rFonts w:ascii="Calibri" w:cs="Calibri" w:eastAsia="Calibri" w:hAnsi="Calibri"/>
        </w:rPr>
        <w:t xml:space="preserve">T3 Duplicate builds instead of re-enabling campaigns with history (P1)</w:t>
      </w:r>
    </w:p>
    <w:p>
      <w:pPr>
        <w:spacing w:after="100"/>
      </w:pPr>
      <w:r>
        <w:rPr>
          <w:rFonts w:ascii="Calibri" w:cs="Calibri" w:eastAsia="Calibri" w:hAnsi="Calibri"/>
        </w:rPr>
        <w:t xml:space="preserve">What we see. SCS4 builds new exacts on “king sheets cooling”, “cooling king sheets”, “cooling sheets king size deep pocket” and “king sheets deep pocket cooling” and leaves the paused exacts (with their clicks, orders and tracker links) paused.</w:t>
      </w:r>
    </w:p>
    <w:p>
      <w:pPr>
        <w:spacing w:after="100"/>
      </w:pPr>
      <w:r>
        <w:rPr>
          <w:rFonts w:ascii="Calibri" w:cs="Calibri" w:eastAsia="Calibri" w:hAnsi="Calibri"/>
        </w:rPr>
        <w:t xml:space="preserve">Why it matters. A new campaign starts with no record; the old one carries the evidence the price should be built on.</w:t>
      </w:r>
    </w:p>
    <w:p>
      <w:pPr>
        <w:spacing w:after="100"/>
      </w:pPr>
      <w:r>
        <w:rPr>
          <w:rFonts w:ascii="Calibri" w:cs="Calibri" w:eastAsia="Calibri" w:hAnsi="Calibri"/>
        </w:rPr>
        <w:t xml:space="preserve">The fix. Where a paused exact carries the term, re-enable it instead of building.</w:t>
      </w:r>
    </w:p>
    <w:p>
      <w:pPr>
        <w:spacing w:after="100"/>
      </w:pPr>
      <w:r>
        <w:rPr>
          <w:rFonts w:ascii="Calibri" w:cs="Calibri" w:eastAsia="Calibri" w:hAnsi="Calibri"/>
        </w:rPr>
        <w:t xml:space="preserve">How we know it is fixed. No build duplicates a paused exact on the same term.</w:t>
      </w:r>
    </w:p>
    <w:p>
      <w:pPr>
        <w:pStyle w:val="Heading2"/>
      </w:pPr>
      <w:r>
        <w:rPr>
          <w:rFonts w:ascii="Calibri" w:cs="Calibri" w:eastAsia="Calibri" w:hAnsi="Calibri"/>
        </w:rPr>
        <w:t xml:space="preserve">T4 Rows parked for a person to “re-price or pause” (P0)</w:t>
      </w:r>
    </w:p>
    <w:p>
      <w:pPr>
        <w:spacing w:after="100"/>
      </w:pPr>
      <w:r>
        <w:rPr>
          <w:rFonts w:ascii="Calibri" w:cs="Calibri" w:eastAsia="Calibri" w:hAnsi="Calibri"/>
        </w:rPr>
        <w:t xml:space="preserve">What we see. SCS4: 29 STRUCTURE rows “NOT IN THE AUCTION — RE-PRICE … or pause”, 6 of them on campaigns already paused. B6 held rows “for review”.</w:t>
      </w:r>
    </w:p>
    <w:p>
      <w:pPr>
        <w:spacing w:after="100"/>
      </w:pPr>
      <w:r>
        <w:rPr>
          <w:rFonts w:ascii="Calibri" w:cs="Calibri" w:eastAsia="Calibri" w:hAnsi="Calibri"/>
        </w:rPr>
        <w:t xml:space="preserve">Why it matters. Logic doc §12: on, no clicks → hold the base, push the modifier; the re-price is the write.</w:t>
      </w:r>
    </w:p>
    <w:p>
      <w:pPr>
        <w:spacing w:after="100"/>
      </w:pPr>
      <w:r>
        <w:rPr>
          <w:rFonts w:ascii="Calibri" w:cs="Calibri" w:eastAsia="Calibri" w:hAnsi="Calibri"/>
        </w:rPr>
        <w:t xml:space="preserve">The fix. Price every enabled row by its rule in the same run; a STRUCTURE row is only for real structure (create, fold, remove).</w:t>
      </w:r>
    </w:p>
    <w:p>
      <w:pPr>
        <w:spacing w:after="100"/>
      </w:pPr>
      <w:r>
        <w:rPr>
          <w:rFonts w:ascii="Calibri" w:cs="Calibri" w:eastAsia="Calibri" w:hAnsi="Calibri"/>
        </w:rPr>
        <w:t xml:space="preserve">How we know it is fixed. Zero “re-price or pause” rows.</w:t>
      </w:r>
    </w:p>
    <w:p>
      <w:pPr>
        <w:pStyle w:val="Heading2"/>
      </w:pPr>
      <w:r>
        <w:rPr>
          <w:rFonts w:ascii="Calibri" w:cs="Calibri" w:eastAsia="Calibri" w:hAnsi="Calibri"/>
        </w:rPr>
        <w:t xml:space="preserve">T5 Rows are priced in the same run they are re-tagged (P2)</w:t>
      </w:r>
    </w:p>
    <w:p>
      <w:pPr>
        <w:spacing w:after="100"/>
      </w:pPr>
      <w:r>
        <w:rPr>
          <w:rFonts w:ascii="Calibri" w:cs="Calibri" w:eastAsia="Calibri" w:hAnsi="Calibri"/>
        </w:rPr>
        <w:t xml:space="preserve">What we see. SCS4: 14 bid and top-of-search moves on re-tagged campaigns whose own READ line says “the sweep prices nothing on it; the lane decides it on the next run”.</w:t>
      </w:r>
    </w:p>
    <w:p>
      <w:pPr>
        <w:spacing w:after="100"/>
      </w:pPr>
      <w:r>
        <w:rPr>
          <w:rFonts w:ascii="Calibri" w:cs="Calibri" w:eastAsia="Calibri" w:hAnsi="Calibri"/>
        </w:rPr>
        <w:t xml:space="preserve">Why it matters. The objective is the lens the next run reads the campaign under.</w:t>
      </w:r>
    </w:p>
    <w:p>
      <w:pPr>
        <w:spacing w:after="100"/>
      </w:pPr>
      <w:r>
        <w:rPr>
          <w:rFonts w:ascii="Calibri" w:cs="Calibri" w:eastAsia="Calibri" w:hAnsi="Calibri"/>
        </w:rPr>
        <w:t xml:space="preserve">The fix. A retag row carries no price move; the lane prices the campaign next run.</w:t>
      </w:r>
    </w:p>
    <w:p>
      <w:pPr>
        <w:spacing w:after="100"/>
      </w:pPr>
      <w:r>
        <w:rPr>
          <w:rFonts w:ascii="Calibri" w:cs="Calibri" w:eastAsia="Calibri" w:hAnsi="Calibri"/>
        </w:rPr>
        <w:t xml:space="preserve">How we know it is fixed. No tos/bid row on a campaign re-tagged in the same run.</w:t>
      </w:r>
    </w:p>
    <w:p>
      <w:pPr>
        <w:pStyle w:val="Heading2"/>
      </w:pPr>
      <w:r>
        <w:rPr>
          <w:rFonts w:ascii="Calibri" w:cs="Calibri" w:eastAsia="Calibri" w:hAnsi="Calibri"/>
        </w:rPr>
        <w:t xml:space="preserve">T6 Sibling listings bid the same terms unknowingly (P1)</w:t>
      </w:r>
    </w:p>
    <w:p>
      <w:pPr>
        <w:spacing w:after="100"/>
      </w:pPr>
      <w:r>
        <w:rPr>
          <w:rFonts w:ascii="Calibri" w:cs="Calibri" w:eastAsia="Calibri" w:hAnsi="Calibri"/>
        </w:rPr>
        <w:t xml:space="preserve">What we see. B6: the 4-piece bids 1,242 of B6’s search terms (87% of B6’s keyword spend). SCS4: 6 terms declined for “ownership” — 5 owned by sibling products, 1 by SCS4’s own campaign misread as a sibling.</w:t>
      </w:r>
    </w:p>
    <w:p>
      <w:pPr>
        <w:spacing w:after="100"/>
      </w:pPr>
      <w:r>
        <w:rPr>
          <w:rFonts w:ascii="Calibri" w:cs="Calibri" w:eastAsia="Calibri" w:hAnsi="Calibri"/>
        </w:rPr>
        <w:t xml:space="preserve">Why it matters. Two listings in one auction inflate each other’s CPC and split the read.</w:t>
      </w:r>
    </w:p>
    <w:p>
      <w:pPr>
        <w:spacing w:after="100"/>
      </w:pPr>
      <w:r>
        <w:rPr>
          <w:rFonts w:ascii="Calibri" w:cs="Calibri" w:eastAsia="Calibri" w:hAnsi="Calibri"/>
        </w:rPr>
        <w:t xml:space="preserve">The fix. Before writing a bid, check whether another brand ASIN bids the keyword; carry one owner per shared term in the plan; never treat the product’s own campaign as a sibling.</w:t>
      </w:r>
    </w:p>
    <w:p>
      <w:pPr>
        <w:spacing w:after="100"/>
      </w:pPr>
      <w:r>
        <w:rPr>
          <w:rFonts w:ascii="Calibri" w:cs="Calibri" w:eastAsia="Calibri" w:hAnsi="Calibri"/>
        </w:rPr>
        <w:t xml:space="preserve">How we know it is fixed. Shared-term report in every run; owner column populated.</w:t>
      </w:r>
    </w:p>
    <w:p>
      <w:pPr>
        <w:pStyle w:val="Heading2"/>
      </w:pPr>
      <w:r>
        <w:rPr>
          <w:rFonts w:ascii="Calibri" w:cs="Calibri" w:eastAsia="Calibri" w:hAnsi="Calibri"/>
        </w:rPr>
        <w:t xml:space="preserve">T7 Non-SP builds have no path (P1)</w:t>
      </w:r>
    </w:p>
    <w:p>
      <w:pPr>
        <w:spacing w:after="100"/>
      </w:pPr>
      <w:r>
        <w:rPr>
          <w:rFonts w:ascii="Calibri" w:cs="Calibri" w:eastAsia="Calibri" w:hAnsi="Calibri"/>
        </w:rPr>
        <w:t xml:space="preserve">What we see. B6: 4 builds the loader cannot write (SB, SBV, SD, PAT) marked PAUSED for a person. SCS4: 7 brand-format builds with the creative gate UNCHECKED, flagged by two reviews in a row.</w:t>
      </w:r>
    </w:p>
    <w:p>
      <w:pPr>
        <w:spacing w:after="100"/>
      </w:pPr>
      <w:r>
        <w:rPr>
          <w:rFonts w:ascii="Calibri" w:cs="Calibri" w:eastAsia="Calibri" w:hAnsi="Calibri"/>
        </w:rPr>
        <w:t xml:space="preserve">Why it matters. A build nobody owns does not happen.</w:t>
      </w:r>
    </w:p>
    <w:p>
      <w:pPr>
        <w:spacing w:after="100"/>
      </w:pPr>
      <w:r>
        <w:rPr>
          <w:rFonts w:ascii="Calibri" w:cs="Calibri" w:eastAsia="Calibri" w:hAnsi="Calibri"/>
        </w:rPr>
        <w:t xml:space="preserve">The fix. Every non-SP build creates a task with an owner, a due date and the creative it needs; its budget is sized to a readable click count.</w:t>
      </w:r>
    </w:p>
    <w:p>
      <w:pPr>
        <w:spacing w:after="100"/>
      </w:pPr>
      <w:r>
        <w:rPr>
          <w:rFonts w:ascii="Calibri" w:cs="Calibri" w:eastAsia="Calibri" w:hAnsi="Calibri"/>
        </w:rPr>
        <w:t xml:space="preserve">How we know it is fixed. Each non-SP build has an owner and a date; builds carried unbuilt across two runs are escalated.</w:t>
      </w:r>
    </w:p>
    <w:p>
      <w:pPr>
        <w:pStyle w:val="Heading1"/>
      </w:pPr>
      <w:r>
        <w:rPr>
          <w:rFonts w:ascii="Calibri" w:cs="Calibri" w:eastAsia="Calibri" w:hAnsi="Calibri"/>
        </w:rPr>
        <w:t xml:space="preserve">5. Export, gates, predictions and grading</w:t>
      </w:r>
    </w:p>
    <w:p>
      <w:pPr>
        <w:pStyle w:val="Heading2"/>
      </w:pPr>
      <w:r>
        <w:rPr>
          <w:rFonts w:ascii="Calibri" w:cs="Calibri" w:eastAsia="Calibri" w:hAnsi="Calibri"/>
        </w:rPr>
        <w:t xml:space="preserve">E1 Withheld rows export as changes (P0)</w:t>
      </w:r>
    </w:p>
    <w:p>
      <w:pPr>
        <w:spacing w:after="100"/>
      </w:pPr>
      <w:r>
        <w:rPr>
          <w:rFonts w:ascii="Calibri" w:cs="Calibri" w:eastAsia="Calibri" w:hAnsi="Calibri"/>
        </w:rPr>
        <w:t xml:space="preserve">What we see. B6: 12 rows say “change → HOLD” in their own text and export as changes. SCS4: 15 more (seq 59, 64, 325, 341, 372, 387, 407, 453, 513, 518, 698, 713, 728, 733, 743) — all passed by the review.</w:t>
      </w:r>
    </w:p>
    <w:p>
      <w:pPr>
        <w:spacing w:after="100"/>
      </w:pPr>
      <w:r>
        <w:rPr>
          <w:rFonts w:ascii="Calibri" w:cs="Calibri" w:eastAsia="Calibri" w:hAnsi="Calibri"/>
        </w:rPr>
        <w:t xml:space="preserve">Why it matters. The gate’s verdict is the decision.</w:t>
      </w:r>
    </w:p>
    <w:p>
      <w:pPr>
        <w:spacing w:after="100"/>
      </w:pPr>
      <w:r>
        <w:rPr>
          <w:rFonts w:ascii="Calibri" w:cs="Calibri" w:eastAsia="Calibri" w:hAnsi="Calibri"/>
        </w:rPr>
        <w:t xml:space="preserve">The fix. Carry the gate’s verdict into the export; a row whose rationale says HOLD cannot have verdict “change”.</w:t>
      </w:r>
    </w:p>
    <w:p>
      <w:pPr>
        <w:spacing w:after="100"/>
      </w:pPr>
      <w:r>
        <w:rPr>
          <w:rFonts w:ascii="Calibri" w:cs="Calibri" w:eastAsia="Calibri" w:hAnsi="Calibri"/>
        </w:rPr>
        <w:t xml:space="preserve">How we know it is fixed. Code check: text/verdict agreement on every row.</w:t>
      </w:r>
    </w:p>
    <w:p>
      <w:pPr>
        <w:pStyle w:val="Heading2"/>
      </w:pPr>
      <w:r>
        <w:rPr>
          <w:rFonts w:ascii="Calibri" w:cs="Calibri" w:eastAsia="Calibri" w:hAnsi="Calibri"/>
        </w:rPr>
        <w:t xml:space="preserve">E2 No-op, duplicate and overtaken rows (P1)</w:t>
      </w:r>
    </w:p>
    <w:p>
      <w:pPr>
        <w:spacing w:after="100"/>
      </w:pPr>
      <w:r>
        <w:rPr>
          <w:rFonts w:ascii="Calibri" w:cs="Calibri" w:eastAsia="Calibri" w:hAnsi="Calibri"/>
        </w:rPr>
        <w:t xml:space="preserve">What we see. B6: 3 no-op rows (pause what is paused, write today’s value) and 1 duplicate keyword write; 2 overtaken by live changes.</w:t>
      </w:r>
    </w:p>
    <w:p>
      <w:pPr>
        <w:spacing w:after="100"/>
      </w:pPr>
      <w:r>
        <w:rPr>
          <w:rFonts w:ascii="Calibri" w:cs="Calibri" w:eastAsia="Calibri" w:hAnsi="Calibri"/>
        </w:rPr>
        <w:t xml:space="preserve">Why it matters. A no-op row costs a review and hides real changes.</w:t>
      </w:r>
    </w:p>
    <w:p>
      <w:pPr>
        <w:spacing w:after="100"/>
      </w:pPr>
      <w:r>
        <w:rPr>
          <w:rFonts w:ascii="Calibri" w:cs="Calibri" w:eastAsia="Calibri" w:hAnsi="Calibri"/>
        </w:rPr>
        <w:t xml:space="preserve">The fix. Drop no-ops and duplicates at export; re-solve overtaken rows (I8).</w:t>
      </w:r>
    </w:p>
    <w:p>
      <w:pPr>
        <w:spacing w:after="100"/>
      </w:pPr>
      <w:r>
        <w:rPr>
          <w:rFonts w:ascii="Calibri" w:cs="Calibri" w:eastAsia="Calibri" w:hAnsi="Calibri"/>
        </w:rPr>
        <w:t xml:space="preserve">How we know it is fixed. Zero rows where suggested = live value.</w:t>
      </w:r>
    </w:p>
    <w:p>
      <w:pPr>
        <w:pStyle w:val="Heading2"/>
      </w:pPr>
      <w:r>
        <w:rPr>
          <w:rFonts w:ascii="Calibri" w:cs="Calibri" w:eastAsia="Calibri" w:hAnsi="Calibri"/>
        </w:rPr>
        <w:t xml:space="preserve">E3 The outcome is booked on moves that cannot happen (P0)</w:t>
      </w:r>
    </w:p>
    <w:p>
      <w:pPr>
        <w:spacing w:after="100"/>
      </w:pPr>
      <w:r>
        <w:rPr>
          <w:rFonts w:ascii="Calibri" w:cs="Calibri" w:eastAsia="Calibri" w:hAnsi="Calibri"/>
        </w:rPr>
        <w:t xml:space="preserve">What we see. SCS4: the outcome counts the paused-campaign raises and the full plan requirement as delivered clicks (top-of-search clicks 42.6 → 1,250.6 a week).</w:t>
      </w:r>
    </w:p>
    <w:p>
      <w:pPr>
        <w:spacing w:after="100"/>
      </w:pPr>
      <w:r>
        <w:rPr>
          <w:rFonts w:ascii="Calibri" w:cs="Calibri" w:eastAsia="Calibri" w:hAnsi="Calibri"/>
        </w:rPr>
        <w:t xml:space="preserve">Why it matters. The outcome is what the run’s writes can buy.</w:t>
      </w:r>
    </w:p>
    <w:p>
      <w:pPr>
        <w:spacing w:after="100"/>
      </w:pPr>
      <w:r>
        <w:rPr>
          <w:rFonts w:ascii="Calibri" w:cs="Calibri" w:eastAsia="Calibri" w:hAnsi="Calibri"/>
        </w:rPr>
        <w:t xml:space="preserve">The fix. Book the outcome from the book’s response to each step on enabled campaigns only; show the requirement separately.</w:t>
      </w:r>
    </w:p>
    <w:p>
      <w:pPr>
        <w:spacing w:after="100"/>
      </w:pPr>
      <w:r>
        <w:rPr>
          <w:rFonts w:ascii="Calibri" w:cs="Calibri" w:eastAsia="Calibri" w:hAnsi="Calibri"/>
        </w:rPr>
        <w:t xml:space="preserve">How we know it is fixed. Outcome delta reconciles to the sum of enabled-row predictions.</w:t>
      </w:r>
    </w:p>
    <w:p>
      <w:pPr>
        <w:pStyle w:val="Heading2"/>
      </w:pPr>
      <w:r>
        <w:rPr>
          <w:rFonts w:ascii="Calibri" w:cs="Calibri" w:eastAsia="Calibri" w:hAnsi="Calibri"/>
        </w:rPr>
        <w:t xml:space="preserve">E4 Predictions come from the plan, not the step (P0)</w:t>
      </w:r>
    </w:p>
    <w:p>
      <w:pPr>
        <w:spacing w:after="100"/>
      </w:pPr>
      <w:r>
        <w:rPr>
          <w:rFonts w:ascii="Calibri" w:cs="Calibri" w:eastAsia="Calibri" w:hAnsi="Calibri"/>
        </w:rPr>
        <w:t xml:space="preserve">What we see. SCS4 rows claim ×24 to ×82 clicks on +14–30% steps; the engine’s own “claim against the book” note says they will likely grade as misses. B6 hit rate 6.1%.</w:t>
      </w:r>
    </w:p>
    <w:p>
      <w:pPr>
        <w:spacing w:after="100"/>
      </w:pPr>
      <w:r>
        <w:rPr>
          <w:rFonts w:ascii="Calibri" w:cs="Calibri" w:eastAsia="Calibri" w:hAnsi="Calibri"/>
        </w:rPr>
        <w:t xml:space="preserve">Why it matters. Logic doc §11: Predicted — a written expectation the step can deliver, checked at a dated checkpoint.</w:t>
      </w:r>
    </w:p>
    <w:p>
      <w:pPr>
        <w:spacing w:after="100"/>
      </w:pPr>
      <w:r>
        <w:rPr>
          <w:rFonts w:ascii="Calibri" w:cs="Calibri" w:eastAsia="Calibri" w:hAnsi="Calibri"/>
        </w:rPr>
        <w:t xml:space="preserve">The fix. Predict from the response book for the step size (and the campaign’s own last read); keep the plan’s number as the destination.</w:t>
      </w:r>
    </w:p>
    <w:p>
      <w:pPr>
        <w:spacing w:after="100"/>
      </w:pPr>
      <w:r>
        <w:rPr>
          <w:rFonts w:ascii="Calibri" w:cs="Calibri" w:eastAsia="Calibri" w:hAnsi="Calibri"/>
        </w:rPr>
        <w:t xml:space="preserve">How we know it is fixed. Hit rate per run; predictions inside the book’s interval.</w:t>
      </w:r>
    </w:p>
    <w:p>
      <w:pPr>
        <w:pStyle w:val="Heading2"/>
      </w:pPr>
      <w:r>
        <w:rPr>
          <w:rFonts w:ascii="Calibri" w:cs="Calibri" w:eastAsia="Calibri" w:hAnsi="Calibri"/>
        </w:rPr>
        <w:t xml:space="preserve">E5 The last change is not graded before the next (P0)</w:t>
      </w:r>
    </w:p>
    <w:p>
      <w:pPr>
        <w:spacing w:after="100"/>
      </w:pPr>
      <w:r>
        <w:rPr>
          <w:rFonts w:ascii="Calibri" w:cs="Calibri" w:eastAsia="Calibri" w:hAnsi="Calibri"/>
        </w:rPr>
        <w:t xml:space="preserve">What we see. B6: 720 decisions since 7 September, none scored; the 11 September round cut ranking spend in half and top-of-search clicks by a quarter and was never graded as a rank loss. SCS4: 0 graded in 90 days, 0 tuner records.</w:t>
      </w:r>
    </w:p>
    <w:p>
      <w:pPr>
        <w:spacing w:after="100"/>
      </w:pPr>
      <w:r>
        <w:rPr>
          <w:rFonts w:ascii="Calibri" w:cs="Calibri" w:eastAsia="Calibri" w:hAnsi="Calibri"/>
        </w:rPr>
        <w:t xml:space="preserve">Why it matters. Logic doc §15: read at the cycle, against the prediction each write carried; DBS6 C.1: a write whose predecessor went the wrong way is not repeated.</w:t>
      </w:r>
    </w:p>
    <w:p>
      <w:pPr>
        <w:spacing w:after="100"/>
      </w:pPr>
      <w:r>
        <w:rPr>
          <w:rFonts w:ascii="Calibri" w:cs="Calibri" w:eastAsia="Calibri" w:hAnsi="Calibri"/>
        </w:rPr>
        <w:t xml:space="preserve">The fix. Grade every change (3 days either side, like for like) before the next write on the same lever; grade rounds on top-of-search clicks and rank before ACoS; cite the grade on the next row.</w:t>
      </w:r>
    </w:p>
    <w:p>
      <w:pPr>
        <w:spacing w:after="100"/>
      </w:pPr>
      <w:r>
        <w:rPr>
          <w:rFonts w:ascii="Calibri" w:cs="Calibri" w:eastAsia="Calibri" w:hAnsi="Calibri"/>
        </w:rPr>
        <w:t xml:space="preserve">How we know it is fixed. Every row on a lever changed in the last 30 days cites that change’s grade.</w:t>
      </w:r>
    </w:p>
    <w:p>
      <w:pPr>
        <w:pStyle w:val="Heading2"/>
      </w:pPr>
      <w:r>
        <w:rPr>
          <w:rFonts w:ascii="Calibri" w:cs="Calibri" w:eastAsia="Calibri" w:hAnsi="Calibri"/>
        </w:rPr>
        <w:t xml:space="preserve">E6 The review agent checks consistency, not the pricing logic (P1)</w:t>
      </w:r>
    </w:p>
    <w:p>
      <w:pPr>
        <w:spacing w:after="100"/>
      </w:pPr>
      <w:r>
        <w:rPr>
          <w:rFonts w:ascii="Calibri" w:cs="Calibri" w:eastAsia="Calibri" w:hAnsi="Calibri"/>
        </w:rPr>
        <w:t xml:space="preserve">What we see. SCS4 review endorsed the run (438 pass, 31 held, 2 corrected) while every gap in this document stood; its code checks test bounds, parse, and a RISKS line — not ceilings, bounds, properties or the cut-back gate.</w:t>
      </w:r>
    </w:p>
    <w:p>
      <w:pPr>
        <w:spacing w:after="100"/>
      </w:pPr>
      <w:r>
        <w:rPr>
          <w:rFonts w:ascii="Calibri" w:cs="Calibri" w:eastAsia="Calibri" w:hAnsi="Calibri"/>
        </w:rPr>
        <w:t xml:space="preserve">Why it matters. A review that cannot see a wrong contribution or a circular bound endorses it.</w:t>
      </w:r>
    </w:p>
    <w:p>
      <w:pPr>
        <w:spacing w:after="100"/>
      </w:pPr>
      <w:r>
        <w:rPr>
          <w:rFonts w:ascii="Calibri" w:cs="Calibri" w:eastAsia="Calibri" w:hAnsi="Calibri"/>
        </w:rPr>
        <w:t xml:space="preserve">The fix. Add the conformance checks in section 8 to the code checks; the review asks the five questions against the logic document’s tables, not the engine’s own text.</w:t>
      </w:r>
    </w:p>
    <w:p>
      <w:pPr>
        <w:spacing w:after="100"/>
      </w:pPr>
      <w:r>
        <w:rPr>
          <w:rFonts w:ascii="Calibri" w:cs="Calibri" w:eastAsia="Calibri" w:hAnsi="Calibri"/>
        </w:rPr>
        <w:t xml:space="preserve">How we know it is fixed. Conformance checks run on every row; a failure holds the row automatically.</w:t>
      </w:r>
    </w:p>
    <w:p>
      <w:pPr>
        <w:pStyle w:val="Heading2"/>
      </w:pPr>
      <w:r>
        <w:rPr>
          <w:rFonts w:ascii="Calibri" w:cs="Calibri" w:eastAsia="Calibri" w:hAnsi="Calibri"/>
        </w:rPr>
        <w:t xml:space="preserve">E7 Engine-check failures are not always named (P2)</w:t>
      </w:r>
    </w:p>
    <w:p>
      <w:pPr>
        <w:spacing w:after="100"/>
      </w:pPr>
      <w:r>
        <w:rPr>
          <w:rFonts w:ascii="Calibri" w:cs="Calibri" w:eastAsia="Calibri" w:hAnsi="Calibri"/>
        </w:rPr>
        <w:t xml:space="preserve">What we see. B6: 1 engine check failed and was not named. SCS4 named its failure (a campaign left on the RED Full hero with no swap row) but did not write the fix row.</w:t>
      </w:r>
    </w:p>
    <w:p>
      <w:pPr>
        <w:spacing w:after="100"/>
      </w:pPr>
      <w:r>
        <w:rPr>
          <w:rFonts w:ascii="Calibri" w:cs="Calibri" w:eastAsia="Calibri" w:hAnsi="Calibri"/>
        </w:rPr>
        <w:t xml:space="preserve">Why it matters. A failure that is not named cannot be confirmed before deploy.</w:t>
      </w:r>
    </w:p>
    <w:p>
      <w:pPr>
        <w:spacing w:after="100"/>
      </w:pPr>
      <w:r>
        <w:rPr>
          <w:rFonts w:ascii="Calibri" w:cs="Calibri" w:eastAsia="Calibri" w:hAnsi="Calibri"/>
        </w:rPr>
        <w:t xml:space="preserve">The fix. Every failed check names the rows and writes the corrective row it implies.</w:t>
      </w:r>
    </w:p>
    <w:p>
      <w:pPr>
        <w:spacing w:after="100"/>
      </w:pPr>
      <w:r>
        <w:rPr>
          <w:rFonts w:ascii="Calibri" w:cs="Calibri" w:eastAsia="Calibri" w:hAnsi="Calibri"/>
        </w:rPr>
        <w:t xml:space="preserve">How we know it is fixed. Zero unnamed failures; each failure has a linked fix row.</w:t>
      </w:r>
    </w:p>
    <w:p>
      <w:pPr>
        <w:pStyle w:val="Heading1"/>
      </w:pPr>
      <w:r>
        <w:rPr>
          <w:rFonts w:ascii="Calibri" w:cs="Calibri" w:eastAsia="Calibri" w:hAnsi="Calibri"/>
        </w:rPr>
        <w:t xml:space="preserve">6. Strategy reads and reporting</w:t>
      </w:r>
    </w:p>
    <w:p>
      <w:pPr>
        <w:pStyle w:val="Heading2"/>
      </w:pPr>
      <w:r>
        <w:rPr>
          <w:rFonts w:ascii="Calibri" w:cs="Calibri" w:eastAsia="Calibri" w:hAnsi="Calibri"/>
        </w:rPr>
        <w:t xml:space="preserve">R1 Traffic gap and performance gap are not told apart (P0)</w:t>
      </w:r>
    </w:p>
    <w:p>
      <w:pPr>
        <w:spacing w:after="100"/>
      </w:pPr>
      <w:r>
        <w:rPr>
          <w:rFonts w:ascii="Calibri" w:cs="Calibri" w:eastAsia="Calibri" w:hAnsi="Calibri"/>
        </w:rPr>
        <w:t xml:space="preserve">What we see. Both runs treat every shortfall as a price question. SCS4: King and Queen are traffic gaps; the generic Cooling group converts under the CVR bar at the top — a listing/offer finding.</w:t>
      </w:r>
    </w:p>
    <w:p>
      <w:pPr>
        <w:spacing w:after="100"/>
      </w:pPr>
      <w:r>
        <w:rPr>
          <w:rFonts w:ascii="Calibri" w:cs="Calibri" w:eastAsia="Calibri" w:hAnsi="Calibri"/>
        </w:rPr>
        <w:t xml:space="preserve">Why it matters. Logic doc §12: “Targets met, rank not improving, conversion at top poor — freeze bids at maintenance; diagnose price, reviews, child, contamination, creative, deal echo.”</w:t>
      </w:r>
    </w:p>
    <w:p>
      <w:pPr>
        <w:spacing w:after="100"/>
      </w:pPr>
      <w:r>
        <w:rPr>
          <w:rFonts w:ascii="Calibri" w:cs="Calibri" w:eastAsia="Calibri" w:hAnsi="Calibri"/>
        </w:rPr>
        <w:t xml:space="preserve">The fix. Classify every in-focus term and group each run: traffic gap / performance gap / both / not present / on track (bars: CTR 1.1× market with 300+ TOS impressions, CVR 3× market with 15+ TOS clicks; share &lt; 10%, &lt; 15 TOS clicks in 30 days or &lt; 70% of requirement = traffic).</w:t>
      </w:r>
    </w:p>
    <w:p>
      <w:pPr>
        <w:spacing w:after="100"/>
      </w:pPr>
      <w:r>
        <w:rPr>
          <w:rFonts w:ascii="Calibri" w:cs="Calibri" w:eastAsia="Calibri" w:hAnsi="Calibri"/>
        </w:rPr>
        <w:t xml:space="preserve">How we know it is fixed. Verdict table per group and main keyword in every run.</w:t>
      </w:r>
    </w:p>
    <w:p>
      <w:pPr>
        <w:pStyle w:val="Heading2"/>
      </w:pPr>
      <w:r>
        <w:rPr>
          <w:rFonts w:ascii="Calibri" w:cs="Calibri" w:eastAsia="Calibri" w:hAnsi="Calibri"/>
        </w:rPr>
        <w:t xml:space="preserve">R2 The placement goal is not reported where the leak sits (P1)</w:t>
      </w:r>
    </w:p>
    <w:p>
      <w:pPr>
        <w:spacing w:after="100"/>
      </w:pPr>
      <w:r>
        <w:rPr>
          <w:rFonts w:ascii="Calibri" w:cs="Calibri" w:eastAsia="Calibri" w:hAnsi="Calibri"/>
        </w:rPr>
        <w:t xml:space="preserve">What we see. SCS4: in-focus ranking campaigns land 27% of clicks on product pages; B6’s leak sat out of focus (47%). Neither run reported the split.</w:t>
      </w:r>
    </w:p>
    <w:p>
      <w:pPr>
        <w:spacing w:after="100"/>
      </w:pPr>
      <w:r>
        <w:rPr>
          <w:rFonts w:ascii="Calibri" w:cs="Calibri" w:eastAsia="Calibri" w:hAnsi="Calibri"/>
        </w:rPr>
        <w:t xml:space="preserve">Why it matters. Logic doc §5: 70–90% of clicks at top of search, product pages ≤ 20% — always.</w:t>
      </w:r>
    </w:p>
    <w:p>
      <w:pPr>
        <w:spacing w:after="100"/>
      </w:pPr>
      <w:r>
        <w:rPr>
          <w:rFonts w:ascii="Calibri" w:cs="Calibri" w:eastAsia="Calibri" w:hAnsi="Calibri"/>
        </w:rPr>
        <w:t xml:space="preserve">The fix. Report the 14-day and 8-day mix by in-focus / out-of-focus every run.</w:t>
      </w:r>
    </w:p>
    <w:p>
      <w:pPr>
        <w:spacing w:after="100"/>
      </w:pPr>
      <w:r>
        <w:rPr>
          <w:rFonts w:ascii="Calibri" w:cs="Calibri" w:eastAsia="Calibri" w:hAnsi="Calibri"/>
        </w:rPr>
        <w:t xml:space="preserve">How we know it is fixed. “Where clicks land” table in every export.</w:t>
      </w:r>
    </w:p>
    <w:p>
      <w:pPr>
        <w:pStyle w:val="Heading2"/>
      </w:pPr>
      <w:r>
        <w:rPr>
          <w:rFonts w:ascii="Calibri" w:cs="Calibri" w:eastAsia="Calibri" w:hAnsi="Calibri"/>
        </w:rPr>
        <w:t xml:space="preserve">R3 No-deal runs have no velocity story (P1)</w:t>
      </w:r>
    </w:p>
    <w:p>
      <w:pPr>
        <w:spacing w:after="100"/>
      </w:pPr>
      <w:r>
        <w:rPr>
          <w:rFonts w:ascii="Calibri" w:cs="Calibri" w:eastAsia="Calibri" w:hAnsi="Calibri"/>
        </w:rPr>
        <w:t xml:space="preserve">What we see. B6 and SCS4 both had no deal (engine_read null); neither run said so or bounded the push by money instead of a deal date.</w:t>
      </w:r>
    </w:p>
    <w:p>
      <w:pPr>
        <w:spacing w:after="100"/>
      </w:pPr>
      <w:r>
        <w:rPr>
          <w:rFonts w:ascii="Calibri" w:cs="Calibri" w:eastAsia="Calibri" w:hAnsi="Calibri"/>
        </w:rPr>
        <w:t xml:space="preserve">Why it matters. Logic doc §6: velocity in the window “usually means a deal, the budget to fund the clicks, and the stock”.</w:t>
      </w:r>
    </w:p>
    <w:p>
      <w:pPr>
        <w:spacing w:after="100"/>
      </w:pPr>
      <w:r>
        <w:rPr>
          <w:rFonts w:ascii="Calibri" w:cs="Calibri" w:eastAsia="Calibri" w:hAnsi="Calibri"/>
        </w:rPr>
        <w:t xml:space="preserve">The fix. State the deal read; without a deal, the envelope and the loss per order are the velocity condition.</w:t>
      </w:r>
    </w:p>
    <w:p>
      <w:pPr>
        <w:spacing w:after="100"/>
      </w:pPr>
      <w:r>
        <w:rPr>
          <w:rFonts w:ascii="Calibri" w:cs="Calibri" w:eastAsia="Calibri" w:hAnsi="Calibri"/>
        </w:rPr>
        <w:t xml:space="preserve">How we know it is fixed. Deal line and envelope in every run header.</w:t>
      </w:r>
    </w:p>
    <w:p>
      <w:pPr>
        <w:pStyle w:val="Heading2"/>
      </w:pPr>
      <w:r>
        <w:rPr>
          <w:rFonts w:ascii="Calibri" w:cs="Calibri" w:eastAsia="Calibri" w:hAnsi="Calibri"/>
        </w:rPr>
        <w:t xml:space="preserve">R4 Head terms are left on inherited prices after a build-out (P1)</w:t>
      </w:r>
    </w:p>
    <w:p>
      <w:pPr>
        <w:spacing w:after="100"/>
      </w:pPr>
      <w:r>
        <w:rPr>
          <w:rFonts w:ascii="Calibri" w:cs="Calibri" w:eastAsia="Calibri" w:hAnsi="Calibri"/>
        </w:rPr>
        <w:t xml:space="preserve">What we see. SCS4: “cooling sheets” is priced $2.60 at the top (1.52% share, rank 8 → 17.5) while long-tail exacts pay $2.84–$3.17 for 0–1 clicks a day.</w:t>
      </w:r>
    </w:p>
    <w:p>
      <w:pPr>
        <w:spacing w:after="100"/>
      </w:pPr>
      <w:r>
        <w:rPr>
          <w:rFonts w:ascii="Calibri" w:cs="Calibri" w:eastAsia="Calibri" w:hAnsi="Calibri"/>
        </w:rPr>
        <w:t xml:space="preserve">Why it matters. The plan’s head terms carry most of the requirement.</w:t>
      </w:r>
    </w:p>
    <w:p>
      <w:pPr>
        <w:spacing w:after="100"/>
      </w:pPr>
      <w:r>
        <w:rPr>
          <w:rFonts w:ascii="Calibri" w:cs="Calibri" w:eastAsia="Calibri" w:hAnsi="Calibri"/>
        </w:rPr>
        <w:t xml:space="preserve">The fix. Rank in-focus rows by requirement and price the head terms first; flag any head term priced below the lane’s long-tail median.</w:t>
      </w:r>
    </w:p>
    <w:p>
      <w:pPr>
        <w:spacing w:after="100"/>
      </w:pPr>
      <w:r>
        <w:rPr>
          <w:rFonts w:ascii="Calibri" w:cs="Calibri" w:eastAsia="Calibri" w:hAnsi="Calibri"/>
        </w:rPr>
        <w:t xml:space="preserve">How we know it is fixed. Head-term section at the top of every run.</w:t>
      </w:r>
    </w:p>
    <w:p>
      <w:pPr>
        <w:pStyle w:val="Heading2"/>
      </w:pPr>
      <w:r>
        <w:rPr>
          <w:rFonts w:ascii="Calibri" w:cs="Calibri" w:eastAsia="Calibri" w:hAnsi="Calibri"/>
        </w:rPr>
        <w:t xml:space="preserve">R5 Competitor reads are thin (P2)</w:t>
      </w:r>
    </w:p>
    <w:p>
      <w:pPr>
        <w:spacing w:after="100"/>
      </w:pPr>
      <w:r>
        <w:rPr>
          <w:rFonts w:ascii="Calibri" w:cs="Calibri" w:eastAsia="Calibri" w:hAnsi="Calibri"/>
        </w:rPr>
        <w:t xml:space="preserve">What we see. SCS4: 7 of 40 target terms have no reference rival; coupon and lightning-deal frequency is not scraped; the product’s own price changes are not read against rank.</w:t>
      </w:r>
    </w:p>
    <w:p>
      <w:pPr>
        <w:spacing w:after="100"/>
      </w:pPr>
      <w:r>
        <w:rPr>
          <w:rFonts w:ascii="Calibri" w:cs="Calibri" w:eastAsia="Calibri" w:hAnsi="Calibri"/>
        </w:rPr>
        <w:t xml:space="preserve">Why it matters. Logic doc §12: diagnose our price vs market, rating and reviews before blaming the bid.</w:t>
      </w:r>
    </w:p>
    <w:p>
      <w:pPr>
        <w:spacing w:after="100"/>
      </w:pPr>
      <w:r>
        <w:rPr>
          <w:rFonts w:ascii="Calibri" w:cs="Calibri" w:eastAsia="Calibri" w:hAnsi="Calibri"/>
        </w:rPr>
        <w:t xml:space="preserve">The fix. Carry each rival’s price, discount and reviews beside the term it references; mark unmeasured as unmeasured; add coupon/lightning-deal detection; read own price events against rank.</w:t>
      </w:r>
    </w:p>
    <w:p>
      <w:pPr>
        <w:spacing w:after="100"/>
      </w:pPr>
      <w:r>
        <w:rPr>
          <w:rFonts w:ascii="Calibri" w:cs="Calibri" w:eastAsia="Calibri" w:hAnsi="Calibri"/>
        </w:rPr>
        <w:t xml:space="preserve">How we know it is fixed. Reference rival coverage reported per run.</w:t>
      </w:r>
    </w:p>
    <w:p>
      <w:pPr>
        <w:pStyle w:val="Heading1"/>
      </w:pPr>
      <w:r>
        <w:rPr>
          <w:rFonts w:ascii="Calibri" w:cs="Calibri" w:eastAsia="Calibri" w:hAnsi="Calibri"/>
        </w:rPr>
        <w:t xml:space="preserve">7. The pricing procedure the engine should run</w:t>
      </w:r>
    </w:p>
    <w:p>
      <w:pPr>
        <w:spacing w:after="100"/>
      </w:pPr>
      <w:r>
        <w:rPr>
          <w:rFonts w:ascii="Calibri" w:cs="Calibri" w:eastAsia="Calibri" w:hAnsi="Calibri"/>
        </w:rPr>
        <w:t xml:space="preserve">The fixes in sections 2–4 add up to one procedure. Every enabled exact ranking campaign goes through it in this order, and the row writes which step decided it.</w:t>
      </w:r>
    </w:p>
    <w:p>
      <w:pPr>
        <w:spacing w:after="100"/>
      </w:pPr>
      <w:r>
        <w:rPr>
          <w:rFonts w:ascii="Calibri" w:cs="Calibri" w:eastAsia="Calibri" w:hAnsi="Calibri"/>
        </w:rPr>
        <w:t xml:space="preserve">1. Serving child: the size’s serving child for this run (one per size); if the advertised child differs, a swap row (loaded or tasked) and no price step until it lands.</w:t>
      </w:r>
    </w:p>
    <w:p>
      <w:pPr>
        <w:spacing w:after="100"/>
      </w:pPr>
      <w:r>
        <w:rPr>
          <w:rFonts w:ascii="Calibri" w:cs="Calibri" w:eastAsia="Calibri" w:hAnsi="Calibri"/>
        </w:rPr>
        <w:t xml:space="preserve">2. Economics: contribution of the serving child; placement rates (child’s planning rates; the campaign’s own blended in from 15 clicks, fully own from 50; 15+ with no orders stays on the child’s).</w:t>
      </w:r>
    </w:p>
    <w:p>
      <w:pPr>
        <w:spacing w:after="100"/>
      </w:pPr>
      <w:r>
        <w:rPr>
          <w:rFonts w:ascii="Calibri" w:cs="Calibri" w:eastAsia="Calibri" w:hAnsi="Calibri"/>
        </w:rPr>
        <w:t xml:space="preserve">3. Ceilings: top of search, rest of search and product pages = contribution × rate.</w:t>
      </w:r>
    </w:p>
    <w:p>
      <w:pPr>
        <w:spacing w:after="100"/>
      </w:pPr>
      <w:r>
        <w:rPr>
          <w:rFonts w:ascii="Calibri" w:cs="Calibri" w:eastAsia="Calibri" w:hAnsi="Calibri"/>
        </w:rPr>
        <w:t xml:space="preserve">4. Voids: serving child cannot ship, or a deal inside the window → resolve first.</w:t>
      </w:r>
    </w:p>
    <w:p>
      <w:pPr>
        <w:spacing w:after="100"/>
      </w:pPr>
      <w:r>
        <w:rPr>
          <w:rFonts w:ascii="Calibri" w:cs="Calibri" w:eastAsia="Calibri" w:hAnsi="Calibri"/>
        </w:rPr>
        <w:t xml:space="preserve">5. Budget: 7-day use ≥ 80% → budget +30%, price holds this write.</w:t>
      </w:r>
    </w:p>
    <w:p>
      <w:pPr>
        <w:spacing w:after="100"/>
      </w:pPr>
      <w:r>
        <w:rPr>
          <w:rFonts w:ascii="Calibri" w:cs="Calibri" w:eastAsia="Calibri" w:hAnsi="Calibri"/>
        </w:rPr>
        <w:t xml:space="preserve">6. Mix: product pages &gt; 20% of 14-day clicks (15+ clicks) → base cut sized to the leak (10 / 20 / 35%; ≤ 25% where product pages carried an order).</w:t>
      </w:r>
    </w:p>
    <w:p>
      <w:pPr>
        <w:spacing w:after="100"/>
      </w:pPr>
      <w:r>
        <w:rPr>
          <w:rFonts w:ascii="Calibri" w:cs="Calibri" w:eastAsia="Calibri" w:hAnsi="Calibri"/>
        </w:rPr>
        <w:t xml:space="preserve">7. Push test: rank read (7-day median), requirement (plan units ÷ TOS rate), the four conditions, and the envelope. All pass → push; any fail → priced at the ceiling, reason named.</w:t>
      </w:r>
    </w:p>
    <w:p>
      <w:pPr>
        <w:spacing w:after="100"/>
      </w:pPr>
      <w:r>
        <w:rPr>
          <w:rFonts w:ascii="Calibri" w:cs="Calibri" w:eastAsia="Calibri" w:hAnsi="Calibri"/>
        </w:rPr>
        <w:t xml:space="preserve">8. Target: ceiling × (1 + lift) from the binding gap (rank gap; delivery gap only with budget intact and share &lt; 30%), held to the five bounds, binding bound named.</w:t>
      </w:r>
    </w:p>
    <w:p>
      <w:pPr>
        <w:spacing w:after="100"/>
      </w:pPr>
      <w:r>
        <w:rPr>
          <w:rFonts w:ascii="Calibri" w:cs="Calibri" w:eastAsia="Calibri" w:hAnsi="Calibri"/>
        </w:rPr>
        <w:t xml:space="preserve">9. This write: climb by the delivery-gap step (+30 / +20 / +10%, halved if share did not rise after the last step), capped at the target; no delivery at all → straight to the ceiling; above target and delivery met → probe −3–5%; above target and delivery &lt; 70% → hold (cut-back gate); maintenance above the ceiling → descend to it in one named step.</w:t>
      </w:r>
    </w:p>
    <w:p>
      <w:pPr>
        <w:spacing w:after="100"/>
      </w:pPr>
      <w:r>
        <w:rPr>
          <w:rFonts w:ascii="Calibri" w:cs="Calibri" w:eastAsia="Calibri" w:hAnsi="Calibri"/>
        </w:rPr>
        <w:t xml:space="preserve">10. Modifier: (price ÷ base) − 1, ≤ 900%; at the wall the base carries the rest, stated as a trade.</w:t>
      </w:r>
    </w:p>
    <w:p>
      <w:pPr>
        <w:spacing w:after="100"/>
      </w:pPr>
      <w:r>
        <w:rPr>
          <w:rFonts w:ascii="Calibri" w:cs="Calibri" w:eastAsia="Calibri" w:hAnsi="Calibri"/>
        </w:rPr>
        <w:t xml:space="preserve">11. Rest of search: 0% unless earned (15+ clicks converting at or above the product-page rate).</w:t>
      </w:r>
    </w:p>
    <w:p>
      <w:pPr>
        <w:spacing w:after="100"/>
      </w:pPr>
      <w:r>
        <w:rPr>
          <w:rFonts w:ascii="Calibri" w:cs="Calibri" w:eastAsia="Calibri" w:hAnsi="Calibri"/>
        </w:rPr>
        <w:t xml:space="preserve">12. Row text: both prices and the multiple, cost and loss per order now and at the destination, the prediction from the response book, the checkpoint date and what reverses it.</w:t>
      </w:r>
    </w:p>
    <w:p>
      <w:pPr>
        <w:spacing w:after="100"/>
      </w:pPr>
      <w:r>
        <w:rPr>
          <w:rFonts w:ascii="Calibri" w:cs="Calibri" w:eastAsia="Calibri" w:hAnsi="Calibri"/>
        </w:rPr>
        <w:t xml:space="preserve">Out of focus: steps 1–6 and the ceiling only — no premium, no budget raise, no taper below the ceiling, rows under 15 clicks in 90 days held flat. Other objectives (conversions, discovery, defensive): priced inside their ceiling (ACoS ≤ break-even), read on 14 days against 90, thin rows held.</w:t>
      </w:r>
    </w:p>
    <w:p>
      <w:pPr>
        <w:pStyle w:val="Heading1"/>
      </w:pPr>
      <w:r>
        <w:rPr>
          <w:rFonts w:ascii="Calibri" w:cs="Calibri" w:eastAsia="Calibri" w:hAnsi="Calibri"/>
        </w:rPr>
        <w:t xml:space="preserve">8. Conformance checks to add to the code checks</w:t>
      </w:r>
    </w:p>
    <w:p>
      <w:pPr>
        <w:spacing w:after="100"/>
      </w:pPr>
      <w:r>
        <w:rPr>
          <w:rFonts w:ascii="Calibri" w:cs="Calibri" w:eastAsia="Calibri" w:hAnsi="Calibri"/>
        </w:rPr>
        <w:t xml:space="preserve">These run on every row before export. A failure holds the row automatically and names the gap; the review agent reads failures first.</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300"/>
        <w:gridCol w:w="6400"/>
        <w:gridCol w:w="1272"/>
      </w:tblGrid>
      <w:tr>
        <w:trPr>
          <w:cantSplit/>
          <w:tblHeader/>
        </w:trPr>
        <w:tc>
          <w:tcPr>
            <w:tcW w:type="dxa" w:w="23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Check</w:t>
            </w:r>
          </w:p>
        </w:tc>
        <w:tc>
          <w:tcPr>
            <w:tcW w:type="dxa" w:w="64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Pass condition</w:t>
            </w:r>
          </w:p>
        </w:tc>
        <w:tc>
          <w:tcPr>
            <w:tcW w:type="dxa" w:w="12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Gap</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contribution_source</w:t>
            </w:r>
          </w:p>
        </w:tc>
        <w:tc>
          <w:tcPr>
            <w:tcW w:type="dxa" w:w="6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row names the serving child and its contribution; no blended figure; source conflicts &gt; 10% listed in the header</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I1</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rank_smoothed</w:t>
            </w:r>
          </w:p>
        </w:tc>
        <w:tc>
          <w:tcPr>
            <w:tcW w:type="dxa" w:w="6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every rank is a 7-day median; every “30 days ago” within 27–33 days</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I2, I3</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window_stated</w:t>
            </w:r>
          </w:p>
        </w:tc>
        <w:tc>
          <w:tcPr>
            <w:tcW w:type="dxa" w:w="6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mix on 14 days, delivery on 8 vs 31, budget on 7, rates on 90</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I4</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placement_grain</w:t>
            </w:r>
          </w:p>
        </w:tc>
        <w:tc>
          <w:tcPr>
            <w:tcW w:type="dxa" w:w="6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mix and rates match the campaign placement report</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I5</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share_read</w:t>
            </w:r>
          </w:p>
        </w:tc>
        <w:tc>
          <w:tcPr>
            <w:tcW w:type="dxa" w:w="6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ranking row carries TOS impression share now and after the last step</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I6</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ceiling_present</w:t>
            </w:r>
          </w:p>
        </w:tc>
        <w:tc>
          <w:tcPr>
            <w:tcW w:type="dxa" w:w="6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TOS / ROS / PP ceilings with rate basis and sample</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P2</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bound_named</w:t>
            </w:r>
          </w:p>
        </w:tc>
        <w:tc>
          <w:tcPr>
            <w:tcW w:type="dxa" w:w="6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 bound from own CPC; binding bound is one of the five</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P1</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premium_properties</w:t>
            </w:r>
          </w:p>
        </w:tc>
        <w:tc>
          <w:tcPr>
            <w:tcW w:type="dxa" w:w="6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price above ceiling ⇒ Sized, Dated, Ceilinged, Predicted, Funded and four conditions all pass</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P3, P4</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combined_write</w:t>
            </w:r>
          </w:p>
        </w:tc>
        <w:tc>
          <w:tcPr>
            <w:tcW w:type="dxa" w:w="6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PP &gt; 20% and delivery &lt; 70% ⇒ base step and price step together</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P5</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step_sized</w:t>
            </w:r>
          </w:p>
        </w:tc>
        <w:tc>
          <w:tcPr>
            <w:tcW w:type="dxa" w:w="6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step matches the delivery-gap table (and halving rule)</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P6</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descent_named</w:t>
            </w:r>
          </w:p>
        </w:tc>
        <w:tc>
          <w:tcPr>
            <w:tcW w:type="dxa" w:w="6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every price cut lands on a named point; no cut on a push under 70% delivery</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P7</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base_on_thin</w:t>
            </w:r>
          </w:p>
        </w:tc>
        <w:tc>
          <w:tcPr>
            <w:tcW w:type="dxa" w:w="6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 base cut with &lt; 15 clicks in 14 days</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P8</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ros_switch</w:t>
            </w:r>
          </w:p>
        </w:tc>
        <w:tc>
          <w:tcPr>
            <w:tcW w:type="dxa" w:w="6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 ROS cut where ROS has earned its lift</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P9</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modifier_wall</w:t>
            </w:r>
          </w:p>
        </w:tc>
        <w:tc>
          <w:tcPr>
            <w:tcW w:type="dxa" w:w="6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modifier ≤ 900%; wall rows state the trade</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P10</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prices_line</w:t>
            </w:r>
          </w:p>
        </w:tc>
        <w:tc>
          <w:tcPr>
            <w:tcW w:type="dxa" w:w="6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two prices, multiple, cost and loss per order now and at destination</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P11</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requirement_honest</w:t>
            </w:r>
          </w:p>
        </w:tc>
        <w:tc>
          <w:tcPr>
            <w:tcW w:type="dxa" w:w="6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 floor-inflated requirement; reachability and shortfall printed</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P12, P14</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budget_evidence</w:t>
            </w:r>
          </w:p>
        </w:tc>
        <w:tc>
          <w:tcPr>
            <w:tcW w:type="dxa" w:w="6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raise ⇒ 7-day use ≥ 80%, enabled, in focus</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P13</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child_serving</w:t>
            </w:r>
          </w:p>
        </w:tc>
        <w:tc>
          <w:tcPr>
            <w:tcW w:type="dxa" w:w="6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advertised child = serving child, or a swap row/task exists; one child per size; no cross-size swap</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S1, S4</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stock_serving</w:t>
            </w:r>
          </w:p>
        </w:tc>
        <w:tc>
          <w:tcPr>
            <w:tcW w:type="dxa" w:w="6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cover read on the serving child including the run’s own builds</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S3, S5</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not_paused</w:t>
            </w:r>
          </w:p>
        </w:tc>
        <w:tc>
          <w:tcPr>
            <w:tcW w:type="dxa" w:w="6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 price/bid/budget write on a paused campaign</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T1</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plan_term_covered</w:t>
            </w:r>
          </w:p>
        </w:tc>
        <w:tc>
          <w:tcPr>
            <w:tcW w:type="dxa" w:w="6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every plan term has an enabled exact or a dated decision</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T2</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no_duplicate_build</w:t>
            </w:r>
          </w:p>
        </w:tc>
        <w:tc>
          <w:tcPr>
            <w:tcW w:type="dxa" w:w="6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 build on a term a paused exact carries</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T3</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no_parking</w:t>
            </w:r>
          </w:p>
        </w:tc>
        <w:tc>
          <w:tcPr>
            <w:tcW w:type="dxa" w:w="6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no “re-price or pause” rows</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T4</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retag_unpriced</w:t>
            </w:r>
          </w:p>
        </w:tc>
        <w:tc>
          <w:tcPr>
            <w:tcW w:type="dxa" w:w="6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no price move on a campaign re-tagged in the same run</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T5</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verdict_agrees</w:t>
            </w:r>
          </w:p>
        </w:tc>
        <w:tc>
          <w:tcPr>
            <w:tcW w:type="dxa" w:w="6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rationale HOLD ⇔ verdict hold; no no-op; no duplicate</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E1, E2</w:t>
            </w:r>
          </w:p>
        </w:tc>
      </w:tr>
      <w:tr>
        <w:trPr>
          <w:cantSplit/>
          <w:tblHeader w:val="false"/>
        </w:trPr>
        <w:tc>
          <w:tcPr>
            <w:tcW w:type="dxa" w:w="23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prediction_booked</w:t>
            </w:r>
          </w:p>
        </w:tc>
        <w:tc>
          <w:tcPr>
            <w:tcW w:type="dxa" w:w="6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prediction within the book’s interval; outcome = sum of enabled-row predictions</w:t>
            </w:r>
          </w:p>
        </w:tc>
        <w:tc>
          <w:tcPr>
            <w:tcW w:type="dxa" w:w="12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E3, E4</w:t>
            </w:r>
          </w:p>
        </w:tc>
      </w:tr>
      <w:tr>
        <w:trPr>
          <w:cantSplit/>
          <w:tblHeader w:val="false"/>
        </w:trPr>
        <w:tc>
          <w:tcPr>
            <w:tcW w:type="dxa" w:w="23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graded_first</w:t>
            </w:r>
          </w:p>
        </w:tc>
        <w:tc>
          <w:tcPr>
            <w:tcW w:type="dxa" w:w="6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lever changed in last 30 days ⇒ its grade cited</w:t>
            </w:r>
          </w:p>
        </w:tc>
        <w:tc>
          <w:tcPr>
            <w:tcW w:type="dxa" w:w="12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E5</w:t>
            </w:r>
          </w:p>
        </w:tc>
      </w:tr>
    </w:tbl>
    <w:p>
      <w:pPr>
        <w:spacing w:after="80"/>
      </w:pPr>
    </w:p>
    <w:p>
      <w:pPr>
        <w:pStyle w:val="Heading1"/>
      </w:pPr>
      <w:r>
        <w:rPr>
          <w:rFonts w:ascii="Calibri" w:cs="Calibri" w:eastAsia="Calibri" w:hAnsi="Calibri"/>
        </w:rPr>
        <w:t xml:space="preserve">9. Acceptance test for the next run</w:t>
      </w:r>
    </w:p>
    <w:p>
      <w:pPr>
        <w:spacing w:after="100"/>
      </w:pPr>
      <w:r>
        <w:rPr>
          <w:rFonts w:ascii="Calibri" w:cs="Calibri" w:eastAsia="Calibri" w:hAnsi="Calibri"/>
        </w:rPr>
        <w:t xml:space="preserve">Run the engine on B6 and SCS4 again and compare with the correction documents. The engine is fixed when:</w:t>
      </w:r>
    </w:p>
    <w:p>
      <w:pPr>
        <w:pStyle w:val="ListParagraph"/>
        <w:numPr>
          <w:ilvl w:val="0"/>
          <w:numId w:val="2"/>
        </w:numPr>
        <w:spacing w:after="60"/>
      </w:pPr>
      <w:r>
        <w:rPr>
          <w:rFonts w:ascii="Calibri" w:cs="Calibri" w:eastAsia="Calibri" w:hAnsi="Calibri"/>
        </w:rPr>
        <w:t xml:space="preserve">SCS4 prices Queen rows on $20.55 contribution and King rows on $26.53, and its Table 1 matches the SCS4 correction’s Table 1 to the cent.</w:t>
      </w:r>
    </w:p>
    <w:p>
      <w:pPr>
        <w:pStyle w:val="ListParagraph"/>
        <w:numPr>
          <w:ilvl w:val="0"/>
          <w:numId w:val="2"/>
        </w:numPr>
        <w:spacing w:after="60"/>
      </w:pPr>
      <w:r>
        <w:rPr>
          <w:rFonts w:ascii="Calibri" w:cs="Calibri" w:eastAsia="Calibri" w:hAnsi="Calibri"/>
        </w:rPr>
        <w:t xml:space="preserve">No SCS4 campaign is frozen on a single-day rank; “cal king cooling sheets” reads 5–5.5.</w:t>
      </w:r>
    </w:p>
    <w:p>
      <w:pPr>
        <w:pStyle w:val="ListParagraph"/>
        <w:numPr>
          <w:ilvl w:val="0"/>
          <w:numId w:val="2"/>
        </w:numPr>
        <w:spacing w:after="60"/>
      </w:pPr>
      <w:r>
        <w:rPr>
          <w:rFonts w:ascii="Calibri" w:cs="Calibri" w:eastAsia="Calibri" w:hAnsi="Calibri"/>
        </w:rPr>
        <w:t xml:space="preserve">SCS4 writes a combined write on “cooling sheets”, “cool sheets queen” and “cooling queen sheets”, and a price probe (not a hold) on the King head campaign at its requirement.</w:t>
      </w:r>
    </w:p>
    <w:p>
      <w:pPr>
        <w:pStyle w:val="ListParagraph"/>
        <w:numPr>
          <w:ilvl w:val="0"/>
          <w:numId w:val="2"/>
        </w:numPr>
        <w:spacing w:after="60"/>
      </w:pPr>
      <w:r>
        <w:rPr>
          <w:rFonts w:ascii="Calibri" w:cs="Calibri" w:eastAsia="Calibri" w:hAnsi="Calibri"/>
        </w:rPr>
        <w:t xml:space="preserve">SCS4 keeps budget raises only on “cooling sheets king” and “cool sheets king size”.</w:t>
      </w:r>
    </w:p>
    <w:p>
      <w:pPr>
        <w:pStyle w:val="ListParagraph"/>
        <w:numPr>
          <w:ilvl w:val="0"/>
          <w:numId w:val="2"/>
        </w:numPr>
        <w:spacing w:after="60"/>
      </w:pPr>
      <w:r>
        <w:rPr>
          <w:rFonts w:ascii="Calibri" w:cs="Calibri" w:eastAsia="Calibri" w:hAnsi="Calibri"/>
        </w:rPr>
        <w:t xml:space="preserve">Zero writes on paused campaigns; “cooling bed sheets” and “twin cooling sheets” appear as re-enable decisions.</w:t>
      </w:r>
    </w:p>
    <w:p>
      <w:pPr>
        <w:pStyle w:val="ListParagraph"/>
        <w:numPr>
          <w:ilvl w:val="0"/>
          <w:numId w:val="2"/>
        </w:numPr>
        <w:spacing w:after="60"/>
      </w:pPr>
      <w:r>
        <w:rPr>
          <w:rFonts w:ascii="Calibri" w:cs="Calibri" w:eastAsia="Calibri" w:hAnsi="Calibri"/>
        </w:rPr>
        <w:t xml:space="preserve">Every King swap is loaded or tasked, and no King price step loads before its swap.</w:t>
      </w:r>
    </w:p>
    <w:p>
      <w:pPr>
        <w:pStyle w:val="ListParagraph"/>
        <w:numPr>
          <w:ilvl w:val="0"/>
          <w:numId w:val="2"/>
        </w:numPr>
        <w:spacing w:after="60"/>
      </w:pPr>
      <w:r>
        <w:rPr>
          <w:rFonts w:ascii="Calibri" w:cs="Calibri" w:eastAsia="Calibri" w:hAnsi="Calibri"/>
        </w:rPr>
        <w:t xml:space="preserve">Zero rows export as changes whose text says HOLD, on either product.</w:t>
      </w:r>
    </w:p>
    <w:p>
      <w:pPr>
        <w:pStyle w:val="ListParagraph"/>
        <w:numPr>
          <w:ilvl w:val="0"/>
          <w:numId w:val="2"/>
        </w:numPr>
        <w:spacing w:after="60"/>
      </w:pPr>
      <w:r>
        <w:rPr>
          <w:rFonts w:ascii="Calibri" w:cs="Calibri" w:eastAsia="Calibri" w:hAnsi="Calibri"/>
        </w:rPr>
        <w:t xml:space="preserve">Both runs print an envelope, the requirement, what is reachable and the shortfall, and the traffic-vs-performance table.</w:t>
      </w:r>
    </w:p>
    <w:p>
      <w:pPr>
        <w:pStyle w:val="ListParagraph"/>
        <w:numPr>
          <w:ilvl w:val="0"/>
          <w:numId w:val="2"/>
        </w:numPr>
        <w:spacing w:after="60"/>
      </w:pPr>
      <w:r>
        <w:rPr>
          <w:rFonts w:ascii="Calibri" w:cs="Calibri" w:eastAsia="Calibri" w:hAnsi="Calibri"/>
        </w:rPr>
        <w:t xml:space="preserve">The Table 3 re-solve from the SCS4 correction reproduces within one cent of price on at least 90% of rows (differences explained by live-value drift).</w:t>
      </w:r>
    </w:p>
    <w:p>
      <w:pPr>
        <w:pStyle w:val="Heading1"/>
      </w:pPr>
      <w:r>
        <w:rPr>
          <w:rFonts w:ascii="Calibri" w:cs="Calibri" w:eastAsia="Calibri" w:hAnsi="Calibri"/>
        </w:rPr>
        <w:t xml:space="preserve">10. Order of work</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200"/>
        <w:gridCol w:w="5400"/>
        <w:gridCol w:w="2372"/>
      </w:tblGrid>
      <w:tr>
        <w:trPr>
          <w:cantSplit/>
          <w:tblHeader/>
        </w:trPr>
        <w:tc>
          <w:tcPr>
            <w:tcW w:type="dxa" w:w="22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When</w:t>
            </w:r>
          </w:p>
        </w:tc>
        <w:tc>
          <w:tcPr>
            <w:tcW w:type="dxa" w:w="54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Gaps</w:t>
            </w:r>
          </w:p>
        </w:tc>
        <w:tc>
          <w:tcPr>
            <w:tcW w:type="dxa" w:w="23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Owner</w:t>
            </w:r>
          </w:p>
        </w:tc>
      </w:tr>
      <w:tr>
        <w:trPr>
          <w:cantSplit/>
          <w:tblHeader w:val="false"/>
        </w:trPr>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Before the next run (P0)</w:t>
            </w:r>
          </w:p>
        </w:tc>
        <w:tc>
          <w:tcPr>
            <w:tcW w:type="dxa" w:w="5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I1, I2, I3, I6, P1, P2, P3, P5, P6, P7, P12, P13, P14, S1, S3, S4, S5, T1, T2, T4, E1, E3, E4, E5, R1</w:t>
            </w:r>
          </w:p>
        </w:tc>
        <w:tc>
          <w:tcPr>
            <w:tcW w:type="dxa" w:w="2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Engine (pricing, gates), data (contribution, ranks, share), ops (swap tasks until the loader has a roster)</w:t>
            </w:r>
          </w:p>
        </w:tc>
      </w:tr>
      <w:tr>
        <w:trPr>
          <w:cantSplit/>
          <w:tblHeader w:val="false"/>
        </w:trPr>
        <w:tc>
          <w:tcPr>
            <w:tcW w:type="dxa" w:w="22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Within two weeks (P1)</w:t>
            </w:r>
          </w:p>
        </w:tc>
        <w:tc>
          <w:tcPr>
            <w:tcW w:type="dxa" w:w="54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I4, I5, I7, I8, I9, I10, I11, P4, P8, P10, P11, S2, T3, T6, T7, E2, E6, R2, R3, R4</w:t>
            </w:r>
          </w:p>
        </w:tc>
        <w:tc>
          <w:tcPr>
            <w:tcW w:type="dxa" w:w="23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Engine, data (library, tracker, event log), review agent</w:t>
            </w:r>
          </w:p>
        </w:tc>
      </w:tr>
      <w:tr>
        <w:trPr>
          <w:cantSplit/>
          <w:tblHeader w:val="false"/>
        </w:trPr>
        <w:tc>
          <w:tcPr>
            <w:tcW w:type="dxa" w:w="22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Next cycle (P2)</w:t>
            </w:r>
          </w:p>
        </w:tc>
        <w:tc>
          <w:tcPr>
            <w:tcW w:type="dxa" w:w="54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P9, S6, T5, E7, R5</w:t>
            </w:r>
          </w:p>
        </w:tc>
        <w:tc>
          <w:tcPr>
            <w:tcW w:type="dxa" w:w="23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Engine, competitor data</w:t>
            </w:r>
          </w:p>
        </w:tc>
      </w:tr>
    </w:tbl>
    <w:p>
      <w:pPr>
        <w:spacing w:after="80"/>
      </w:pPr>
    </w:p>
    <w:p>
      <w:pPr>
        <w:spacing w:after="100"/>
      </w:pPr>
      <w:r>
        <w:rPr>
          <w:rFonts w:ascii="Calibri" w:cs="Calibri" w:eastAsia="Calibri" w:hAnsi="Calibri"/>
        </w:rPr>
        <w:t xml:space="preserve">Until the P0 fixes ship, every run is corrected by hand the way DBS6 and SCS4 were: re-solve the in-focus rows on the logic document, pull the rows in the “should not load” list, and file the child swaps by hand before any price step.</w:t>
      </w:r>
    </w:p>
    <w:p>
      <w:pPr>
        <w:pStyle w:val="Heading1"/>
      </w:pPr>
      <w:r>
        <w:rPr>
          <w:rFonts w:ascii="Calibri" w:cs="Calibri" w:eastAsia="Calibri" w:hAnsi="Calibri"/>
        </w:rPr>
        <w:t xml:space="preserve">Appendix — gaps against the logic document</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5000"/>
        <w:gridCol w:w="4972"/>
      </w:tblGrid>
      <w:tr>
        <w:trPr>
          <w:cantSplit/>
          <w:tblHeader/>
        </w:trPr>
        <w:tc>
          <w:tcPr>
            <w:tcW w:type="dxa" w:w="5000"/>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Logic document section</w:t>
            </w:r>
          </w:p>
        </w:tc>
        <w:tc>
          <w:tcPr>
            <w:tcW w:type="dxa" w:w="4972"/>
            <w:tcBorders>
              <w:top w:val="single" w:color="BFC7D1" w:sz="4"/>
              <w:left w:val="single" w:color="BFC7D1" w:sz="4"/>
              <w:bottom w:val="single" w:color="BFC7D1" w:sz="4"/>
              <w:right w:val="single" w:color="BFC7D1" w:sz="4"/>
            </w:tcBorders>
            <w:shd w:fill="1F3A5F" w:color="auto" w:val="clear"/>
            <w:tcMar>
              <w:top w:type="dxa" w:w="40"/>
              <w:left w:type="dxa" w:w="70"/>
              <w:bottom w:type="dxa" w:w="40"/>
              <w:right w:type="dxa" w:w="70"/>
            </w:tcMar>
          </w:tcPr>
          <w:p>
            <w:pPr>
              <w:spacing w:after="0" w:line="240"/>
            </w:pPr>
            <w:r>
              <w:rPr>
                <w:rFonts w:ascii="Calibri" w:cs="Calibri" w:eastAsia="Calibri" w:hAnsi="Calibri"/>
                <w:b/>
                <w:bCs/>
                <w:color w:val="FFFFFF"/>
                <w:sz w:val="16"/>
                <w:szCs w:val="16"/>
              </w:rPr>
              <w:t xml:space="preserve">Gaps</w:t>
            </w:r>
          </w:p>
        </w:tc>
      </w:tr>
      <w:tr>
        <w:trPr>
          <w:cantSplit/>
          <w:tblHeader w:val="false"/>
        </w:trPr>
        <w:tc>
          <w:tcPr>
            <w:tcW w:type="dxa" w:w="5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 One bid, three prices</w:t>
            </w:r>
          </w:p>
        </w:tc>
        <w:tc>
          <w:tcPr>
            <w:tcW w:type="dxa" w:w="4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P10, P11</w:t>
            </w:r>
          </w:p>
        </w:tc>
      </w:tr>
      <w:tr>
        <w:trPr>
          <w:cantSplit/>
          <w:tblHeader w:val="false"/>
        </w:trPr>
        <w:tc>
          <w:tcPr>
            <w:tcW w:type="dxa" w:w="5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§2 What each placement can afford (contribution)</w:t>
            </w:r>
          </w:p>
        </w:tc>
        <w:tc>
          <w:tcPr>
            <w:tcW w:type="dxa" w:w="4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I1</w:t>
            </w:r>
          </w:p>
        </w:tc>
      </w:tr>
      <w:tr>
        <w:trPr>
          <w:cantSplit/>
          <w:tblHeader w:val="false"/>
        </w:trPr>
        <w:tc>
          <w:tcPr>
            <w:tcW w:type="dxa" w:w="5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§3 Which conversion rate — earned, not assumed</w:t>
            </w:r>
          </w:p>
        </w:tc>
        <w:tc>
          <w:tcPr>
            <w:tcW w:type="dxa" w:w="4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P2, I5</w:t>
            </w:r>
          </w:p>
        </w:tc>
      </w:tr>
      <w:tr>
        <w:trPr>
          <w:cantSplit/>
          <w:tblHeader w:val="false"/>
        </w:trPr>
        <w:tc>
          <w:tcPr>
            <w:tcW w:type="dxa" w:w="5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§4 Two decisions, one calculation</w:t>
            </w:r>
          </w:p>
        </w:tc>
        <w:tc>
          <w:tcPr>
            <w:tcW w:type="dxa" w:w="4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P11</w:t>
            </w:r>
          </w:p>
        </w:tc>
      </w:tr>
      <w:tr>
        <w:trPr>
          <w:cantSplit/>
          <w:tblHeader w:val="false"/>
        </w:trPr>
        <w:tc>
          <w:tcPr>
            <w:tcW w:type="dxa" w:w="5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§5 State both prices; the 70/20 mix; clicks not impressions</w:t>
            </w:r>
          </w:p>
        </w:tc>
        <w:tc>
          <w:tcPr>
            <w:tcW w:type="dxa" w:w="4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P5, P11, R2</w:t>
            </w:r>
          </w:p>
        </w:tc>
      </w:tr>
      <w:tr>
        <w:trPr>
          <w:cantSplit/>
          <w:tblHeader w:val="false"/>
        </w:trPr>
        <w:tc>
          <w:tcPr>
            <w:tcW w:type="dxa" w:w="5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§6 How far above the ceiling — the gap, the conditions, the bounds</w:t>
            </w:r>
          </w:p>
        </w:tc>
        <w:tc>
          <w:tcPr>
            <w:tcW w:type="dxa" w:w="4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P1, P3, P4, P12, I6, R3</w:t>
            </w:r>
          </w:p>
        </w:tc>
      </w:tr>
      <w:tr>
        <w:trPr>
          <w:cantSplit/>
          <w:tblHeader w:val="false"/>
        </w:trPr>
        <w:tc>
          <w:tcPr>
            <w:tcW w:type="dxa" w:w="5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§7 How many clicks — daily units set the volume</w:t>
            </w:r>
          </w:p>
        </w:tc>
        <w:tc>
          <w:tcPr>
            <w:tcW w:type="dxa" w:w="4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P12, P14</w:t>
            </w:r>
          </w:p>
        </w:tc>
      </w:tr>
      <w:tr>
        <w:trPr>
          <w:cantSplit/>
          <w:tblHeader w:val="false"/>
        </w:trPr>
        <w:tc>
          <w:tcPr>
            <w:tcW w:type="dxa" w:w="5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§8 Above the ceiling — the five bounds; rest of search</w:t>
            </w:r>
          </w:p>
        </w:tc>
        <w:tc>
          <w:tcPr>
            <w:tcW w:type="dxa" w:w="4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P1, P9, P10</w:t>
            </w:r>
          </w:p>
        </w:tc>
      </w:tr>
      <w:tr>
        <w:trPr>
          <w:cantSplit/>
          <w:tblHeader w:val="false"/>
        </w:trPr>
        <w:tc>
          <w:tcPr>
            <w:tcW w:type="dxa" w:w="5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§9 The four kinds of write</w:t>
            </w:r>
          </w:p>
        </w:tc>
        <w:tc>
          <w:tcPr>
            <w:tcW w:type="dxa" w:w="4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P5, P7</w:t>
            </w:r>
          </w:p>
        </w:tc>
      </w:tr>
      <w:tr>
        <w:trPr>
          <w:cantSplit/>
          <w:tblHeader w:val="false"/>
        </w:trPr>
        <w:tc>
          <w:tcPr>
            <w:tcW w:type="dxa" w:w="5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§10 Step sizes, caps and the base floor</w:t>
            </w:r>
          </w:p>
        </w:tc>
        <w:tc>
          <w:tcPr>
            <w:tcW w:type="dxa" w:w="4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P6, P8, P10</w:t>
            </w:r>
          </w:p>
        </w:tc>
      </w:tr>
      <w:tr>
        <w:trPr>
          <w:cantSplit/>
          <w:tblHeader w:val="false"/>
        </w:trPr>
        <w:tc>
          <w:tcPr>
            <w:tcW w:type="dxa" w:w="5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§11 What a push must prove</w:t>
            </w:r>
          </w:p>
        </w:tc>
        <w:tc>
          <w:tcPr>
            <w:tcW w:type="dxa" w:w="4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P3, P14, E4</w:t>
            </w:r>
          </w:p>
        </w:tc>
      </w:tr>
      <w:tr>
        <w:trPr>
          <w:cantSplit/>
          <w:tblHeader w:val="false"/>
        </w:trPr>
        <w:tc>
          <w:tcPr>
            <w:tcW w:type="dxa" w:w="5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§12 Reading a campaign</w:t>
            </w:r>
          </w:p>
        </w:tc>
        <w:tc>
          <w:tcPr>
            <w:tcW w:type="dxa" w:w="4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P8, P13, T4, S1, R1</w:t>
            </w:r>
          </w:p>
        </w:tc>
      </w:tr>
      <w:tr>
        <w:trPr>
          <w:cantSplit/>
          <w:tblHeader w:val="false"/>
        </w:trPr>
        <w:tc>
          <w:tcPr>
            <w:tcW w:type="dxa" w:w="5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§13 Holding a won rank — the probe</w:t>
            </w:r>
          </w:p>
        </w:tc>
        <w:tc>
          <w:tcPr>
            <w:tcW w:type="dxa" w:w="4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P7, I2</w:t>
            </w:r>
          </w:p>
        </w:tc>
      </w:tr>
      <w:tr>
        <w:trPr>
          <w:cantSplit/>
          <w:tblHeader w:val="false"/>
        </w:trPr>
        <w:tc>
          <w:tcPr>
            <w:tcW w:type="dxa" w:w="5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§14 Before a push may be cut back</w:t>
            </w:r>
          </w:p>
        </w:tc>
        <w:tc>
          <w:tcPr>
            <w:tcW w:type="dxa" w:w="4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P7</w:t>
            </w:r>
          </w:p>
        </w:tc>
      </w:tr>
      <w:tr>
        <w:trPr>
          <w:cantSplit/>
          <w:tblHeader w:val="false"/>
        </w:trPr>
        <w:tc>
          <w:tcPr>
            <w:tcW w:type="dxa" w:w="5000"/>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§15 What we measure</w:t>
            </w:r>
          </w:p>
        </w:tc>
        <w:tc>
          <w:tcPr>
            <w:tcW w:type="dxa" w:w="4972"/>
            <w:tcBorders>
              <w:top w:val="single" w:color="BFC7D1" w:sz="4"/>
              <w:left w:val="single" w:color="BFC7D1" w:sz="4"/>
              <w:bottom w:val="single" w:color="BFC7D1" w:sz="4"/>
              <w:right w:val="single" w:color="BFC7D1" w:sz="4"/>
            </w:tcBorders>
            <w:tcMar>
              <w:top w:type="dxa" w:w="40"/>
              <w:left w:type="dxa" w:w="70"/>
              <w:bottom w:type="dxa" w:w="40"/>
              <w:right w:type="dxa" w:w="70"/>
            </w:tcMar>
          </w:tcPr>
          <w:p>
            <w:pPr>
              <w:spacing w:after="0" w:line="240"/>
            </w:pPr>
            <w:r>
              <w:rPr>
                <w:rFonts w:ascii="Calibri" w:cs="Calibri" w:eastAsia="Calibri" w:hAnsi="Calibri"/>
                <w:sz w:val="16"/>
                <w:szCs w:val="16"/>
              </w:rPr>
              <w:t xml:space="preserve">I6, E5, R2</w:t>
            </w:r>
          </w:p>
        </w:tc>
      </w:tr>
      <w:tr>
        <w:trPr>
          <w:cantSplit/>
          <w:tblHeader w:val="false"/>
        </w:trPr>
        <w:tc>
          <w:tcPr>
            <w:tcW w:type="dxa" w:w="5000"/>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§16 The four tables every plan carries</w:t>
            </w:r>
          </w:p>
        </w:tc>
        <w:tc>
          <w:tcPr>
            <w:tcW w:type="dxa" w:w="4972"/>
            <w:tcBorders>
              <w:top w:val="single" w:color="BFC7D1" w:sz="4"/>
              <w:left w:val="single" w:color="BFC7D1" w:sz="4"/>
              <w:bottom w:val="single" w:color="BFC7D1" w:sz="4"/>
              <w:right w:val="single" w:color="BFC7D1" w:sz="4"/>
            </w:tcBorders>
            <w:shd w:fill="F2F5F9" w:color="auto" w:val="clear"/>
            <w:tcMar>
              <w:top w:type="dxa" w:w="40"/>
              <w:left w:type="dxa" w:w="70"/>
              <w:bottom w:type="dxa" w:w="40"/>
              <w:right w:type="dxa" w:w="70"/>
            </w:tcMar>
          </w:tcPr>
          <w:p>
            <w:pPr>
              <w:spacing w:after="0" w:line="240"/>
            </w:pPr>
            <w:r>
              <w:rPr>
                <w:rFonts w:ascii="Calibri" w:cs="Calibri" w:eastAsia="Calibri" w:hAnsi="Calibri"/>
                <w:sz w:val="16"/>
                <w:szCs w:val="16"/>
              </w:rPr>
              <w:t xml:space="preserve">P2, I5, P12</w:t>
            </w:r>
          </w:p>
        </w:tc>
      </w:tr>
    </w:tbl>
    <w:p>
      <w:pPr>
        <w:spacing w:after="80"/>
      </w:pPr>
    </w:p>
    <w:sectPr>
      <w:footerReference w:type="default" r:id="rId7"/>
      <w:pgSz w:w="12240" w:h="15840" w:orient="portrait"/>
      <w:pgMar w:top="1020" w:right="1134" w:bottom="102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5"/>
        <w:szCs w:val="15"/>
      </w:rPr>
      <w:t xml:space="preserve">Audit engine improvements · 25 Sep 2026 · page </w:t>
    </w:r>
    <w:r>
      <w:rPr>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80" w:before="360"/>
      <w:outlineLvl w:val="0"/>
    </w:pPr>
    <w:rPr>
      <w:rFonts w:ascii="Calibri" w:cs="Calibri" w:eastAsia="Calibri" w:hAnsi="Calibri"/>
      <w:b/>
      <w:bCs/>
      <w:color w:val="1F3A5F"/>
      <w:sz w:val="32"/>
      <w:szCs w:val="32"/>
    </w:rPr>
  </w:style>
  <w:style w:type="paragraph" w:styleId="Heading2">
    <w:name w:val="Heading 2"/>
    <w:basedOn w:val="Normal"/>
    <w:next w:val="Normal"/>
    <w:qFormat/>
    <w:pPr>
      <w:keepNext/>
      <w:keepLines/>
      <w:spacing w:after="60" w:before="200"/>
      <w:outlineLvl w:val="1"/>
    </w:pPr>
    <w:rPr>
      <w:rFonts w:ascii="Calibri" w:cs="Calibri" w:eastAsia="Calibri" w:hAnsi="Calibri"/>
      <w:b/>
      <w:bCs/>
      <w:color w:val="1F3A5F"/>
      <w:sz w:val="26"/>
      <w:szCs w:val="26"/>
    </w:rPr>
  </w:style>
  <w:style w:type="paragraph" w:styleId="Heading3">
    <w:name w:val="Heading 3"/>
    <w:basedOn w:val="Normal"/>
    <w:next w:val="Normal"/>
    <w:qFormat/>
    <w:pPr>
      <w:keepNext/>
      <w:keepLines/>
      <w:spacing w:after="40" w:before="200"/>
      <w:outlineLvl w:val="2"/>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engine improvements</dc:title>
  <dc:creator>Claude Code</dc:creator>
  <cp:lastModifiedBy>Un-named</cp:lastModifiedBy>
  <cp:revision>1</cp:revision>
  <dcterms:created xsi:type="dcterms:W3CDTF">2026-09-25T04:29:22.506Z</dcterms:created>
  <dcterms:modified xsi:type="dcterms:W3CDTF">2026-09-25T04:29:22.520Z</dcterms:modified>
</cp:coreProperties>
</file>

<file path=docProps/custom.xml><?xml version="1.0" encoding="utf-8"?>
<Properties xmlns="http://schemas.openxmlformats.org/officeDocument/2006/custom-properties" xmlns:vt="http://schemas.openxmlformats.org/officeDocument/2006/docPropsVTypes"/>
</file>