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 · combines two independent reviews of the same audit</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records no deal, prices nothing for it, and its own review says no deal runs in the next two weeks.</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is in the separate campaign register. Where the register’s price for a push term differs, the push price in this document applies.</w:t>
      </w:r>
    </w:p>
    <w:p>
      <w:pPr>
        <w:spacing w:after="100"/>
      </w:pPr>
      <w:r>
        <w:t xml:space="preserve">The corrections:</w:t>
      </w:r>
    </w:p>
    <w:p>
      <w:pPr>
        <w:pStyle w:val="ListParagraph"/>
        <w:numPr>
          <w:ilvl w:val="0"/>
          <w:numId w:val="2"/>
        </w:numPr>
        <w:spacing w:after="60"/>
      </w:pPr>
      <w:r>
        <w:rPr>
          <w:b/>
          <w:bCs/>
        </w:rPr>
        <w:t xml:space="preserve">Push harder at top of search, on a tactical set of terms, with a costed plan. </w:t>
      </w:r>
      <w:r>
        <w:t xml:space="preserve">A competitor with 129 reviews, True Bamboo, climbed from about 110 to the top 5 on three of our main terms in about 9 days by holding the top ad slot. Our click-through and conversion already beat the market on these terms; what’s missing is volume at the top. Eight terms get a plan for clicks, orders and budget (Section 5.3). Fixed bidding, the base cut and the push price go in one write. Prices then step up daily until each term holds the top slot, never above twice break-even. The audit’s 18 jumps of 75% go.</w:t>
      </w:r>
    </w:p>
    <w:p>
      <w:pPr>
        <w:pStyle w:val="ListParagraph"/>
        <w:numPr>
          <w:ilvl w:val="0"/>
          <w:numId w:val="2"/>
        </w:numPr>
        <w:spacing w:after="60"/>
      </w:pPr>
      <w:r>
        <w:rPr>
          <w:b/>
          <w:bCs/>
        </w:rPr>
        <w:t xml:space="preserve">“bamboo sheets” is in the push. </w:t>
      </w:r>
      <w:r>
        <w:t xml:space="preserve">It is B6’s biggest term and qualifies. The audit marks it out of focus and contradicts itself on its price (Section 5.6).</w:t>
      </w:r>
    </w:p>
    <w:p>
      <w:pPr>
        <w:pStyle w:val="ListParagraph"/>
        <w:numPr>
          <w:ilvl w:val="0"/>
          <w:numId w:val="2"/>
        </w:numPr>
        <w:spacing w:after="60"/>
      </w:pPr>
      <w:r>
        <w:rPr>
          <w:b/>
          <w:bCs/>
        </w:rPr>
        <w:t xml:space="preserve">Break-even is lower than the audit thinks. </w:t>
      </w:r>
      <w:r>
        <w:t xml:space="preserve">The audit prices on $26.88 profit per unit (34.0% break-even ACoS). Sellerboard shows $18.81 across B6 before the deal and $18.18 at the deal price: 23.8% break-even ACoS. Each campaign is priced on its advertised colour’s own margin.</w:t>
      </w:r>
    </w:p>
    <w:p>
      <w:pPr>
        <w:pStyle w:val="ListParagraph"/>
        <w:numPr>
          <w:ilvl w:val="0"/>
          <w:numId w:val="2"/>
        </w:numPr>
        <w:spacing w:after="60"/>
      </w:pPr>
      <w:r>
        <w:rPr>
          <w:b/>
          <w:bCs/>
        </w:rPr>
        <w:t xml:space="preserve">Set goals for the run. </w:t>
      </w:r>
      <w:r>
        <w:t xml:space="preserve">The audit has no spend target, TACoS goal or product goal. Its forecast ($1,295 a day, 40% ACoS,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so deal-level spend comes down without losing the rank the deal bought (Section 4).</w:t>
      </w:r>
    </w:p>
    <w:p>
      <w:pPr>
        <w:pStyle w:val="ListParagraph"/>
        <w:numPr>
          <w:ilvl w:val="0"/>
          <w:numId w:val="2"/>
        </w:numPr>
        <w:spacing w:after="60"/>
      </w:pPr>
      <w:r>
        <w:rPr>
          <w:b/>
          <w:bCs/>
        </w:rPr>
        <w:t xml:space="preserve">Advertise the right colours. </w:t>
      </w:r>
      <w:r>
        <w:t xml:space="preserve">Keep Queen on White: the audit moves 75 Queen campaigns to Olive, the size’s seventh seller. Three switches move campaigns to a different size. 17 discovery campaigns advertise White instead of the size’s clearance colour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This includes:</w:t>
      </w:r>
    </w:p>
    <w:p>
      <w:pPr>
        <w:pStyle w:val="ListParagraph"/>
        <w:numPr>
          <w:ilvl w:val="0"/>
          <w:numId w:val="3"/>
        </w:numPr>
        <w:spacing w:after="60"/>
      </w:pPr>
      <w:r>
        <w:t xml:space="preserve">all 35 budget changes, which are blocked;</w:t>
      </w:r>
    </w:p>
    <w:p>
      <w:pPr>
        <w:pStyle w:val="ListParagraph"/>
        <w:numPr>
          <w:ilvl w:val="0"/>
          <w:numId w:val="3"/>
        </w:numPr>
        <w:spacing w:after="60"/>
      </w:pPr>
      <w:r>
        <w:t xml:space="preserve">all 88 colour switches, which skip on upload;</w:t>
      </w:r>
    </w:p>
    <w:p>
      <w:pPr>
        <w:pStyle w:val="ListParagraph"/>
        <w:numPr>
          <w:ilvl w:val="0"/>
          <w:numId w:val="3"/>
        </w:numPr>
        <w:spacing w:after="60"/>
      </w:pPr>
      <w:r>
        <w:t xml:space="preserve">18 rows the engine itself withholds;</w:t>
      </w:r>
    </w:p>
    <w:p>
      <w:pPr>
        <w:pStyle w:val="ListParagraph"/>
        <w:numPr>
          <w:ilvl w:val="0"/>
          <w:numId w:val="3"/>
        </w:numPr>
        <w:spacing w:after="60"/>
      </w:pPr>
      <w:r>
        <w:t xml:space="preserve">181 changes on campaigns missing from the audit’s own list;</w:t>
      </w:r>
    </w:p>
    <w:p>
      <w:pPr>
        <w:pStyle w:val="ListParagraph"/>
        <w:numPr>
          <w:ilvl w:val="0"/>
          <w:numId w:val="3"/>
        </w:numPr>
        <w:spacing w:after="60"/>
      </w:pPr>
      <w:r>
        <w:t xml:space="preserve">15 new campaigns that would launch mid-deal.</w:t>
      </w:r>
    </w:p>
    <w:p>
      <w:pPr>
        <w:spacing w:after="100"/>
      </w:pPr>
      <w:r>
        <w:t xml:space="preserve">The forecast is about ten times too high (Sections 12 and 14).</w:t>
      </w:r>
    </w:p>
    <w:p>
      <w:pPr>
        <w:spacing w:after="100"/>
      </w:pPr>
      <w:r>
        <w:rPr>
          <w:b/>
          <w:bCs/>
          <w:color w:val="1F3A5F"/>
        </w:rPr>
        <w:t xml:space="preserve">Decisions needed from you today: </w:t>
      </w:r>
      <w:r>
        <w:t xml:space="preserve">the goals for the deal days and after (Section 3), and the push budget for three weeks: about $1,200 a day at the full plan, or $750 adjusted for overlap between terms (Section 5.3).</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 fixed bidding</w:t>
            </w:r>
          </w:p>
        </w:tc>
        <w:tc>
          <w:tcPr>
            <w:tcW w:type="dxa" w:w="7372"/>
            <w:shd w:fill="F2F5F9" w:color="auto" w:val="clear"/>
            <w:tcMar>
              <w:top w:type="dxa" w:w="40"/>
              <w:left w:type="dxa" w:w="70"/>
              <w:bottom w:type="dxa" w:w="40"/>
              <w:right w:type="dxa" w:w="70"/>
            </w:tcMar>
          </w:tcPr>
          <w:p>
            <w:pPr>
              <w:spacing w:after="0"/>
            </w:pPr>
            <w:r>
              <w:rPr>
                <w:sz w:val="17"/>
                <w:szCs w:val="17"/>
              </w:rPr>
              <w:t xml:space="preserve">Down-only lets Amazon cut our bid when it thinks a click is less likely to sell, so the ad often loses the top slot. Fixed bidding bids exactly what we set. A push needs fixed bidding.</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top-of-search click becomes a sale. Above it, each ad sale loses money. Profit per unit comes from Sellerboard (27 August–25 September). It is $18.81 across B6 before the deal and $18.18 at the deal price (break-even ACoS 23.8%). Each campaign uses its advertised colour’s own margin, for example King White $15.97, Queen White $19.51, Full White $22.06, Queen Olive $12.43 and Queen Creme $22.51. The conversion rate is the size’s rate until a campaign has 15 top-of-search clicks, blends toward its own between 15 and 50, and is its own from 50. Each campaign’s figure is in the campaign register.</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steps up by at most 30% a day while the term isn’t holding the top slot.</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the size’s clearance colour: a colour that sells little and has a lot of stock (Section 6).</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Seller Central shows 98 deal units and $6,912 in the deal’s first days. In the 28 days before the deal, B6 sold 1,920 units for $152,565 with $10,968 of ad spend: about 7% TACoS (Sellerboard). Deal prices are about 20% below list: King White $72.24 (list $89.99), Queen White $67.99 ($84.99), Full White $59.49 ($74.99).</w:t>
      </w:r>
    </w:p>
    <w:p>
      <w:pPr>
        <w:spacing w:after="100"/>
      </w:pPr>
      <w:r>
        <w:t xml:space="preserve">The deal doubled orders and tripled ad spend, but it didn’t move the ads to the top. Product pages still took 52% of the clicks and top of search 33%, the same split as before the deal. Rank moved on some terms and fell on others:</w:t>
      </w:r>
    </w:p>
    <w:p>
      <w:pPr>
        <w:pStyle w:val="ListParagraph"/>
        <w:numPr>
          <w:ilvl w:val="0"/>
          <w:numId w:val="3"/>
        </w:numPr>
        <w:spacing w:after="60"/>
      </w:pPr>
      <w:r>
        <w:t xml:space="preserve">“bamboo sheets” went from 33 to 29 and “bamboo sheets queen size” from 25 to 21.</w:t>
      </w:r>
    </w:p>
    <w:p>
      <w:pPr>
        <w:pStyle w:val="ListParagraph"/>
        <w:numPr>
          <w:ilvl w:val="0"/>
          <w:numId w:val="3"/>
        </w:numPr>
        <w:spacing w:after="60"/>
      </w:pPr>
      <w:r>
        <w:t xml:space="preserve">“bamboo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4"/>
        </w:numPr>
        <w:spacing w:after="60"/>
      </w:pPr>
      <w:r>
        <w:rPr>
          <w:b/>
          <w:bCs/>
        </w:rPr>
        <w:t xml:space="preserve">Push a tactical set of terms at top of search, starting while the deal runs and building into Prime and Black Friday / Cyber Monday. </w:t>
      </w:r>
      <w:r>
        <w:t xml:space="preserve">Not hundreds of terms, and more than a few. Each push term gets a plan for top-of-search clicks, orders and budget a day, which is tuned weekly on results. A term qualifies when it meets four conditions: it beats the market at top of search on click-through and on conversion, it has 7 or more days of Available stock, and its keyword is live and serving. Where a term has barely been shown at the top, judge it on its overall conversion against the market until it has 15 top-of-search clicks. A term that doesn’t qualify runs at break-even until it does.</w:t>
      </w:r>
    </w:p>
    <w:p>
      <w:pPr>
        <w:pStyle w:val="ListParagraph"/>
        <w:numPr>
          <w:ilvl w:val="0"/>
          <w:numId w:val="4"/>
        </w:numPr>
        <w:spacing w:after="60"/>
      </w:pPr>
      <w:r>
        <w:rPr>
          <w:b/>
          <w:bCs/>
        </w:rPr>
        <w:t xml:space="preserve">A push price has limits. </w:t>
      </w:r>
      <w:r>
        <w:t xml:space="preserve">Start from break-even and add a premium for the rank gap: +25% when the current rank is within 1.5× the target, otherwise (current ÷ target − 1) × 50%. Step up by at most 30% a day until the term holds a top-3 sponsored position most hours and at least 30% of top-of-search impressions. Never pay more than twice break-even. If a term sits at that ceiling on fixed bidding and still can’t hold the top for 3 days, bring it to you: raise its ceiling for a set time, or swap the term.</w:t>
      </w:r>
    </w:p>
    <w:p>
      <w:pPr>
        <w:pStyle w:val="ListParagraph"/>
        <w:numPr>
          <w:ilvl w:val="0"/>
          <w:numId w:val="4"/>
        </w:numPr>
        <w:spacing w:after="60"/>
      </w:pPr>
      <w:r>
        <w:rPr>
          <w:b/>
          <w:bCs/>
        </w:rPr>
        <w:t xml:space="preserve">Fix the mix in the same write as the push. </w:t>
      </w:r>
      <w:r>
        <w:t xml:space="preserve">If more than 20% of clicks land on product pages, lower the base bid and raise the boost to reach the push price, in one write. Cut the base by at most 50% a step, or 25% where product pages bring orders. Push campaigns run on fixed bidding.</w:t>
      </w:r>
    </w:p>
    <w:p>
      <w:pPr>
        <w:pStyle w:val="ListParagraph"/>
        <w:numPr>
          <w:ilvl w:val="0"/>
          <w:numId w:val="4"/>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4"/>
        </w:numPr>
        <w:spacing w:after="60"/>
      </w:pPr>
      <w:r>
        <w:rPr>
          <w:b/>
          <w:bCs/>
        </w:rPr>
        <w:t xml:space="preserve">Break-even comes from real margin. </w:t>
      </w:r>
      <w:r>
        <w:t xml:space="preserve">Use Sellerboard profit before ads, after product cost, all Amazon fees, refunds and storage. During the deal, use the deal-price margin.</w:t>
      </w:r>
    </w:p>
    <w:p>
      <w:pPr>
        <w:pStyle w:val="ListParagraph"/>
        <w:numPr>
          <w:ilvl w:val="0"/>
          <w:numId w:val="4"/>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4"/>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A colour switch never changes the size. Discovery campaigns advertise the size’s clearance colour. Colour-named terms advertise their own colour.</w:t>
      </w:r>
    </w:p>
    <w:p>
      <w:pPr>
        <w:pStyle w:val="ListParagraph"/>
        <w:numPr>
          <w:ilvl w:val="0"/>
          <w:numId w:val="4"/>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4"/>
        </w:numPr>
        <w:spacing w:after="60"/>
      </w:pPr>
      <w:r>
        <w:rPr>
          <w:b/>
          <w:bCs/>
        </w:rPr>
        <w:t xml:space="preserve">Outside ranking, each campaign pays for itself. </w:t>
      </w:r>
      <w:r>
        <w:t xml:space="preserve">It is judged on its own ACoS over 30 days against 90, against the 23.8% break-even. Over break-even, the base comes down. Inside it, or under 15 clicks, nothing moves.</w:t>
      </w:r>
    </w:p>
    <w:p>
      <w:pPr>
        <w:pStyle w:val="ListParagraph"/>
        <w:numPr>
          <w:ilvl w:val="0"/>
          <w:numId w:val="4"/>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ACoS from 28% to 40% (against 23.8% break-even) and TACoS from 8.8% to 18.9%. It sizes its biggest jumps against a 25% TACoS ceiling. It never sets a goal for the run, so none of those numbers is checked against anything. Its review, after removing the rows it holds, puts spend at $1,164 a day and endorses the run.</w:t>
      </w:r>
    </w:p>
    <w:p>
      <w:pPr>
        <w:spacing w:after="100"/>
      </w:pPr>
      <w:r>
        <w:t xml:space="preserve">Its starting point is also wrong. The $462 a day comes from the 14 days to 27 September, which include three deal days (20, 26 and 27 September). Normal spend before the deal was about $283 a day, and TACoS was about 7%.</w:t>
      </w:r>
    </w:p>
    <w:p>
      <w:pPr>
        <w:spacing w:after="100"/>
      </w:pPr>
      <w:r>
        <w:rPr>
          <w:b/>
          <w:bCs/>
          <w:color w:val="1F3A5F"/>
        </w:rPr>
        <w:t xml:space="preserve">Correction: set these goals. </w:t>
      </w:r>
      <w:r>
        <w:t xml:space="preserve"/>
      </w:r>
    </w:p>
    <w:p>
      <w:pPr>
        <w:pStyle w:val="ListParagraph"/>
        <w:numPr>
          <w:ilvl w:val="0"/>
          <w:numId w:val="3"/>
        </w:numPr>
        <w:spacing w:after="60"/>
      </w:pPr>
      <w:r>
        <w:rPr>
          <w:b/>
          <w:bCs/>
        </w:rPr>
        <w:t xml:space="preserve">For the deal days (to 30 September): </w:t>
      </w:r>
      <w:r>
        <w:t xml:space="preserve">the push budget (Section 5.3) plus a spend limit for everything else. Deal spend is running at $924 a day.</w:t>
      </w:r>
    </w:p>
    <w:p>
      <w:pPr>
        <w:pStyle w:val="ListParagraph"/>
        <w:numPr>
          <w:ilvl w:val="0"/>
          <w:numId w:val="3"/>
        </w:numPr>
        <w:spacing w:after="60"/>
      </w:pPr>
      <w:r>
        <w:rPr>
          <w:b/>
          <w:bCs/>
        </w:rPr>
        <w:t xml:space="preserve">From 1 October: </w:t>
      </w:r>
      <w:r>
        <w:t xml:space="preserve">the push budget is a deliberate, time-boxed investment, approved for three weeks and reviewed weekly. Everything outside the push gets a TACoS goal well below the audit’s 25% (B6 ran at about 7% before the deal), and a daily spend limit set as a share of the last 7 days’ total sales.</w:t>
      </w:r>
    </w:p>
    <w:p>
      <w:pPr>
        <w:pStyle w:val="ListParagraph"/>
        <w:numPr>
          <w:ilvl w:val="0"/>
          <w:numId w:val="3"/>
        </w:numPr>
        <w:spacing w:after="60"/>
      </w:pPr>
      <w:r>
        <w:rPr>
          <w:b/>
          <w:bCs/>
        </w:rPr>
        <w:t xml:space="preserve">Product goal: </w:t>
      </w:r>
      <w:r>
        <w:t xml:space="preserve">top 10 on at least half of the push terms by 19 October, and on the rest by early November, ahead of Prime and Black Friday. True Bamboo moved from about 110 to the top 5 on three of these terms in 9 days, so this is achievable. Milestones:</w:t>
      </w:r>
    </w:p>
    <w:p>
      <w:pPr>
        <w:pStyle w:val="ListParagraph"/>
        <w:numPr>
          <w:ilvl w:val="0"/>
          <w:numId w:val="3"/>
        </w:numPr>
        <w:spacing w:after="60"/>
      </w:pPr>
      <w:r>
        <w:t xml:space="preserve">Hold what the deal bought: “bamboo sheets” 29, “bamboo sheets queen size” 21 and “bamboo cooling sheets” 20. “bamboo sheets queen size” gained 4 places in the deal but is still below where the audit’s own rank table had it a month ago (12), so it hasn’t recovered.</w:t>
      </w:r>
    </w:p>
    <w:p>
      <w:pPr>
        <w:pStyle w:val="ListParagraph"/>
        <w:numPr>
          <w:ilvl w:val="0"/>
          <w:numId w:val="3"/>
        </w:numPr>
        <w:spacing w:after="60"/>
      </w:pPr>
      <w:r>
        <w:t xml:space="preserve">Recover “bamboo sheets full” to 11 or better and “bamboo sheets queen” to 30 or better.</w:t>
      </w:r>
    </w:p>
    <w:p>
      <w:pPr>
        <w:pStyle w:val="ListParagraph"/>
        <w:numPr>
          <w:ilvl w:val="0"/>
          <w:numId w:val="3"/>
        </w:numPr>
        <w:spacing w:after="60"/>
      </w:pPr>
      <w:r>
        <w:t xml:space="preserve">Keep ad orders at 14 a day or more after the deal, the pre-deal level.</w:t>
      </w:r>
    </w:p>
    <w:p>
      <w:pPr>
        <w:pStyle w:val="ListParagraph"/>
        <w:numPr>
          <w:ilvl w:val="0"/>
          <w:numId w:val="3"/>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spacing w:after="100"/>
      </w:pPr>
      <w:r>
        <w:t xml:space="preserve">Changes land on 29 September at the earliest, so this is about one deal day of top-of-search sales at the push price. Deal data judges nothing, so it buys sales speed and rank, not a read.</w:t>
      </w:r>
    </w:p>
    <w:p>
      <w:pPr>
        <w:pStyle w:val="ListParagraph"/>
        <w:numPr>
          <w:ilvl w:val="0"/>
          <w:numId w:val="3"/>
        </w:numPr>
        <w:spacing w:after="60"/>
      </w:pPr>
      <w:r>
        <w:t xml:space="preserve">Switch the push campaigns to fixed bidding and cut their base bids in the same write, raising the boosts so the top-of-search price holds (Section 8). Fixed bidding removes Amazon’s down-only trim on product pages. A switch without the base cut would raise product-page cost for a few days on the campaigns that already leak there.</w:t>
      </w:r>
    </w:p>
    <w:p>
      <w:pPr>
        <w:pStyle w:val="ListParagraph"/>
        <w:numPr>
          <w:ilvl w:val="0"/>
          <w:numId w:val="3"/>
        </w:numPr>
        <w:spacing w:after="60"/>
      </w:pPr>
      <w:r>
        <w:t xml:space="preserve">Write each push term’s price from the plan (Section 5.3), in the same write as the base cut. Step it up by up to 30% a day until it holds the top slot, never above twice break-even. Terms outside the push move toward break-even.</w:t>
      </w:r>
    </w:p>
    <w:p>
      <w:pPr>
        <w:pStyle w:val="ListParagraph"/>
        <w:numPr>
          <w:ilvl w:val="0"/>
          <w:numId w:val="3"/>
        </w:numPr>
        <w:spacing w:after="60"/>
      </w:pPr>
      <w:r>
        <w:t xml:space="preserve">Restart the paused exact campaigns for focus terms, starting with “bamboo sheets full” (Section 7).</w:t>
      </w:r>
    </w:p>
    <w:p>
      <w:pPr>
        <w:pStyle w:val="ListParagraph"/>
        <w:numPr>
          <w:ilvl w:val="0"/>
          <w:numId w:val="3"/>
        </w:numPr>
        <w:spacing w:after="60"/>
      </w:pPr>
      <w:r>
        <w:t xml:space="preserve">Set the push campaigns’ budgets by hand to their required clicks at the push price, plus the product-page clicks they bring. The audit’s budget changes are all blocked.</w:t>
      </w:r>
    </w:p>
    <w:p>
      <w:pPr>
        <w:pStyle w:val="ListParagraph"/>
        <w:numPr>
          <w:ilvl w:val="0"/>
          <w:numId w:val="3"/>
        </w:numPr>
        <w:spacing w:after="60"/>
      </w:pPr>
      <w:r>
        <w:t xml:space="preserve">Keep every ranking ad on White: White is in the deal in every size. Hold the new campaigns and the retags until after the deal.</w:t>
      </w:r>
    </w:p>
    <w:p>
      <w:pPr>
        <w:pStyle w:val="Heading2"/>
      </w:pPr>
      <w:r>
        <w:t xml:space="preserve">Day 1 after the deal — 1 October</w:t>
      </w:r>
    </w:p>
    <w:p>
      <w:pPr>
        <w:pStyle w:val="ListParagraph"/>
        <w:numPr>
          <w:ilvl w:val="0"/>
          <w:numId w:val="3"/>
        </w:numPr>
        <w:spacing w:after="60"/>
      </w:pPr>
      <w:r>
        <w:t xml:space="preserve">Confirm the listing is back at its regular price and re-price on the full-price margin ($18.81).</w:t>
      </w:r>
    </w:p>
    <w:p>
      <w:pPr>
        <w:pStyle w:val="ListParagraph"/>
        <w:numPr>
          <w:ilvl w:val="0"/>
          <w:numId w:val="3"/>
        </w:numPr>
        <w:spacing w:after="60"/>
      </w:pPr>
      <w:r>
        <w:rPr>
          <w:b/>
          <w:bCs/>
        </w:rPr>
        <w:t xml:space="preserve">Bring spend outside the push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3"/>
        </w:numPr>
        <w:spacing w:after="60"/>
      </w:pPr>
      <w:r>
        <w:t xml:space="preserve">The push on qualifying terms continues. The focus terms must not see a gap between deal traffic ending and the push carrying on.</w:t>
      </w:r>
    </w:p>
    <w:p>
      <w:pPr>
        <w:pStyle w:val="Heading2"/>
      </w:pPr>
      <w:r>
        <w:t xml:space="preserve">1 to 7 October — watch, don’t judge</w:t>
      </w:r>
    </w:p>
    <w:p>
      <w:pPr>
        <w:pStyle w:val="ListParagraph"/>
        <w:numPr>
          <w:ilvl w:val="0"/>
          <w:numId w:val="3"/>
        </w:numPr>
        <w:spacing w:after="60"/>
      </w:pPr>
      <w:r>
        <w:t xml:space="preserve">Sales from deal clicks keep arriving until about 7 October, so no ACoS or conversion from these days judges a campaign.</w:t>
      </w:r>
    </w:p>
    <w:p>
      <w:pPr>
        <w:pStyle w:val="ListParagraph"/>
        <w:numPr>
          <w:ilvl w:val="0"/>
          <w:numId w:val="3"/>
        </w:numPr>
        <w:spacing w:after="60"/>
      </w:pPr>
      <w:r>
        <w:rPr>
          <w:b/>
          <w:bCs/>
        </w:rPr>
        <w:t xml:space="preserve">Check daily: </w:t>
      </w:r>
      <w:r>
        <w:t xml:space="preserve">spend against the limit; ad orders against 14 a day; top-of-search share on the push campaigns; rank on the head terms; and Available stock on Full White (62 units, 26–36 days) and Queen White (323 units, 47–58 days).</w:t>
      </w:r>
    </w:p>
    <w:p>
      <w:pPr>
        <w:pStyle w:val="ListParagraph"/>
        <w:numPr>
          <w:ilvl w:val="0"/>
          <w:numId w:val="3"/>
        </w:numPr>
        <w:spacing w:after="60"/>
      </w:pPr>
      <w:r>
        <w:t xml:space="preserve">If a head term falls more than 10 places, find the cause before touching price (Section 13).</w:t>
      </w:r>
    </w:p>
    <w:p>
      <w:pPr>
        <w:pStyle w:val="Heading2"/>
      </w:pPr>
      <w:r>
        <w:t xml:space="preserve">8 to 14 October — first clean read</w:t>
      </w:r>
    </w:p>
    <w:p>
      <w:pPr>
        <w:pStyle w:val="ListParagraph"/>
        <w:numPr>
          <w:ilvl w:val="0"/>
          <w:numId w:val="3"/>
        </w:numPr>
        <w:spacing w:after="60"/>
      </w:pPr>
      <w:r>
        <w:t xml:space="preserve">Re-run break-even on seven normal days of conversion.</w:t>
      </w:r>
    </w:p>
    <w:p>
      <w:pPr>
        <w:pStyle w:val="ListParagraph"/>
        <w:numPr>
          <w:ilvl w:val="0"/>
          <w:numId w:val="3"/>
        </w:numPr>
        <w:spacing w:after="60"/>
      </w:pPr>
      <w:r>
        <w:t xml:space="preserve">Tune the push weekly (5, 12 and 19 October). Keep funding the terms whose organic rank is moving. For a term that held the top slot for a week without moving, check the listing against True Bamboo (main image, price, reviews), stock and conversion before spending more, and swap it if there is no fix. Stop a term whose top-of-search conversion falls below the market on 50+ clicks.</w:t>
      </w:r>
    </w:p>
    <w:p>
      <w:pPr>
        <w:pStyle w:val="Heading2"/>
      </w:pPr>
      <w:r>
        <w:t xml:space="preserve">Into Prime and Black Friday</w:t>
      </w:r>
    </w:p>
    <w:p>
      <w:pPr>
        <w:pStyle w:val="ListParagraph"/>
        <w:numPr>
          <w:ilvl w:val="0"/>
          <w:numId w:val="3"/>
        </w:numPr>
        <w:spacing w:after="60"/>
      </w:pPr>
      <w:r>
        <w:t xml:space="preserve">At least three weeks before each event, size its push per term (price, clicks, budget) and check that stock covers it. After each event, repeat Day 1 and Week 1.</w:t>
      </w:r>
    </w:p>
    <w:p>
      <w:pPr>
        <w:pStyle w:val="ListParagraph"/>
        <w:numPr>
          <w:ilvl w:val="0"/>
          <w:numId w:val="3"/>
        </w:numPr>
        <w:spacing w:after="60"/>
      </w:pPr>
      <w:r>
        <w:t xml:space="preserve">Queen White’s next 1,002 units land about 30 October, in time for the Black Friday / Cyber Monday push (27–30 November).</w:t>
      </w:r>
    </w:p>
    <w:p>
      <w:pPr>
        <w:pStyle w:val="Heading1"/>
      </w:pPr>
      <w:r>
        <w:t xml:space="preserve">5. Ranking prices: push the qualifying terms at top of search now</w:t>
      </w:r>
    </w:p>
    <w:p>
      <w:pPr>
        <w:pStyle w:val="Heading2"/>
      </w:pPr>
      <w:r>
        <w:t xml:space="preserve">5.1 What the audit does wrong</w:t>
      </w:r>
    </w:p>
    <w:p>
      <w:pPr>
        <w:pStyle w:val="ListParagraph"/>
        <w:numPr>
          <w:ilvl w:val="0"/>
          <w:numId w:val="3"/>
        </w:numPr>
        <w:spacing w:after="60"/>
      </w:pPr>
      <w:r>
        <w:t xml:space="preserve">It doesn’t know the deal is running, so no price is set on the deal margin and nothing is timed to the deal’s last days.</w:t>
      </w:r>
    </w:p>
    <w:p>
      <w:pPr>
        <w:pStyle w:val="ListParagraph"/>
        <w:numPr>
          <w:ilvl w:val="0"/>
          <w:numId w:val="3"/>
        </w:numPr>
        <w:spacing w:after="60"/>
      </w:pPr>
      <w:r>
        <w:t xml:space="preserve">It raises top-of-search prices without the push limits. 148 of 244 ranking campaigns already pay above break-even at the top, and the audit raises 61 more, 55 of them to a price above break-even.</w:t>
      </w:r>
    </w:p>
    <w:p>
      <w:pPr>
        <w:pStyle w:val="ListParagraph"/>
        <w:numPr>
          <w:ilvl w:val="0"/>
          <w:numId w:val="3"/>
        </w:numPr>
        <w:spacing w:after="60"/>
      </w:pPr>
      <w:r>
        <w:t xml:space="preserve">It gives 18 campaigns a 75% price jump in one step, several of them to $10–15 a click. Example: Full Size Bamboo Sheets goes from $8.43 to $14.77. That campaign ran at 111% ACoS over the last 30 days, and the audit’s own notes say it already loses $34.73 per order. The row contradicts itself: its notes say today’s $8.43 already needs a person to approve, and its fallback still describes a price cut. The notes put the odds of these jumps working at 20–41%.</w:t>
      </w:r>
    </w:p>
    <w:p>
      <w:pPr>
        <w:pStyle w:val="ListParagraph"/>
        <w:numPr>
          <w:ilvl w:val="0"/>
          <w:numId w:val="3"/>
        </w:numPr>
        <w:spacing w:after="60"/>
      </w:pPr>
      <w:r>
        <w:t xml:space="preserve">It raises prices on campaigns that barely show at the top. Bamboo Cooling Sheets (MSV), a focus campaign, took 6% of its clicks at the top and 91% on product pages in 30 days. When the ad isn’t competing at the top, a higher boost buys nothing.</w:t>
      </w:r>
    </w:p>
    <w:p>
      <w:pPr>
        <w:pStyle w:val="ListParagraph"/>
        <w:numPr>
          <w:ilvl w:val="0"/>
          <w:numId w:val="3"/>
        </w:numPr>
        <w:spacing w:after="60"/>
      </w:pPr>
      <w:r>
        <w:t xml:space="preserve">On one focus campaign it raises the base bid with the price: Bamboo Sheets King Size goes from $0.50 to $1.40 (+180%). That nearly triples what it pays on product pages as well.</w:t>
      </w:r>
    </w:p>
    <w:p>
      <w:pPr>
        <w:pStyle w:val="ListParagraph"/>
        <w:numPr>
          <w:ilvl w:val="0"/>
          <w:numId w:val="3"/>
        </w:numPr>
        <w:spacing w:after="60"/>
      </w:pPr>
      <w:r>
        <w:t xml:space="preserve">It leaves every push campaign on down-only bidding.</w:t>
      </w:r>
    </w:p>
    <w:p>
      <w:pPr>
        <w:pStyle w:val="ListParagraph"/>
        <w:numPr>
          <w:ilvl w:val="0"/>
          <w:numId w:val="3"/>
        </w:numPr>
        <w:spacing w:after="60"/>
      </w:pPr>
      <w:r>
        <w:t xml:space="preserve">It contradicts itself on “bamboo sheets”, the biggest term that qualifies (Section 5.6).</w:t>
      </w:r>
    </w:p>
    <w:p>
      <w:pPr>
        <w:pStyle w:val="Heading2"/>
      </w:pPr>
      <w:r>
        <w:t xml:space="preserve">5.2 What a competitor shows is possible</w:t>
      </w:r>
    </w:p>
    <w:p>
      <w:pPr>
        <w:spacing w:after="100"/>
      </w:pPr>
      <w:r>
        <w:t xml:space="preserve">True Bamboo’s 6-piece (B0HD7R5L1D: $89.99, 4.6 stars, 129 reviews) came back after months out of stock. It reached the top 5 on several of our main terms within days: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3200"/>
        <w:gridCol w:w="2572"/>
      </w:tblGrid>
      <w:tr>
        <w:trPr>
          <w:tblHeader/>
        </w:trPr>
        <w:tc>
          <w:tcPr>
            <w:tcW w:type="dxa" w:w="27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Keyword sales, last 4 weeks</w:t>
            </w:r>
          </w:p>
        </w:tc>
        <w:tc>
          <w:tcPr>
            <w:tcW w:type="dxa" w:w="3200"/>
            <w:shd w:fill="1F3A5F" w:color="auto" w:val="clear"/>
            <w:tcMar>
              <w:top w:type="dxa" w:w="40"/>
              <w:left w:type="dxa" w:w="70"/>
              <w:bottom w:type="dxa" w:w="40"/>
              <w:right w:type="dxa" w:w="70"/>
            </w:tcMar>
          </w:tcPr>
          <w:p>
            <w:pPr>
              <w:spacing w:after="0"/>
            </w:pPr>
            <w:r>
              <w:rPr>
                <w:b/>
                <w:bCs/>
                <w:color w:val="FFFFFF"/>
                <w:sz w:val="17"/>
                <w:szCs w:val="17"/>
              </w:rPr>
              <w:t xml:space="preserve">True Bamboo rank: 4 Sep → 18 Sep → 27 Sep</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B6 rank, 28 Sep</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500"/>
            <w:shd w:fill="FFFFFF" w:color="auto" w:val="clear"/>
            <w:tcMar>
              <w:top w:type="dxa" w:w="40"/>
              <w:left w:type="dxa" w:w="70"/>
              <w:bottom w:type="dxa" w:w="40"/>
              <w:right w:type="dxa" w:w="70"/>
            </w:tcMar>
          </w:tcPr>
          <w:p>
            <w:pPr>
              <w:spacing w:after="0"/>
            </w:pPr>
            <w:r>
              <w:rPr>
                <w:sz w:val="17"/>
                <w:szCs w:val="17"/>
              </w:rPr>
              <w:t xml:space="preserve">7,476</w:t>
            </w:r>
          </w:p>
        </w:tc>
        <w:tc>
          <w:tcPr>
            <w:tcW w:type="dxa" w:w="3200"/>
            <w:shd w:fill="FFFFFF" w:color="auto" w:val="clear"/>
            <w:tcMar>
              <w:top w:type="dxa" w:w="40"/>
              <w:left w:type="dxa" w:w="70"/>
              <w:bottom w:type="dxa" w:w="40"/>
              <w:right w:type="dxa" w:w="70"/>
            </w:tcMar>
          </w:tcPr>
          <w:p>
            <w:pPr>
              <w:spacing w:after="0"/>
            </w:pPr>
            <w:r>
              <w:rPr>
                <w:sz w:val="17"/>
                <w:szCs w:val="17"/>
              </w:rPr>
              <w:t xml:space="preserve">48 → 109 → 24</w:t>
            </w:r>
          </w:p>
        </w:tc>
        <w:tc>
          <w:tcPr>
            <w:tcW w:type="dxa" w:w="2572"/>
            <w:shd w:fill="FFFFFF" w:color="auto" w:val="clear"/>
            <w:tcMar>
              <w:top w:type="dxa" w:w="40"/>
              <w:left w:type="dxa" w:w="70"/>
              <w:bottom w:type="dxa" w:w="40"/>
              <w:right w:type="dxa" w:w="70"/>
            </w:tcMar>
          </w:tcPr>
          <w:p>
            <w:pPr>
              <w:spacing w:after="0"/>
            </w:pPr>
            <w:r>
              <w:rPr>
                <w:sz w:val="17"/>
                <w:szCs w:val="17"/>
              </w:rPr>
              <w:t xml:space="preserve">29</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500"/>
            <w:shd w:fill="F2F5F9" w:color="auto" w:val="clear"/>
            <w:tcMar>
              <w:top w:type="dxa" w:w="40"/>
              <w:left w:type="dxa" w:w="70"/>
              <w:bottom w:type="dxa" w:w="40"/>
              <w:right w:type="dxa" w:w="70"/>
            </w:tcMar>
          </w:tcPr>
          <w:p>
            <w:pPr>
              <w:spacing w:after="0"/>
            </w:pPr>
            <w:r>
              <w:rPr>
                <w:sz w:val="17"/>
                <w:szCs w:val="17"/>
              </w:rPr>
              <w:t xml:space="preserve">2,583</w:t>
            </w:r>
          </w:p>
        </w:tc>
        <w:tc>
          <w:tcPr>
            <w:tcW w:type="dxa" w:w="3200"/>
            <w:shd w:fill="F2F5F9" w:color="auto" w:val="clear"/>
            <w:tcMar>
              <w:top w:type="dxa" w:w="40"/>
              <w:left w:type="dxa" w:w="70"/>
              <w:bottom w:type="dxa" w:w="40"/>
              <w:right w:type="dxa" w:w="70"/>
            </w:tcMar>
          </w:tcPr>
          <w:p>
            <w:pPr>
              <w:spacing w:after="0"/>
            </w:pPr>
            <w:r>
              <w:rPr>
                <w:sz w:val="17"/>
                <w:szCs w:val="17"/>
              </w:rPr>
              <w:t xml:space="preserve">114 → 33 → 3</w:t>
            </w:r>
          </w:p>
        </w:tc>
        <w:tc>
          <w:tcPr>
            <w:tcW w:type="dxa" w:w="2572"/>
            <w:shd w:fill="F2F5F9" w:color="auto" w:val="clear"/>
            <w:tcMar>
              <w:top w:type="dxa" w:w="40"/>
              <w:left w:type="dxa" w:w="70"/>
              <w:bottom w:type="dxa" w:w="40"/>
              <w:right w:type="dxa" w:w="70"/>
            </w:tcMar>
          </w:tcPr>
          <w:p>
            <w:pPr>
              <w:spacing w:after="0"/>
            </w:pPr>
            <w:r>
              <w:rPr>
                <w:sz w:val="17"/>
                <w:szCs w:val="17"/>
              </w:rPr>
              <w:t xml:space="preserve">21</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queen</w:t>
            </w:r>
          </w:p>
        </w:tc>
        <w:tc>
          <w:tcPr>
            <w:tcW w:type="dxa" w:w="1500"/>
            <w:shd w:fill="FFFFFF" w:color="auto" w:val="clear"/>
            <w:tcMar>
              <w:top w:type="dxa" w:w="40"/>
              <w:left w:type="dxa" w:w="70"/>
              <w:bottom w:type="dxa" w:w="40"/>
              <w:right w:type="dxa" w:w="70"/>
            </w:tcMar>
          </w:tcPr>
          <w:p>
            <w:pPr>
              <w:spacing w:after="0"/>
            </w:pPr>
            <w:r>
              <w:rPr>
                <w:sz w:val="17"/>
                <w:szCs w:val="17"/>
              </w:rPr>
              <w:t xml:space="preserve">2,277</w:t>
            </w:r>
          </w:p>
        </w:tc>
        <w:tc>
          <w:tcPr>
            <w:tcW w:type="dxa" w:w="3200"/>
            <w:shd w:fill="FFFFFF" w:color="auto" w:val="clear"/>
            <w:tcMar>
              <w:top w:type="dxa" w:w="40"/>
              <w:left w:type="dxa" w:w="70"/>
              <w:bottom w:type="dxa" w:w="40"/>
              <w:right w:type="dxa" w:w="70"/>
            </w:tcMar>
          </w:tcPr>
          <w:p>
            <w:pPr>
              <w:spacing w:after="0"/>
            </w:pPr>
            <w:r>
              <w:rPr>
                <w:sz w:val="17"/>
                <w:szCs w:val="17"/>
              </w:rPr>
              <w:t xml:space="preserve">131 (9 Sep) → — → 19</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king size</w:t>
            </w:r>
          </w:p>
        </w:tc>
        <w:tc>
          <w:tcPr>
            <w:tcW w:type="dxa" w:w="1500"/>
            <w:shd w:fill="F2F5F9" w:color="auto" w:val="clear"/>
            <w:tcMar>
              <w:top w:type="dxa" w:w="40"/>
              <w:left w:type="dxa" w:w="70"/>
              <w:bottom w:type="dxa" w:w="40"/>
              <w:right w:type="dxa" w:w="70"/>
            </w:tcMar>
          </w:tcPr>
          <w:p>
            <w:pPr>
              <w:spacing w:after="0"/>
            </w:pPr>
            <w:r>
              <w:rPr>
                <w:sz w:val="17"/>
                <w:szCs w:val="17"/>
              </w:rPr>
              <w:t xml:space="preserve">1,502</w:t>
            </w:r>
          </w:p>
        </w:tc>
        <w:tc>
          <w:tcPr>
            <w:tcW w:type="dxa" w:w="3200"/>
            <w:shd w:fill="F2F5F9" w:color="auto" w:val="clear"/>
            <w:tcMar>
              <w:top w:type="dxa" w:w="40"/>
              <w:left w:type="dxa" w:w="70"/>
              <w:bottom w:type="dxa" w:w="40"/>
              <w:right w:type="dxa" w:w="70"/>
            </w:tcMar>
          </w:tcPr>
          <w:p>
            <w:pPr>
              <w:spacing w:after="0"/>
            </w:pPr>
            <w:r>
              <w:rPr>
                <w:sz w:val="17"/>
                <w:szCs w:val="17"/>
              </w:rPr>
              <w:t xml:space="preserve">117 → 113 → 5</w:t>
            </w:r>
          </w:p>
        </w:tc>
        <w:tc>
          <w:tcPr>
            <w:tcW w:type="dxa" w:w="2572"/>
            <w:shd w:fill="F2F5F9" w:color="auto" w:val="clear"/>
            <w:tcMar>
              <w:top w:type="dxa" w:w="40"/>
              <w:left w:type="dxa" w:w="70"/>
              <w:bottom w:type="dxa" w:w="40"/>
              <w:right w:type="dxa" w:w="70"/>
            </w:tcMar>
          </w:tcPr>
          <w:p>
            <w:pPr>
              <w:spacing w:after="0"/>
            </w:pPr>
            <w:r>
              <w:rPr>
                <w:sz w:val="17"/>
                <w:szCs w:val="17"/>
              </w:rPr>
              <w:t xml:space="preserve">27</w:t>
            </w:r>
          </w:p>
        </w:tc>
      </w:tr>
      <w:tr>
        <w:tc>
          <w:tcPr>
            <w:tcW w:type="dxa" w:w="2700"/>
            <w:shd w:fill="FFFFFF" w:color="auto" w:val="clear"/>
            <w:tcMar>
              <w:top w:type="dxa" w:w="40"/>
              <w:left w:type="dxa" w:w="70"/>
              <w:bottom w:type="dxa" w:w="40"/>
              <w:right w:type="dxa" w:w="70"/>
            </w:tcMar>
          </w:tcPr>
          <w:p>
            <w:pPr>
              <w:spacing w:after="0"/>
            </w:pPr>
            <w:r>
              <w:rPr>
                <w:sz w:val="17"/>
                <w:szCs w:val="17"/>
              </w:rPr>
              <w:t xml:space="preserve">cooling sheets king size</w:t>
            </w:r>
          </w:p>
        </w:tc>
        <w:tc>
          <w:tcPr>
            <w:tcW w:type="dxa" w:w="1500"/>
            <w:shd w:fill="FFFFFF" w:color="auto" w:val="clear"/>
            <w:tcMar>
              <w:top w:type="dxa" w:w="40"/>
              <w:left w:type="dxa" w:w="70"/>
              <w:bottom w:type="dxa" w:w="40"/>
              <w:right w:type="dxa" w:w="70"/>
            </w:tcMar>
          </w:tcPr>
          <w:p>
            <w:pPr>
              <w:spacing w:after="0"/>
            </w:pPr>
            <w:r>
              <w:rPr>
                <w:sz w:val="17"/>
                <w:szCs w:val="17"/>
              </w:rPr>
              <w:t xml:space="preserve">1,468</w:t>
            </w:r>
          </w:p>
        </w:tc>
        <w:tc>
          <w:tcPr>
            <w:tcW w:type="dxa" w:w="3200"/>
            <w:shd w:fill="FFFFFF" w:color="auto" w:val="clear"/>
            <w:tcMar>
              <w:top w:type="dxa" w:w="40"/>
              <w:left w:type="dxa" w:w="70"/>
              <w:bottom w:type="dxa" w:w="40"/>
              <w:right w:type="dxa" w:w="70"/>
            </w:tcMar>
          </w:tcPr>
          <w:p>
            <w:pPr>
              <w:spacing w:after="0"/>
            </w:pPr>
            <w:r>
              <w:rPr>
                <w:sz w:val="17"/>
                <w:szCs w:val="17"/>
              </w:rPr>
              <w:t xml:space="preserve">— → 114 → 14</w:t>
            </w:r>
          </w:p>
        </w:tc>
        <w:tc>
          <w:tcPr>
            <w:tcW w:type="dxa" w:w="2572"/>
            <w:shd w:fill="FFFFFF" w:color="auto" w:val="clear"/>
            <w:tcMar>
              <w:top w:type="dxa" w:w="40"/>
              <w:left w:type="dxa" w:w="70"/>
              <w:bottom w:type="dxa" w:w="40"/>
              <w:right w:type="dxa" w:w="70"/>
            </w:tcMar>
          </w:tcPr>
          <w:p>
            <w:pPr>
              <w:spacing w:after="0"/>
            </w:pPr>
            <w:r>
              <w:rPr>
                <w:sz w:val="17"/>
                <w:szCs w:val="17"/>
              </w:rPr>
              <w:t xml:space="preserve">not tracked</w:t>
            </w:r>
          </w:p>
        </w:tc>
      </w:tr>
      <w:tr>
        <w:tc>
          <w:tcPr>
            <w:tcW w:type="dxa" w:w="27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500"/>
            <w:shd w:fill="F2F5F9" w:color="auto" w:val="clear"/>
            <w:tcMar>
              <w:top w:type="dxa" w:w="40"/>
              <w:left w:type="dxa" w:w="70"/>
              <w:bottom w:type="dxa" w:w="40"/>
              <w:right w:type="dxa" w:w="70"/>
            </w:tcMar>
          </w:tcPr>
          <w:p>
            <w:pPr>
              <w:spacing w:after="0"/>
            </w:pPr>
            <w:r>
              <w:rPr>
                <w:sz w:val="17"/>
                <w:szCs w:val="17"/>
              </w:rPr>
              <w:t xml:space="preserve">496</w:t>
            </w:r>
          </w:p>
        </w:tc>
        <w:tc>
          <w:tcPr>
            <w:tcW w:type="dxa" w:w="3200"/>
            <w:shd w:fill="F2F5F9" w:color="auto" w:val="clear"/>
            <w:tcMar>
              <w:top w:type="dxa" w:w="40"/>
              <w:left w:type="dxa" w:w="70"/>
              <w:bottom w:type="dxa" w:w="40"/>
              <w:right w:type="dxa" w:w="70"/>
            </w:tcMar>
          </w:tcPr>
          <w:p>
            <w:pPr>
              <w:spacing w:after="0"/>
            </w:pPr>
            <w:r>
              <w:rPr>
                <w:sz w:val="17"/>
                <w:szCs w:val="17"/>
              </w:rPr>
              <w:t xml:space="preserve">127 (7 Sep) → 43 → 13</w:t>
            </w:r>
          </w:p>
        </w:tc>
        <w:tc>
          <w:tcPr>
            <w:tcW w:type="dxa" w:w="2572"/>
            <w:shd w:fill="F2F5F9" w:color="auto" w:val="clear"/>
            <w:tcMar>
              <w:top w:type="dxa" w:w="40"/>
              <w:left w:type="dxa" w:w="70"/>
              <w:bottom w:type="dxa" w:w="40"/>
              <w:right w:type="dxa" w:w="70"/>
            </w:tcMar>
          </w:tcPr>
          <w:p>
            <w:pPr>
              <w:spacing w:after="0"/>
            </w:pPr>
            <w:r>
              <w:rPr>
                <w:sz w:val="17"/>
                <w:szCs w:val="17"/>
              </w:rPr>
              <w:t xml:space="preserve">18</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494</w:t>
            </w:r>
          </w:p>
        </w:tc>
        <w:tc>
          <w:tcPr>
            <w:tcW w:type="dxa" w:w="3200"/>
            <w:shd w:fill="FFFFFF" w:color="auto" w:val="clear"/>
            <w:tcMar>
              <w:top w:type="dxa" w:w="40"/>
              <w:left w:type="dxa" w:w="70"/>
              <w:bottom w:type="dxa" w:w="40"/>
              <w:right w:type="dxa" w:w="70"/>
            </w:tcMar>
          </w:tcPr>
          <w:p>
            <w:pPr>
              <w:spacing w:after="0"/>
            </w:pPr>
            <w:r>
              <w:rPr>
                <w:sz w:val="17"/>
                <w:szCs w:val="17"/>
              </w:rPr>
              <w:t xml:space="preserve">85 → 58 → 29</w:t>
            </w:r>
          </w:p>
        </w:tc>
        <w:tc>
          <w:tcPr>
            <w:tcW w:type="dxa" w:w="2572"/>
            <w:shd w:fill="FFFFFF" w:color="auto" w:val="clear"/>
            <w:tcMar>
              <w:top w:type="dxa" w:w="40"/>
              <w:left w:type="dxa" w:w="70"/>
              <w:bottom w:type="dxa" w:w="40"/>
              <w:right w:type="dxa" w:w="70"/>
            </w:tcMar>
          </w:tcPr>
          <w:p>
            <w:pPr>
              <w:spacing w:after="0"/>
            </w:pPr>
            <w:r>
              <w:rPr>
                <w:sz w:val="17"/>
                <w:szCs w:val="17"/>
              </w:rPr>
              <w:t xml:space="preserve">20</w:t>
            </w:r>
          </w:p>
        </w:tc>
      </w:tr>
      <w:tr>
        <w:tc>
          <w:tcPr>
            <w:tcW w:type="dxa" w:w="27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500"/>
            <w:shd w:fill="F2F5F9" w:color="auto" w:val="clear"/>
            <w:tcMar>
              <w:top w:type="dxa" w:w="40"/>
              <w:left w:type="dxa" w:w="70"/>
              <w:bottom w:type="dxa" w:w="40"/>
              <w:right w:type="dxa" w:w="70"/>
            </w:tcMar>
          </w:tcPr>
          <w:p>
            <w:pPr>
              <w:spacing w:after="0"/>
            </w:pPr>
            <w:r>
              <w:rPr>
                <w:sz w:val="17"/>
                <w:szCs w:val="17"/>
              </w:rPr>
              <w:t xml:space="preserve">476</w:t>
            </w:r>
          </w:p>
        </w:tc>
        <w:tc>
          <w:tcPr>
            <w:tcW w:type="dxa" w:w="3200"/>
            <w:shd w:fill="F2F5F9" w:color="auto" w:val="clear"/>
            <w:tcMar>
              <w:top w:type="dxa" w:w="40"/>
              <w:left w:type="dxa" w:w="70"/>
              <w:bottom w:type="dxa" w:w="40"/>
              <w:right w:type="dxa" w:w="70"/>
            </w:tcMar>
          </w:tcPr>
          <w:p>
            <w:pPr>
              <w:spacing w:after="0"/>
            </w:pPr>
            <w:r>
              <w:rPr>
                <w:sz w:val="17"/>
                <w:szCs w:val="17"/>
              </w:rPr>
              <w:t xml:space="preserve">67 → 46 → 2</w:t>
            </w:r>
          </w:p>
        </w:tc>
        <w:tc>
          <w:tcPr>
            <w:tcW w:type="dxa" w:w="2572"/>
            <w:shd w:fill="F2F5F9" w:color="auto" w:val="clear"/>
            <w:tcMar>
              <w:top w:type="dxa" w:w="40"/>
              <w:left w:type="dxa" w:w="70"/>
              <w:bottom w:type="dxa" w:w="40"/>
              <w:right w:type="dxa" w:w="70"/>
            </w:tcMar>
          </w:tcPr>
          <w:p>
            <w:pPr>
              <w:spacing w:after="0"/>
            </w:pPr>
            <w:r>
              <w:rPr>
                <w:sz w:val="17"/>
                <w:szCs w:val="17"/>
              </w:rPr>
              <w:t xml:space="preserve">25</w:t>
            </w:r>
          </w:p>
        </w:tc>
      </w:tr>
      <w:tr>
        <w:tc>
          <w:tcPr>
            <w:tcW w:type="dxa" w:w="27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500"/>
            <w:shd w:fill="FFFFFF" w:color="auto" w:val="clear"/>
            <w:tcMar>
              <w:top w:type="dxa" w:w="40"/>
              <w:left w:type="dxa" w:w="70"/>
              <w:bottom w:type="dxa" w:w="40"/>
              <w:right w:type="dxa" w:w="70"/>
            </w:tcMar>
          </w:tcPr>
          <w:p>
            <w:pPr>
              <w:spacing w:after="0"/>
            </w:pPr>
            <w:r>
              <w:rPr>
                <w:sz w:val="17"/>
                <w:szCs w:val="17"/>
              </w:rPr>
              <w:t xml:space="preserve">475</w:t>
            </w:r>
          </w:p>
        </w:tc>
        <w:tc>
          <w:tcPr>
            <w:tcW w:type="dxa" w:w="3200"/>
            <w:shd w:fill="FFFFFF" w:color="auto" w:val="clear"/>
            <w:tcMar>
              <w:top w:type="dxa" w:w="40"/>
              <w:left w:type="dxa" w:w="70"/>
              <w:bottom w:type="dxa" w:w="40"/>
              <w:right w:type="dxa" w:w="70"/>
            </w:tcMar>
          </w:tcPr>
          <w:p>
            <w:pPr>
              <w:spacing w:after="0"/>
            </w:pPr>
            <w:r>
              <w:rPr>
                <w:sz w:val="17"/>
                <w:szCs w:val="17"/>
              </w:rPr>
              <w:t xml:space="preserve">88 → 80 → 9</w:t>
            </w:r>
          </w:p>
        </w:tc>
        <w:tc>
          <w:tcPr>
            <w:tcW w:type="dxa" w:w="2572"/>
            <w:shd w:fill="FFFFFF" w:color="auto" w:val="clear"/>
            <w:tcMar>
              <w:top w:type="dxa" w:w="40"/>
              <w:left w:type="dxa" w:w="70"/>
              <w:bottom w:type="dxa" w:w="40"/>
              <w:right w:type="dxa" w:w="70"/>
            </w:tcMar>
          </w:tcPr>
          <w:p>
            <w:pPr>
              <w:spacing w:after="0"/>
            </w:pPr>
            <w:r>
              <w:rPr>
                <w:sz w:val="17"/>
                <w:szCs w:val="17"/>
              </w:rPr>
              <w:t xml:space="preserve">19</w:t>
            </w:r>
          </w:p>
        </w:tc>
      </w:tr>
    </w:tbl>
    <w:p>
      <w:pPr>
        <w:spacing w:after="120"/>
      </w:pPr>
      <w:r>
        <w:rPr>
          <w:i/>
          <w:iCs/>
          <w:color w:val="555555"/>
          <w:sz w:val="17"/>
          <w:szCs w:val="17"/>
        </w:rPr>
        <w:t xml:space="preserve">ASinsight rank and keyword sales for B0HD7R5L1D; B6 ranks from our daily rank crawl. Whether True Bamboo ran a deal in this window is not known.</w:t>
      </w:r>
    </w:p>
    <w:p>
      <w:pPr>
        <w:spacing w:after="100"/>
      </w:pPr>
      <w:r>
        <w:t xml:space="preserve">On “bamboo sheets king size”, ASinsight’s hourly view shows True Bamboo’s organic rank going from about 50 on 21 September to 4 by 25 September, while its sponsored rank sat at the top most hours of every day. What this means for B6:</w:t>
      </w:r>
    </w:p>
    <w:p>
      <w:pPr>
        <w:pStyle w:val="ListParagraph"/>
        <w:numPr>
          <w:ilvl w:val="0"/>
          <w:numId w:val="3"/>
        </w:numPr>
        <w:spacing w:after="60"/>
      </w:pPr>
      <w:r>
        <w:t xml:space="preserve">Rank moves in days, not months, when the ad holds the top slot all day with enough clicks. The audit’s targets run to 26 November and later.</w:t>
      </w:r>
    </w:p>
    <w:p>
      <w:pPr>
        <w:pStyle w:val="ListParagraph"/>
        <w:numPr>
          <w:ilvl w:val="0"/>
          <w:numId w:val="3"/>
        </w:numPr>
        <w:spacing w:after="60"/>
      </w:pPr>
      <w:r>
        <w:t xml:space="preserve">Our click-through and conversion at the top already beat the market on these terms (Section 5.4), so the listing is not the main blocker; volume at the top is. “bamboo sheets” gets 7 of the 69 top-of-search clicks a day its plan needs, “bamboo sheets queen size” under 1 of 44, and “bamboo sheets king size” almost none of 24.</w:t>
      </w:r>
    </w:p>
    <w:p>
      <w:pPr>
        <w:pStyle w:val="ListParagraph"/>
        <w:numPr>
          <w:ilvl w:val="0"/>
          <w:numId w:val="3"/>
        </w:numPr>
        <w:spacing w:after="60"/>
      </w:pPr>
      <w:r>
        <w:t xml:space="preserve">The earlier version of these corrections was still too cautious in two places: one 30% step a week, and fixing the mix before pushing. Both now happen together, with daily steps.</w:t>
      </w:r>
    </w:p>
    <w:p>
      <w:pPr>
        <w:pStyle w:val="ListParagraph"/>
        <w:numPr>
          <w:ilvl w:val="0"/>
          <w:numId w:val="3"/>
        </w:numPr>
        <w:spacing w:after="60"/>
      </w:pPr>
      <w:r>
        <w:t xml:space="preserve">Check the listing against True Bamboo on the push terms anyway (main image, title, price and coupon, reviews), so the extra clicks convert.</w:t>
      </w:r>
    </w:p>
    <w:p>
      <w:pPr>
        <w:pStyle w:val="Heading2"/>
      </w:pPr>
      <w:r>
        <w:t xml:space="preserve">5.3 The push plan</w:t>
      </w:r>
    </w:p>
    <w:p>
      <w:pPr>
        <w:spacing w:after="100"/>
      </w:pPr>
      <w:r>
        <w:t xml:space="preserve">Eight terms get pushed now, and two more once they are tracked. Each has a plan for clicks, orders and budget a day, tuned weekly on results: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300"/>
        <w:gridCol w:w="1000"/>
        <w:gridCol w:w="1000"/>
        <w:gridCol w:w="1500"/>
        <w:gridCol w:w="1772"/>
      </w:tblGrid>
      <w:tr>
        <w:trPr>
          <w:tblHeader/>
        </w:trPr>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Top-of-search clicks a day: plan · today</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Top-of-search conversion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Orders a day expected</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Top-of-search price this week (ceiling)</w:t>
            </w:r>
          </w:p>
        </w:tc>
        <w:tc>
          <w:tcPr>
            <w:tcW w:type="dxa" w:w="1772"/>
            <w:shd w:fill="1F3A5F" w:color="auto" w:val="clear"/>
            <w:tcMar>
              <w:top w:type="dxa" w:w="40"/>
              <w:left w:type="dxa" w:w="70"/>
              <w:bottom w:type="dxa" w:w="40"/>
              <w:right w:type="dxa" w:w="70"/>
            </w:tcMar>
          </w:tcPr>
          <w:p>
            <w:pPr>
              <w:spacing w:after="0"/>
            </w:pPr>
            <w:r>
              <w:rPr>
                <w:b/>
                <w:bCs/>
                <w:color w:val="FFFFFF"/>
                <w:sz w:val="17"/>
                <w:szCs w:val="17"/>
              </w:rPr>
              <w:t xml:space="preserve">Budget a day</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29 → 9</w:t>
            </w:r>
          </w:p>
        </w:tc>
        <w:tc>
          <w:tcPr>
            <w:tcW w:type="dxa" w:w="1300"/>
            <w:shd w:fill="FFFFFF" w:color="auto" w:val="clear"/>
            <w:tcMar>
              <w:top w:type="dxa" w:w="40"/>
              <w:left w:type="dxa" w:w="70"/>
              <w:bottom w:type="dxa" w:w="40"/>
              <w:right w:type="dxa" w:w="70"/>
            </w:tcMar>
          </w:tcPr>
          <w:p>
            <w:pPr>
              <w:spacing w:after="0"/>
            </w:pPr>
            <w:r>
              <w:rPr>
                <w:sz w:val="17"/>
                <w:szCs w:val="17"/>
              </w:rPr>
              <w:t xml:space="preserve">69 · 7</w:t>
            </w:r>
          </w:p>
        </w:tc>
        <w:tc>
          <w:tcPr>
            <w:tcW w:type="dxa" w:w="1000"/>
            <w:shd w:fill="FFFFFF" w:color="auto" w:val="clear"/>
            <w:tcMar>
              <w:top w:type="dxa" w:w="40"/>
              <w:left w:type="dxa" w:w="70"/>
              <w:bottom w:type="dxa" w:w="40"/>
              <w:right w:type="dxa" w:w="70"/>
            </w:tcMar>
          </w:tcPr>
          <w:p>
            <w:pPr>
              <w:spacing w:after="0"/>
            </w:pPr>
            <w:r>
              <w:rPr>
                <w:sz w:val="17"/>
                <w:szCs w:val="17"/>
              </w:rPr>
              <w:t xml:space="preserve">19.3%</w:t>
            </w:r>
          </w:p>
        </w:tc>
        <w:tc>
          <w:tcPr>
            <w:tcW w:type="dxa" w:w="1000"/>
            <w:shd w:fill="FFFFFF" w:color="auto" w:val="clear"/>
            <w:tcMar>
              <w:top w:type="dxa" w:w="40"/>
              <w:left w:type="dxa" w:w="70"/>
              <w:bottom w:type="dxa" w:w="40"/>
              <w:right w:type="dxa" w:w="70"/>
            </w:tcMar>
          </w:tcPr>
          <w:p>
            <w:pPr>
              <w:spacing w:after="0"/>
            </w:pPr>
            <w:r>
              <w:rPr>
                <w:sz w:val="17"/>
                <w:szCs w:val="17"/>
              </w:rPr>
              <w:t xml:space="preserve">13.3</w:t>
            </w:r>
          </w:p>
        </w:tc>
        <w:tc>
          <w:tcPr>
            <w:tcW w:type="dxa" w:w="1500"/>
            <w:shd w:fill="FFFFFF" w:color="auto" w:val="clear"/>
            <w:tcMar>
              <w:top w:type="dxa" w:w="40"/>
              <w:left w:type="dxa" w:w="70"/>
              <w:bottom w:type="dxa" w:w="40"/>
              <w:right w:type="dxa" w:w="70"/>
            </w:tcMar>
          </w:tcPr>
          <w:p>
            <w:pPr>
              <w:spacing w:after="0"/>
            </w:pPr>
            <w:r>
              <w:rPr>
                <w:sz w:val="17"/>
                <w:szCs w:val="17"/>
              </w:rPr>
              <w:t xml:space="preserve">$6.16 ($6.16)</w:t>
            </w:r>
          </w:p>
        </w:tc>
        <w:tc>
          <w:tcPr>
            <w:tcW w:type="dxa" w:w="1772"/>
            <w:shd w:fill="FFFFFF" w:color="auto" w:val="clear"/>
            <w:tcMar>
              <w:top w:type="dxa" w:w="40"/>
              <w:left w:type="dxa" w:w="70"/>
              <w:bottom w:type="dxa" w:w="40"/>
              <w:right w:type="dxa" w:w="70"/>
            </w:tcMar>
          </w:tcPr>
          <w:p>
            <w:pPr>
              <w:spacing w:after="0"/>
            </w:pPr>
            <w:r>
              <w:rPr>
                <w:sz w:val="17"/>
                <w:szCs w:val="17"/>
              </w:rPr>
              <w:t xml:space="preserve">$425</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100"/>
            <w:shd w:fill="F2F5F9" w:color="auto" w:val="clear"/>
            <w:tcMar>
              <w:top w:type="dxa" w:w="40"/>
              <w:left w:type="dxa" w:w="70"/>
              <w:bottom w:type="dxa" w:w="40"/>
              <w:right w:type="dxa" w:w="70"/>
            </w:tcMar>
          </w:tcPr>
          <w:p>
            <w:pPr>
              <w:spacing w:after="0"/>
            </w:pPr>
            <w:r>
              <w:rPr>
                <w:sz w:val="17"/>
                <w:szCs w:val="17"/>
              </w:rPr>
              <w:t xml:space="preserve">21 → 5</w:t>
            </w:r>
          </w:p>
        </w:tc>
        <w:tc>
          <w:tcPr>
            <w:tcW w:type="dxa" w:w="1300"/>
            <w:shd w:fill="F2F5F9" w:color="auto" w:val="clear"/>
            <w:tcMar>
              <w:top w:type="dxa" w:w="40"/>
              <w:left w:type="dxa" w:w="70"/>
              <w:bottom w:type="dxa" w:w="40"/>
              <w:right w:type="dxa" w:w="70"/>
            </w:tcMar>
          </w:tcPr>
          <w:p>
            <w:pPr>
              <w:spacing w:after="0"/>
            </w:pPr>
            <w:r>
              <w:rPr>
                <w:sz w:val="17"/>
                <w:szCs w:val="17"/>
              </w:rPr>
              <w:t xml:space="preserve">44 · 0.8</w:t>
            </w:r>
          </w:p>
        </w:tc>
        <w:tc>
          <w:tcPr>
            <w:tcW w:type="dxa" w:w="1000"/>
            <w:shd w:fill="F2F5F9" w:color="auto" w:val="clear"/>
            <w:tcMar>
              <w:top w:type="dxa" w:w="40"/>
              <w:left w:type="dxa" w:w="70"/>
              <w:bottom w:type="dxa" w:w="40"/>
              <w:right w:type="dxa" w:w="70"/>
            </w:tcMar>
          </w:tcPr>
          <w:p>
            <w:pPr>
              <w:spacing w:after="0"/>
            </w:pPr>
            <w:r>
              <w:rPr>
                <w:sz w:val="17"/>
                <w:szCs w:val="17"/>
              </w:rPr>
              <w:t xml:space="preserve">22.7%</w:t>
            </w:r>
          </w:p>
        </w:tc>
        <w:tc>
          <w:tcPr>
            <w:tcW w:type="dxa" w:w="1000"/>
            <w:shd w:fill="F2F5F9" w:color="auto" w:val="clear"/>
            <w:tcMar>
              <w:top w:type="dxa" w:w="40"/>
              <w:left w:type="dxa" w:w="70"/>
              <w:bottom w:type="dxa" w:w="40"/>
              <w:right w:type="dxa" w:w="70"/>
            </w:tcMar>
          </w:tcPr>
          <w:p>
            <w:pPr>
              <w:spacing w:after="0"/>
            </w:pPr>
            <w:r>
              <w:rPr>
                <w:sz w:val="17"/>
                <w:szCs w:val="17"/>
              </w:rPr>
              <w:t xml:space="preserve">10.0</w:t>
            </w:r>
          </w:p>
        </w:tc>
        <w:tc>
          <w:tcPr>
            <w:tcW w:type="dxa" w:w="1500"/>
            <w:shd w:fill="F2F5F9" w:color="auto" w:val="clear"/>
            <w:tcMar>
              <w:top w:type="dxa" w:w="40"/>
              <w:left w:type="dxa" w:w="70"/>
              <w:bottom w:type="dxa" w:w="40"/>
              <w:right w:type="dxa" w:w="70"/>
            </w:tcMar>
          </w:tcPr>
          <w:p>
            <w:pPr>
              <w:spacing w:after="0"/>
            </w:pPr>
            <w:r>
              <w:rPr>
                <w:sz w:val="17"/>
                <w:szCs w:val="17"/>
              </w:rPr>
              <w:t xml:space="preserve">$7.71 ($8.86)</w:t>
            </w:r>
          </w:p>
        </w:tc>
        <w:tc>
          <w:tcPr>
            <w:tcW w:type="dxa" w:w="1772"/>
            <w:shd w:fill="F2F5F9" w:color="auto" w:val="clear"/>
            <w:tcMar>
              <w:top w:type="dxa" w:w="40"/>
              <w:left w:type="dxa" w:w="70"/>
              <w:bottom w:type="dxa" w:w="40"/>
              <w:right w:type="dxa" w:w="70"/>
            </w:tcMar>
          </w:tcPr>
          <w:p>
            <w:pPr>
              <w:spacing w:after="0"/>
            </w:pPr>
            <w:r>
              <w:rPr>
                <w:sz w:val="17"/>
                <w:szCs w:val="17"/>
              </w:rPr>
              <w:t xml:space="preserve">$339</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sheets king size</w:t>
            </w:r>
          </w:p>
        </w:tc>
        <w:tc>
          <w:tcPr>
            <w:tcW w:type="dxa" w:w="1100"/>
            <w:shd w:fill="FFFFFF" w:color="auto" w:val="clear"/>
            <w:tcMar>
              <w:top w:type="dxa" w:w="40"/>
              <w:left w:type="dxa" w:w="70"/>
              <w:bottom w:type="dxa" w:w="40"/>
              <w:right w:type="dxa" w:w="70"/>
            </w:tcMar>
          </w:tcPr>
          <w:p>
            <w:pPr>
              <w:spacing w:after="0"/>
            </w:pPr>
            <w:r>
              <w:rPr>
                <w:sz w:val="17"/>
                <w:szCs w:val="17"/>
              </w:rPr>
              <w:t xml:space="preserve">27 → 10</w:t>
            </w:r>
          </w:p>
        </w:tc>
        <w:tc>
          <w:tcPr>
            <w:tcW w:type="dxa" w:w="1300"/>
            <w:shd w:fill="FFFFFF" w:color="auto" w:val="clear"/>
            <w:tcMar>
              <w:top w:type="dxa" w:w="40"/>
              <w:left w:type="dxa" w:w="70"/>
              <w:bottom w:type="dxa" w:w="40"/>
              <w:right w:type="dxa" w:w="70"/>
            </w:tcMar>
          </w:tcPr>
          <w:p>
            <w:pPr>
              <w:spacing w:after="0"/>
            </w:pPr>
            <w:r>
              <w:rPr>
                <w:sz w:val="17"/>
                <w:szCs w:val="17"/>
              </w:rPr>
              <w:t xml:space="preserve">24 · 0.1</w:t>
            </w:r>
          </w:p>
        </w:tc>
        <w:tc>
          <w:tcPr>
            <w:tcW w:type="dxa" w:w="1000"/>
            <w:shd w:fill="FFFFFF" w:color="auto" w:val="clear"/>
            <w:tcMar>
              <w:top w:type="dxa" w:w="40"/>
              <w:left w:type="dxa" w:w="70"/>
              <w:bottom w:type="dxa" w:w="40"/>
              <w:right w:type="dxa" w:w="70"/>
            </w:tcMar>
          </w:tcPr>
          <w:p>
            <w:pPr>
              <w:spacing w:after="0"/>
            </w:pPr>
            <w:r>
              <w:rPr>
                <w:sz w:val="17"/>
                <w:szCs w:val="17"/>
              </w:rPr>
              <w:t xml:space="preserve">17.9%*</w:t>
            </w:r>
          </w:p>
        </w:tc>
        <w:tc>
          <w:tcPr>
            <w:tcW w:type="dxa" w:w="1000"/>
            <w:shd w:fill="FFFFFF" w:color="auto" w:val="clear"/>
            <w:tcMar>
              <w:top w:type="dxa" w:w="40"/>
              <w:left w:type="dxa" w:w="70"/>
              <w:bottom w:type="dxa" w:w="40"/>
              <w:right w:type="dxa" w:w="70"/>
            </w:tcMar>
          </w:tcPr>
          <w:p>
            <w:pPr>
              <w:spacing w:after="0"/>
            </w:pPr>
            <w:r>
              <w:rPr>
                <w:sz w:val="17"/>
                <w:szCs w:val="17"/>
              </w:rPr>
              <w:t xml:space="preserve">4.3</w:t>
            </w:r>
          </w:p>
        </w:tc>
        <w:tc>
          <w:tcPr>
            <w:tcW w:type="dxa" w:w="1500"/>
            <w:shd w:fill="FFFFFF" w:color="auto" w:val="clear"/>
            <w:tcMar>
              <w:top w:type="dxa" w:w="40"/>
              <w:left w:type="dxa" w:w="70"/>
              <w:bottom w:type="dxa" w:w="40"/>
              <w:right w:type="dxa" w:w="70"/>
            </w:tcMar>
          </w:tcPr>
          <w:p>
            <w:pPr>
              <w:spacing w:after="0"/>
            </w:pPr>
            <w:r>
              <w:rPr>
                <w:sz w:val="17"/>
                <w:szCs w:val="17"/>
              </w:rPr>
              <w:t xml:space="preserve">$5.29 ($5.72)</w:t>
            </w:r>
          </w:p>
        </w:tc>
        <w:tc>
          <w:tcPr>
            <w:tcW w:type="dxa" w:w="1772"/>
            <w:shd w:fill="FFFFFF" w:color="auto" w:val="clear"/>
            <w:tcMar>
              <w:top w:type="dxa" w:w="40"/>
              <w:left w:type="dxa" w:w="70"/>
              <w:bottom w:type="dxa" w:w="40"/>
              <w:right w:type="dxa" w:w="70"/>
            </w:tcMar>
          </w:tcPr>
          <w:p>
            <w:pPr>
              <w:spacing w:after="0"/>
            </w:pPr>
            <w:r>
              <w:rPr>
                <w:sz w:val="17"/>
                <w:szCs w:val="17"/>
              </w:rPr>
              <w:t xml:space="preserve">$127</w:t>
            </w:r>
          </w:p>
        </w:tc>
      </w:tr>
      <w:tr>
        <w:tc>
          <w:tcPr>
            <w:tcW w:type="dxa" w:w="2300"/>
            <w:shd w:fill="F2F5F9" w:color="auto" w:val="clear"/>
            <w:tcMar>
              <w:top w:type="dxa" w:w="40"/>
              <w:left w:type="dxa" w:w="70"/>
              <w:bottom w:type="dxa" w:w="40"/>
              <w:right w:type="dxa" w:w="70"/>
            </w:tcMar>
          </w:tcPr>
          <w:p>
            <w:pPr>
              <w:spacing w:after="0"/>
            </w:pPr>
            <w:r>
              <w:rPr>
                <w:sz w:val="17"/>
                <w:szCs w:val="17"/>
              </w:rPr>
              <w:t xml:space="preserve">bamboo sheets full</w:t>
            </w:r>
          </w:p>
        </w:tc>
        <w:tc>
          <w:tcPr>
            <w:tcW w:type="dxa" w:w="1100"/>
            <w:shd w:fill="F2F5F9" w:color="auto" w:val="clear"/>
            <w:tcMar>
              <w:top w:type="dxa" w:w="40"/>
              <w:left w:type="dxa" w:w="70"/>
              <w:bottom w:type="dxa" w:w="40"/>
              <w:right w:type="dxa" w:w="70"/>
            </w:tcMar>
          </w:tcPr>
          <w:p>
            <w:pPr>
              <w:spacing w:after="0"/>
            </w:pPr>
            <w:r>
              <w:rPr>
                <w:sz w:val="17"/>
                <w:szCs w:val="17"/>
              </w:rPr>
              <w:t xml:space="preserve">18 → 2</w:t>
            </w:r>
          </w:p>
        </w:tc>
        <w:tc>
          <w:tcPr>
            <w:tcW w:type="dxa" w:w="1300"/>
            <w:shd w:fill="F2F5F9" w:color="auto" w:val="clear"/>
            <w:tcMar>
              <w:top w:type="dxa" w:w="40"/>
              <w:left w:type="dxa" w:w="70"/>
              <w:bottom w:type="dxa" w:w="40"/>
              <w:right w:type="dxa" w:w="70"/>
            </w:tcMar>
          </w:tcPr>
          <w:p>
            <w:pPr>
              <w:spacing w:after="0"/>
            </w:pPr>
            <w:r>
              <w:rPr>
                <w:sz w:val="17"/>
                <w:szCs w:val="17"/>
              </w:rPr>
              <w:t xml:space="preserve">22 · 0 (paused)</w:t>
            </w:r>
          </w:p>
        </w:tc>
        <w:tc>
          <w:tcPr>
            <w:tcW w:type="dxa" w:w="1000"/>
            <w:shd w:fill="F2F5F9" w:color="auto" w:val="clear"/>
            <w:tcMar>
              <w:top w:type="dxa" w:w="40"/>
              <w:left w:type="dxa" w:w="70"/>
              <w:bottom w:type="dxa" w:w="40"/>
              <w:right w:type="dxa" w:w="70"/>
            </w:tcMar>
          </w:tcPr>
          <w:p>
            <w:pPr>
              <w:spacing w:after="0"/>
            </w:pPr>
            <w:r>
              <w:rPr>
                <w:sz w:val="17"/>
                <w:szCs w:val="17"/>
              </w:rPr>
              <w:t xml:space="preserve">12.5%*</w:t>
            </w:r>
          </w:p>
        </w:tc>
        <w:tc>
          <w:tcPr>
            <w:tcW w:type="dxa" w:w="1000"/>
            <w:shd w:fill="F2F5F9" w:color="auto" w:val="clear"/>
            <w:tcMar>
              <w:top w:type="dxa" w:w="40"/>
              <w:left w:type="dxa" w:w="70"/>
              <w:bottom w:type="dxa" w:w="40"/>
              <w:right w:type="dxa" w:w="70"/>
            </w:tcMar>
          </w:tcPr>
          <w:p>
            <w:pPr>
              <w:spacing w:after="0"/>
            </w:pPr>
            <w:r>
              <w:rPr>
                <w:sz w:val="17"/>
                <w:szCs w:val="17"/>
              </w:rPr>
              <w:t xml:space="preserve">2.7</w:t>
            </w:r>
          </w:p>
        </w:tc>
        <w:tc>
          <w:tcPr>
            <w:tcW w:type="dxa" w:w="1500"/>
            <w:shd w:fill="F2F5F9" w:color="auto" w:val="clear"/>
            <w:tcMar>
              <w:top w:type="dxa" w:w="40"/>
              <w:left w:type="dxa" w:w="70"/>
              <w:bottom w:type="dxa" w:w="40"/>
              <w:right w:type="dxa" w:w="70"/>
            </w:tcMar>
          </w:tcPr>
          <w:p>
            <w:pPr>
              <w:spacing w:after="0"/>
            </w:pPr>
            <w:r>
              <w:rPr>
                <w:sz w:val="17"/>
                <w:szCs w:val="17"/>
              </w:rPr>
              <w:t xml:space="preserve">$5.52 ($5.52)</w:t>
            </w:r>
          </w:p>
        </w:tc>
        <w:tc>
          <w:tcPr>
            <w:tcW w:type="dxa" w:w="1772"/>
            <w:shd w:fill="F2F5F9" w:color="auto" w:val="clear"/>
            <w:tcMar>
              <w:top w:type="dxa" w:w="40"/>
              <w:left w:type="dxa" w:w="70"/>
              <w:bottom w:type="dxa" w:w="40"/>
              <w:right w:type="dxa" w:w="70"/>
            </w:tcMar>
          </w:tcPr>
          <w:p>
            <w:pPr>
              <w:spacing w:after="0"/>
            </w:pPr>
            <w:r>
              <w:rPr>
                <w:sz w:val="17"/>
                <w:szCs w:val="17"/>
              </w:rPr>
              <w:t xml:space="preserve">$121</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100"/>
            <w:shd w:fill="FFFFFF" w:color="auto" w:val="clear"/>
            <w:tcMar>
              <w:top w:type="dxa" w:w="40"/>
              <w:left w:type="dxa" w:w="70"/>
              <w:bottom w:type="dxa" w:w="40"/>
              <w:right w:type="dxa" w:w="70"/>
            </w:tcMar>
          </w:tcPr>
          <w:p>
            <w:pPr>
              <w:spacing w:after="0"/>
            </w:pPr>
            <w:r>
              <w:rPr>
                <w:sz w:val="17"/>
                <w:szCs w:val="17"/>
              </w:rPr>
              <w:t xml:space="preserve">20 → 5</w:t>
            </w:r>
          </w:p>
        </w:tc>
        <w:tc>
          <w:tcPr>
            <w:tcW w:type="dxa" w:w="1300"/>
            <w:shd w:fill="FFFFFF" w:color="auto" w:val="clear"/>
            <w:tcMar>
              <w:top w:type="dxa" w:w="40"/>
              <w:left w:type="dxa" w:w="70"/>
              <w:bottom w:type="dxa" w:w="40"/>
              <w:right w:type="dxa" w:w="70"/>
            </w:tcMar>
          </w:tcPr>
          <w:p>
            <w:pPr>
              <w:spacing w:after="0"/>
            </w:pPr>
            <w:r>
              <w:rPr>
                <w:sz w:val="17"/>
                <w:szCs w:val="17"/>
              </w:rPr>
              <w:t xml:space="preserve">20 · 0.1</w:t>
            </w:r>
          </w:p>
        </w:tc>
        <w:tc>
          <w:tcPr>
            <w:tcW w:type="dxa" w:w="1000"/>
            <w:shd w:fill="FFFFFF" w:color="auto" w:val="clear"/>
            <w:tcMar>
              <w:top w:type="dxa" w:w="40"/>
              <w:left w:type="dxa" w:w="70"/>
              <w:bottom w:type="dxa" w:w="40"/>
              <w:right w:type="dxa" w:w="70"/>
            </w:tcMar>
          </w:tcPr>
          <w:p>
            <w:pPr>
              <w:spacing w:after="0"/>
            </w:pPr>
            <w:r>
              <w:rPr>
                <w:sz w:val="17"/>
                <w:szCs w:val="17"/>
              </w:rPr>
              <w:t xml:space="preserve">11.5%*</w:t>
            </w:r>
          </w:p>
        </w:tc>
        <w:tc>
          <w:tcPr>
            <w:tcW w:type="dxa" w:w="1000"/>
            <w:shd w:fill="FFFFFF" w:color="auto" w:val="clear"/>
            <w:tcMar>
              <w:top w:type="dxa" w:w="40"/>
              <w:left w:type="dxa" w:w="70"/>
              <w:bottom w:type="dxa" w:w="40"/>
              <w:right w:type="dxa" w:w="70"/>
            </w:tcMar>
          </w:tcPr>
          <w:p>
            <w:pPr>
              <w:spacing w:after="0"/>
            </w:pPr>
            <w:r>
              <w:rPr>
                <w:sz w:val="17"/>
                <w:szCs w:val="17"/>
              </w:rPr>
              <w:t xml:space="preserve">2.3</w:t>
            </w:r>
          </w:p>
        </w:tc>
        <w:tc>
          <w:tcPr>
            <w:tcW w:type="dxa" w:w="1500"/>
            <w:shd w:fill="FFFFFF" w:color="auto" w:val="clear"/>
            <w:tcMar>
              <w:top w:type="dxa" w:w="40"/>
              <w:left w:type="dxa" w:w="70"/>
              <w:bottom w:type="dxa" w:w="40"/>
              <w:right w:type="dxa" w:w="70"/>
            </w:tcMar>
          </w:tcPr>
          <w:p>
            <w:pPr>
              <w:spacing w:after="0"/>
            </w:pPr>
            <w:r>
              <w:rPr>
                <w:sz w:val="17"/>
                <w:szCs w:val="17"/>
              </w:rPr>
              <w:t xml:space="preserve">$4.11 ($4.49)</w:t>
            </w:r>
          </w:p>
        </w:tc>
        <w:tc>
          <w:tcPr>
            <w:tcW w:type="dxa" w:w="1772"/>
            <w:shd w:fill="FFFFFF" w:color="auto" w:val="clear"/>
            <w:tcMar>
              <w:top w:type="dxa" w:w="40"/>
              <w:left w:type="dxa" w:w="70"/>
              <w:bottom w:type="dxa" w:w="40"/>
              <w:right w:type="dxa" w:w="70"/>
            </w:tcMar>
          </w:tcPr>
          <w:p>
            <w:pPr>
              <w:spacing w:after="0"/>
            </w:pPr>
            <w:r>
              <w:rPr>
                <w:sz w:val="17"/>
                <w:szCs w:val="17"/>
              </w:rPr>
              <w:t xml:space="preserve">$82</w:t>
            </w:r>
          </w:p>
        </w:tc>
      </w:tr>
      <w:tr>
        <w:tc>
          <w:tcPr>
            <w:tcW w:type="dxa" w:w="23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100"/>
            <w:shd w:fill="F2F5F9" w:color="auto" w:val="clear"/>
            <w:tcMar>
              <w:top w:type="dxa" w:w="40"/>
              <w:left w:type="dxa" w:w="70"/>
              <w:bottom w:type="dxa" w:w="40"/>
              <w:right w:type="dxa" w:w="70"/>
            </w:tcMar>
          </w:tcPr>
          <w:p>
            <w:pPr>
              <w:spacing w:after="0"/>
            </w:pPr>
            <w:r>
              <w:rPr>
                <w:sz w:val="17"/>
                <w:szCs w:val="17"/>
              </w:rPr>
              <w:t xml:space="preserve">25 → 6</w:t>
            </w:r>
          </w:p>
        </w:tc>
        <w:tc>
          <w:tcPr>
            <w:tcW w:type="dxa" w:w="1300"/>
            <w:shd w:fill="F2F5F9" w:color="auto" w:val="clear"/>
            <w:tcMar>
              <w:top w:type="dxa" w:w="40"/>
              <w:left w:type="dxa" w:w="70"/>
              <w:bottom w:type="dxa" w:w="40"/>
              <w:right w:type="dxa" w:w="70"/>
            </w:tcMar>
          </w:tcPr>
          <w:p>
            <w:pPr>
              <w:spacing w:after="0"/>
            </w:pPr>
            <w:r>
              <w:rPr>
                <w:sz w:val="17"/>
                <w:szCs w:val="17"/>
              </w:rPr>
              <w:t xml:space="preserve">5 · 0.9</w:t>
            </w:r>
          </w:p>
        </w:tc>
        <w:tc>
          <w:tcPr>
            <w:tcW w:type="dxa" w:w="1000"/>
            <w:shd w:fill="F2F5F9" w:color="auto" w:val="clear"/>
            <w:tcMar>
              <w:top w:type="dxa" w:w="40"/>
              <w:left w:type="dxa" w:w="70"/>
              <w:bottom w:type="dxa" w:w="40"/>
              <w:right w:type="dxa" w:w="70"/>
            </w:tcMar>
          </w:tcPr>
          <w:p>
            <w:pPr>
              <w:spacing w:after="0"/>
            </w:pPr>
            <w:r>
              <w:rPr>
                <w:sz w:val="17"/>
                <w:szCs w:val="17"/>
              </w:rPr>
              <w:t xml:space="preserve">21.1%</w:t>
            </w:r>
          </w:p>
        </w:tc>
        <w:tc>
          <w:tcPr>
            <w:tcW w:type="dxa" w:w="1000"/>
            <w:shd w:fill="F2F5F9" w:color="auto" w:val="clear"/>
            <w:tcMar>
              <w:top w:type="dxa" w:w="40"/>
              <w:left w:type="dxa" w:w="70"/>
              <w:bottom w:type="dxa" w:w="40"/>
              <w:right w:type="dxa" w:w="70"/>
            </w:tcMar>
          </w:tcPr>
          <w:p>
            <w:pPr>
              <w:spacing w:after="0"/>
            </w:pPr>
            <w:r>
              <w:rPr>
                <w:sz w:val="17"/>
                <w:szCs w:val="17"/>
              </w:rPr>
              <w:t xml:space="preserve">1.1</w:t>
            </w:r>
          </w:p>
        </w:tc>
        <w:tc>
          <w:tcPr>
            <w:tcW w:type="dxa" w:w="1500"/>
            <w:shd w:fill="F2F5F9" w:color="auto" w:val="clear"/>
            <w:tcMar>
              <w:top w:type="dxa" w:w="40"/>
              <w:left w:type="dxa" w:w="70"/>
              <w:bottom w:type="dxa" w:w="40"/>
              <w:right w:type="dxa" w:w="70"/>
            </w:tcMar>
          </w:tcPr>
          <w:p>
            <w:pPr>
              <w:spacing w:after="0"/>
            </w:pPr>
            <w:r>
              <w:rPr>
                <w:sz w:val="17"/>
                <w:szCs w:val="17"/>
              </w:rPr>
              <w:t xml:space="preserve">$7.10 ($7.10)</w:t>
            </w:r>
          </w:p>
        </w:tc>
        <w:tc>
          <w:tcPr>
            <w:tcW w:type="dxa" w:w="1772"/>
            <w:shd w:fill="F2F5F9" w:color="auto" w:val="clear"/>
            <w:tcMar>
              <w:top w:type="dxa" w:w="40"/>
              <w:left w:type="dxa" w:w="70"/>
              <w:bottom w:type="dxa" w:w="40"/>
              <w:right w:type="dxa" w:w="70"/>
            </w:tcMar>
          </w:tcPr>
          <w:p>
            <w:pPr>
              <w:spacing w:after="0"/>
            </w:pPr>
            <w:r>
              <w:rPr>
                <w:sz w:val="17"/>
                <w:szCs w:val="17"/>
              </w:rPr>
              <w:t xml:space="preserve">$36</w:t>
            </w:r>
          </w:p>
        </w:tc>
      </w:tr>
      <w:tr>
        <w:tc>
          <w:tcPr>
            <w:tcW w:type="dxa" w:w="2300"/>
            <w:shd w:fill="FFFFFF" w:color="auto" w:val="clear"/>
            <w:tcMar>
              <w:top w:type="dxa" w:w="40"/>
              <w:left w:type="dxa" w:w="70"/>
              <w:bottom w:type="dxa" w:w="40"/>
              <w:right w:type="dxa" w:w="70"/>
            </w:tcMar>
          </w:tcPr>
          <w:p>
            <w:pPr>
              <w:spacing w:after="0"/>
            </w:pPr>
            <w:r>
              <w:rPr>
                <w:sz w:val="17"/>
                <w:szCs w:val="17"/>
              </w:rPr>
              <w:t xml:space="preserve">bamboo sheets king</w:t>
            </w:r>
          </w:p>
        </w:tc>
        <w:tc>
          <w:tcPr>
            <w:tcW w:type="dxa" w:w="1100"/>
            <w:shd w:fill="FFFFFF" w:color="auto" w:val="clear"/>
            <w:tcMar>
              <w:top w:type="dxa" w:w="40"/>
              <w:left w:type="dxa" w:w="70"/>
              <w:bottom w:type="dxa" w:w="40"/>
              <w:right w:type="dxa" w:w="70"/>
            </w:tcMar>
          </w:tcPr>
          <w:p>
            <w:pPr>
              <w:spacing w:after="0"/>
            </w:pPr>
            <w:r>
              <w:rPr>
                <w:sz w:val="17"/>
                <w:szCs w:val="17"/>
              </w:rPr>
              <w:t xml:space="preserve">19 → 9</w:t>
            </w:r>
          </w:p>
        </w:tc>
        <w:tc>
          <w:tcPr>
            <w:tcW w:type="dxa" w:w="1300"/>
            <w:shd w:fill="FFFFFF" w:color="auto" w:val="clear"/>
            <w:tcMar>
              <w:top w:type="dxa" w:w="40"/>
              <w:left w:type="dxa" w:w="70"/>
              <w:bottom w:type="dxa" w:w="40"/>
              <w:right w:type="dxa" w:w="70"/>
            </w:tcMar>
          </w:tcPr>
          <w:p>
            <w:pPr>
              <w:spacing w:after="0"/>
            </w:pPr>
            <w:r>
              <w:rPr>
                <w:sz w:val="17"/>
                <w:szCs w:val="17"/>
              </w:rPr>
              <w:t xml:space="preserve">11 · —</w:t>
            </w:r>
          </w:p>
        </w:tc>
        <w:tc>
          <w:tcPr>
            <w:tcW w:type="dxa" w:w="1000"/>
            <w:shd w:fill="FFFFFF" w:color="auto" w:val="clear"/>
            <w:tcMar>
              <w:top w:type="dxa" w:w="40"/>
              <w:left w:type="dxa" w:w="70"/>
              <w:bottom w:type="dxa" w:w="40"/>
              <w:right w:type="dxa" w:w="70"/>
            </w:tcMar>
          </w:tcPr>
          <w:p>
            <w:pPr>
              <w:spacing w:after="0"/>
            </w:pPr>
            <w:r>
              <w:rPr>
                <w:sz w:val="17"/>
                <w:szCs w:val="17"/>
              </w:rPr>
              <w:t xml:space="preserve">12.1%*</w:t>
            </w:r>
          </w:p>
        </w:tc>
        <w:tc>
          <w:tcPr>
            <w:tcW w:type="dxa" w:w="1000"/>
            <w:shd w:fill="FFFFFF" w:color="auto" w:val="clear"/>
            <w:tcMar>
              <w:top w:type="dxa" w:w="40"/>
              <w:left w:type="dxa" w:w="70"/>
              <w:bottom w:type="dxa" w:w="40"/>
              <w:right w:type="dxa" w:w="70"/>
            </w:tcMar>
          </w:tcPr>
          <w:p>
            <w:pPr>
              <w:spacing w:after="0"/>
            </w:pPr>
            <w:r>
              <w:rPr>
                <w:sz w:val="17"/>
                <w:szCs w:val="17"/>
              </w:rPr>
              <w:t xml:space="preserve">1.3</w:t>
            </w:r>
          </w:p>
        </w:tc>
        <w:tc>
          <w:tcPr>
            <w:tcW w:type="dxa" w:w="1500"/>
            <w:shd w:fill="FFFFFF" w:color="auto" w:val="clear"/>
            <w:tcMar>
              <w:top w:type="dxa" w:w="40"/>
              <w:left w:type="dxa" w:w="70"/>
              <w:bottom w:type="dxa" w:w="40"/>
              <w:right w:type="dxa" w:w="70"/>
            </w:tcMar>
          </w:tcPr>
          <w:p>
            <w:pPr>
              <w:spacing w:after="0"/>
            </w:pPr>
            <w:r>
              <w:rPr>
                <w:sz w:val="17"/>
                <w:szCs w:val="17"/>
              </w:rPr>
              <w:t xml:space="preserve">$3.09 ($3.86)</w:t>
            </w:r>
          </w:p>
        </w:tc>
        <w:tc>
          <w:tcPr>
            <w:tcW w:type="dxa" w:w="1772"/>
            <w:shd w:fill="FFFFFF" w:color="auto" w:val="clear"/>
            <w:tcMar>
              <w:top w:type="dxa" w:w="40"/>
              <w:left w:type="dxa" w:w="70"/>
              <w:bottom w:type="dxa" w:w="40"/>
              <w:right w:type="dxa" w:w="70"/>
            </w:tcMar>
          </w:tcPr>
          <w:p>
            <w:pPr>
              <w:spacing w:after="0"/>
            </w:pPr>
            <w:r>
              <w:rPr>
                <w:sz w:val="17"/>
                <w:szCs w:val="17"/>
              </w:rPr>
              <w:t xml:space="preserve">$34</w:t>
            </w:r>
          </w:p>
        </w:tc>
      </w:tr>
      <w:tr>
        <w:tc>
          <w:tcPr>
            <w:tcW w:type="dxa" w:w="2300"/>
            <w:shd w:fill="F2F5F9" w:color="auto" w:val="clear"/>
            <w:tcMar>
              <w:top w:type="dxa" w:w="40"/>
              <w:left w:type="dxa" w:w="70"/>
              <w:bottom w:type="dxa" w:w="40"/>
              <w:right w:type="dxa" w:w="70"/>
            </w:tcMar>
          </w:tcPr>
          <w:p>
            <w:pPr>
              <w:spacing w:after="0"/>
            </w:pPr>
            <w:r>
              <w:rPr>
                <w:sz w:val="17"/>
                <w:szCs w:val="17"/>
              </w:rPr>
              <w:t xml:space="preserve">full size bamboo sheets</w:t>
            </w:r>
          </w:p>
        </w:tc>
        <w:tc>
          <w:tcPr>
            <w:tcW w:type="dxa" w:w="1100"/>
            <w:shd w:fill="F2F5F9" w:color="auto" w:val="clear"/>
            <w:tcMar>
              <w:top w:type="dxa" w:w="40"/>
              <w:left w:type="dxa" w:w="70"/>
              <w:bottom w:type="dxa" w:w="40"/>
              <w:right w:type="dxa" w:w="70"/>
            </w:tcMar>
          </w:tcPr>
          <w:p>
            <w:pPr>
              <w:spacing w:after="0"/>
            </w:pPr>
            <w:r>
              <w:rPr>
                <w:sz w:val="17"/>
                <w:szCs w:val="17"/>
              </w:rPr>
              <w:t xml:space="preserve">23 → 10</w:t>
            </w:r>
          </w:p>
        </w:tc>
        <w:tc>
          <w:tcPr>
            <w:tcW w:type="dxa" w:w="1300"/>
            <w:shd w:fill="F2F5F9" w:color="auto" w:val="clear"/>
            <w:tcMar>
              <w:top w:type="dxa" w:w="40"/>
              <w:left w:type="dxa" w:w="70"/>
              <w:bottom w:type="dxa" w:w="40"/>
              <w:right w:type="dxa" w:w="70"/>
            </w:tcMar>
          </w:tcPr>
          <w:p>
            <w:pPr>
              <w:spacing w:after="0"/>
            </w:pPr>
            <w:r>
              <w:rPr>
                <w:sz w:val="17"/>
                <w:szCs w:val="17"/>
              </w:rPr>
              <w:t xml:space="preserve">7 · 1.4</w:t>
            </w:r>
          </w:p>
        </w:tc>
        <w:tc>
          <w:tcPr>
            <w:tcW w:type="dxa" w:w="1000"/>
            <w:shd w:fill="F2F5F9" w:color="auto" w:val="clear"/>
            <w:tcMar>
              <w:top w:type="dxa" w:w="40"/>
              <w:left w:type="dxa" w:w="70"/>
              <w:bottom w:type="dxa" w:w="40"/>
              <w:right w:type="dxa" w:w="70"/>
            </w:tcMar>
          </w:tcPr>
          <w:p>
            <w:pPr>
              <w:spacing w:after="0"/>
            </w:pPr>
            <w:r>
              <w:rPr>
                <w:sz w:val="17"/>
                <w:szCs w:val="17"/>
              </w:rPr>
              <w:t xml:space="preserve">12.5%</w:t>
            </w:r>
          </w:p>
        </w:tc>
        <w:tc>
          <w:tcPr>
            <w:tcW w:type="dxa" w:w="1000"/>
            <w:shd w:fill="F2F5F9" w:color="auto" w:val="clear"/>
            <w:tcMar>
              <w:top w:type="dxa" w:w="40"/>
              <w:left w:type="dxa" w:w="70"/>
              <w:bottom w:type="dxa" w:w="40"/>
              <w:right w:type="dxa" w:w="70"/>
            </w:tcMar>
          </w:tcPr>
          <w:p>
            <w:pPr>
              <w:spacing w:after="0"/>
            </w:pPr>
            <w:r>
              <w:rPr>
                <w:sz w:val="17"/>
                <w:szCs w:val="17"/>
              </w:rPr>
              <w:t xml:space="preserve">0.8</w:t>
            </w:r>
          </w:p>
        </w:tc>
        <w:tc>
          <w:tcPr>
            <w:tcW w:type="dxa" w:w="1500"/>
            <w:shd w:fill="F2F5F9" w:color="auto" w:val="clear"/>
            <w:tcMar>
              <w:top w:type="dxa" w:w="40"/>
              <w:left w:type="dxa" w:w="70"/>
              <w:bottom w:type="dxa" w:w="40"/>
              <w:right w:type="dxa" w:w="70"/>
            </w:tcMar>
          </w:tcPr>
          <w:p>
            <w:pPr>
              <w:spacing w:after="0"/>
            </w:pPr>
            <w:r>
              <w:rPr>
                <w:sz w:val="17"/>
                <w:szCs w:val="17"/>
              </w:rPr>
              <w:t xml:space="preserve">$5.28 ($6.40)</w:t>
            </w:r>
          </w:p>
        </w:tc>
        <w:tc>
          <w:tcPr>
            <w:tcW w:type="dxa" w:w="1772"/>
            <w:shd w:fill="F2F5F9" w:color="auto" w:val="clear"/>
            <w:tcMar>
              <w:top w:type="dxa" w:w="40"/>
              <w:left w:type="dxa" w:w="70"/>
              <w:bottom w:type="dxa" w:w="40"/>
              <w:right w:type="dxa" w:w="70"/>
            </w:tcMar>
          </w:tcPr>
          <w:p>
            <w:pPr>
              <w:spacing w:after="0"/>
            </w:pPr>
            <w:r>
              <w:rPr>
                <w:sz w:val="17"/>
                <w:szCs w:val="17"/>
              </w:rPr>
              <w:t xml:space="preserve">$35</w:t>
            </w:r>
          </w:p>
        </w:tc>
      </w:tr>
      <w:tr>
        <w:tc>
          <w:tcPr>
            <w:tcW w:type="dxa" w:w="2300"/>
            <w:shd w:fill="FFFFFF" w:color="auto" w:val="clear"/>
            <w:tcMar>
              <w:top w:type="dxa" w:w="40"/>
              <w:left w:type="dxa" w:w="70"/>
              <w:bottom w:type="dxa" w:w="40"/>
              <w:right w:type="dxa" w:w="70"/>
            </w:tcMar>
          </w:tcPr>
          <w:p>
            <w:pPr>
              <w:spacing w:after="0"/>
            </w:pPr>
            <w:r>
              <w:rPr>
                <w:sz w:val="17"/>
                <w:szCs w:val="17"/>
              </w:rPr>
              <w:t xml:space="preserve">Total</w:t>
            </w:r>
          </w:p>
        </w:tc>
        <w:tc>
          <w:tcPr>
            <w:tcW w:type="dxa" w:w="1100"/>
            <w:shd w:fill="FFFFFF" w:color="auto" w:val="clear"/>
            <w:tcMar>
              <w:top w:type="dxa" w:w="40"/>
              <w:left w:type="dxa" w:w="70"/>
              <w:bottom w:type="dxa" w:w="40"/>
              <w:right w:type="dxa" w:w="70"/>
            </w:tcMar>
          </w:tcPr>
          <w:p>
            <w:pPr>
              <w:spacing w:after="0"/>
            </w:pPr>
            <w:r>
              <w:rPr>
                <w:sz w:val="17"/>
                <w:szCs w:val="17"/>
              </w:rPr>
              <w:t xml:space="preserve"/>
            </w:r>
          </w:p>
        </w:tc>
        <w:tc>
          <w:tcPr>
            <w:tcW w:type="dxa" w:w="1300"/>
            <w:shd w:fill="FFFFFF" w:color="auto" w:val="clear"/>
            <w:tcMar>
              <w:top w:type="dxa" w:w="40"/>
              <w:left w:type="dxa" w:w="70"/>
              <w:bottom w:type="dxa" w:w="40"/>
              <w:right w:type="dxa" w:w="70"/>
            </w:tcMar>
          </w:tcPr>
          <w:p>
            <w:pPr>
              <w:spacing w:after="0"/>
            </w:pPr>
            <w:r>
              <w:rPr>
                <w:sz w:val="17"/>
                <w:szCs w:val="17"/>
              </w:rPr>
              <w:t xml:space="preserve">202</w:t>
            </w:r>
          </w:p>
        </w:tc>
        <w:tc>
          <w:tcPr>
            <w:tcW w:type="dxa" w:w="1000"/>
            <w:shd w:fill="FFFFFF" w:color="auto" w:val="clear"/>
            <w:tcMar>
              <w:top w:type="dxa" w:w="40"/>
              <w:left w:type="dxa" w:w="70"/>
              <w:bottom w:type="dxa" w:w="40"/>
              <w:right w:type="dxa" w:w="70"/>
            </w:tcMar>
          </w:tcPr>
          <w:p>
            <w:pPr>
              <w:spacing w:after="0"/>
            </w:pPr>
            <w:r>
              <w:rPr>
                <w:sz w:val="17"/>
                <w:szCs w:val="17"/>
              </w:rPr>
              <w:t xml:space="preserve"/>
            </w:r>
          </w:p>
        </w:tc>
        <w:tc>
          <w:tcPr>
            <w:tcW w:type="dxa" w:w="1000"/>
            <w:shd w:fill="FFFFFF" w:color="auto" w:val="clear"/>
            <w:tcMar>
              <w:top w:type="dxa" w:w="40"/>
              <w:left w:type="dxa" w:w="70"/>
              <w:bottom w:type="dxa" w:w="40"/>
              <w:right w:type="dxa" w:w="70"/>
            </w:tcMar>
          </w:tcPr>
          <w:p>
            <w:pPr>
              <w:spacing w:after="0"/>
            </w:pPr>
            <w:r>
              <w:rPr>
                <w:sz w:val="17"/>
                <w:szCs w:val="17"/>
              </w:rPr>
              <w:t xml:space="preserve">36</w:t>
            </w:r>
          </w:p>
        </w:tc>
        <w:tc>
          <w:tcPr>
            <w:tcW w:type="dxa" w:w="1500"/>
            <w:shd w:fill="FFFFFF" w:color="auto" w:val="clear"/>
            <w:tcMar>
              <w:top w:type="dxa" w:w="40"/>
              <w:left w:type="dxa" w:w="70"/>
              <w:bottom w:type="dxa" w:w="40"/>
              <w:right w:type="dxa" w:w="70"/>
            </w:tcMar>
          </w:tcPr>
          <w:p>
            <w:pPr>
              <w:spacing w:after="0"/>
            </w:pPr>
            <w:r>
              <w:rPr>
                <w:sz w:val="17"/>
                <w:szCs w:val="17"/>
              </w:rPr>
              <w:t xml:space="preserve"/>
            </w:r>
          </w:p>
        </w:tc>
        <w:tc>
          <w:tcPr>
            <w:tcW w:type="dxa" w:w="1772"/>
            <w:shd w:fill="FFFFFF" w:color="auto" w:val="clear"/>
            <w:tcMar>
              <w:top w:type="dxa" w:w="40"/>
              <w:left w:type="dxa" w:w="70"/>
              <w:bottom w:type="dxa" w:w="40"/>
              <w:right w:type="dxa" w:w="70"/>
            </w:tcMar>
          </w:tcPr>
          <w:p>
            <w:pPr>
              <w:spacing w:after="0"/>
            </w:pPr>
            <w:r>
              <w:rPr>
                <w:sz w:val="17"/>
                <w:szCs w:val="17"/>
              </w:rPr>
              <w:t xml:space="preserve">$1,199</w:t>
            </w:r>
          </w:p>
        </w:tc>
      </w:tr>
    </w:tbl>
    <w:p>
      <w:pPr>
        <w:spacing w:after="120"/>
      </w:pPr>
      <w:r>
        <w:rPr>
          <w:i/>
          <w:iCs/>
          <w:color w:val="555555"/>
          <w:sz w:val="17"/>
          <w:szCs w:val="17"/>
        </w:rPr>
        <w:t xml:space="preserve">Plan clicks = the audit’s plan for the target rank (units the rank sells ÷ conversion), before the overlap scaling in Section 12. * The campaign’s overall conversion, which beats the market. These terms have barely been shown at the top, which is the problem the push fixes. Budget = plan clicks × this week’s price; add the product-page clicks the base still buys. Ceiling = twice break-even.</w:t>
      </w:r>
    </w:p>
    <w:p>
      <w:pPr>
        <w:spacing w:after="100"/>
      </w:pPr>
      <w:r>
        <w:t xml:space="preserve">At the full plan this costs about $1,200 a day and should bring about 36 orders a day at about 41% ACoS. The terms share shoppers, so the real total will be lower. Scaled for that overlap (×0.62, Section 12), it is about $750 a day and 22 orders. Either way it is a deliberate, time-boxed investment: three weeks from 29 September, tuned weekly.</w:t>
      </w:r>
    </w:p>
    <w:p>
      <w:pPr>
        <w:spacing w:after="100"/>
      </w:pPr>
      <w:r>
        <w:t xml:space="preserve">Set up next: “cooling sheets king size” (1,468 sales a month; True Bamboo 14th; plan 34 clicks a day) and “cooling sheets queen” (2,277; True Bamboo 19th; plan 9 a day). Add both to the rank tracker and confirm each has one live exact campaign on White. Push them once they are tracked.</w:t>
      </w:r>
    </w:p>
    <w:p>
      <w:pPr>
        <w:pStyle w:val="ListParagraph"/>
        <w:numPr>
          <w:ilvl w:val="0"/>
          <w:numId w:val="3"/>
        </w:numPr>
        <w:spacing w:after="60"/>
      </w:pPr>
      <w:r>
        <w:rPr>
          <w:b/>
          <w:bCs/>
        </w:rPr>
        <w:t xml:space="preserve">Daily: </w:t>
      </w:r>
      <w:r>
        <w:t xml:space="preserve">step each price up by up to 30% until the term holds a top-3 sponsored position most hours and at least 30% of top-of-search impressions, never above its ceiling.</w:t>
      </w:r>
    </w:p>
    <w:p>
      <w:pPr>
        <w:pStyle w:val="ListParagraph"/>
        <w:numPr>
          <w:ilvl w:val="0"/>
          <w:numId w:val="3"/>
        </w:numPr>
        <w:spacing w:after="60"/>
      </w:pPr>
      <w:r>
        <w:rPr>
          <w:b/>
          <w:bCs/>
        </w:rPr>
        <w:t xml:space="preserve">At the ceiling for 3 days without holding the top: </w:t>
      </w:r>
      <w:r>
        <w:t xml:space="preserve">bring it to you, to raise that term’s ceiling for a set time or swap the term.</w:t>
      </w:r>
    </w:p>
    <w:p>
      <w:pPr>
        <w:pStyle w:val="ListParagraph"/>
        <w:numPr>
          <w:ilvl w:val="0"/>
          <w:numId w:val="3"/>
        </w:numPr>
        <w:spacing w:after="60"/>
      </w:pPr>
      <w:r>
        <w:rPr>
          <w:b/>
          <w:bCs/>
        </w:rPr>
        <w:t xml:space="preserve">Weekly: </w:t>
      </w:r>
      <w:r>
        <w:t xml:space="preserve">keep funding what moves; for a term that held the top for a week without moving, check the listing, stock and conversion before spending more.</w:t>
      </w:r>
    </w:p>
    <w:p>
      <w:pPr>
        <w:pStyle w:val="ListParagraph"/>
        <w:numPr>
          <w:ilvl w:val="0"/>
          <w:numId w:val="3"/>
        </w:numPr>
        <w:spacing w:after="60"/>
      </w:pPr>
      <w:r>
        <w:rPr>
          <w:b/>
          <w:bCs/>
        </w:rPr>
        <w:t xml:space="preserve">Stop: </w:t>
      </w:r>
      <w:r>
        <w:t xml:space="preserve">a term whose top-of-search conversion falls below the market on 50+ clicks.</w:t>
      </w:r>
    </w:p>
    <w:p>
      <w:pPr>
        <w:spacing w:after="100"/>
      </w:pPr>
      <w:r>
        <w:rPr>
          <w:b/>
          <w:bCs/>
          <w:color w:val="1F3A5F"/>
        </w:rPr>
        <w:t xml:space="preserve">Your decision. </w:t>
      </w:r>
      <w:r>
        <w:t xml:space="preserve">Approve the push budget for three weeks: the full plan (about $1,200 a day) or the overlap-adjusted plan (about $750 a day).</w:t>
      </w:r>
    </w:p>
    <w:p>
      <w:pPr>
        <w:pStyle w:val="Heading2"/>
      </w:pPr>
      <w:r>
        <w:t xml:space="preserve">5.4 Which terms qualify</w:t>
      </w:r>
    </w:p>
    <w:p>
      <w:pPr>
        <w:spacing w:after="100"/>
      </w:pPr>
      <w:r>
        <w:t xml:space="preserve">Nine B6 terms beat the market at top of search on both click-through and conversion and have 7+ days of Available stock. Most also leak to product pages, so the base cut goes in the same write as the push price.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800"/>
        <w:gridCol w:w="1200"/>
        <w:gridCol w:w="1900"/>
        <w:gridCol w:w="22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Colour advertised</w:t>
            </w:r>
          </w:p>
        </w:tc>
        <w:tc>
          <w:tcPr>
            <w:tcW w:type="dxa" w:w="800"/>
            <w:shd w:fill="1F3A5F" w:color="auto" w:val="clear"/>
            <w:tcMar>
              <w:top w:type="dxa" w:w="40"/>
              <w:left w:type="dxa" w:w="70"/>
              <w:bottom w:type="dxa" w:w="40"/>
              <w:right w:type="dxa" w:w="70"/>
            </w:tcMar>
          </w:tcPr>
          <w:p>
            <w:pPr>
              <w:spacing w:after="0"/>
            </w:pPr>
            <w:r>
              <w:rPr>
                <w:b/>
                <w:bCs/>
                <w:color w:val="FFFFFF"/>
                <w:sz w:val="17"/>
                <w:szCs w:val="17"/>
              </w:rPr>
              <w:t xml:space="preserve">In focus?</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Top-of-search conversion vs market</w:t>
            </w:r>
          </w:p>
        </w:tc>
        <w:tc>
          <w:tcPr>
            <w:tcW w:type="dxa" w:w="2272"/>
            <w:shd w:fill="1F3A5F" w:color="auto" w:val="clear"/>
            <w:tcMar>
              <w:top w:type="dxa" w:w="40"/>
              <w:left w:type="dxa" w:w="70"/>
              <w:bottom w:type="dxa" w:w="40"/>
              <w:right w:type="dxa" w:w="70"/>
            </w:tcMar>
          </w:tcPr>
          <w:p>
            <w:pPr>
              <w:spacing w:after="0"/>
            </w:pPr>
            <w:r>
              <w:rPr>
                <w:b/>
                <w:bCs/>
                <w:color w:val="FFFFFF"/>
                <w:sz w:val="17"/>
                <w:szCs w:val="17"/>
              </w:rPr>
              <w:t xml:space="preserve">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added to the push</w:t>
            </w:r>
          </w:p>
        </w:tc>
        <w:tc>
          <w:tcPr>
            <w:tcW w:type="dxa" w:w="1200"/>
            <w:shd w:fill="FFFFFF" w:color="auto" w:val="clear"/>
            <w:tcMar>
              <w:top w:type="dxa" w:w="40"/>
              <w:left w:type="dxa" w:w="70"/>
              <w:bottom w:type="dxa" w:w="40"/>
              <w:right w:type="dxa" w:w="70"/>
            </w:tcMar>
          </w:tcPr>
          <w:p>
            <w:pPr>
              <w:spacing w:after="0"/>
            </w:pPr>
            <w:r>
              <w:rPr>
                <w:sz w:val="17"/>
                <w:szCs w:val="17"/>
              </w:rPr>
              <w:t xml:space="preserve">29 · 9</w:t>
            </w:r>
          </w:p>
        </w:tc>
        <w:tc>
          <w:tcPr>
            <w:tcW w:type="dxa" w:w="1900"/>
            <w:shd w:fill="FFFFFF" w:color="auto" w:val="clear"/>
            <w:tcMar>
              <w:top w:type="dxa" w:w="40"/>
              <w:left w:type="dxa" w:w="70"/>
              <w:bottom w:type="dxa" w:w="40"/>
              <w:right w:type="dxa" w:w="70"/>
            </w:tcMar>
          </w:tcPr>
          <w:p>
            <w:pPr>
              <w:spacing w:after="0"/>
            </w:pPr>
            <w:r>
              <w:rPr>
                <w:sz w:val="17"/>
                <w:szCs w:val="17"/>
              </w:rPr>
              <w:t xml:space="preserve">19.3% vs 2.7%</w:t>
            </w:r>
          </w:p>
        </w:tc>
        <w:tc>
          <w:tcPr>
            <w:tcW w:type="dxa" w:w="2272"/>
            <w:shd w:fill="FFFFFF" w:color="auto" w:val="clear"/>
            <w:tcMar>
              <w:top w:type="dxa" w:w="40"/>
              <w:left w:type="dxa" w:w="70"/>
              <w:bottom w:type="dxa" w:w="40"/>
              <w:right w:type="dxa" w:w="70"/>
            </w:tcMar>
          </w:tcPr>
          <w:p>
            <w:pPr>
              <w:spacing w:after="0"/>
            </w:pPr>
            <w:r>
              <w:rPr>
                <w:sz w:val="17"/>
                <w:szCs w:val="17"/>
              </w:rPr>
              <w:t xml:space="preserve">Push (Section 5.6)</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300"/>
            <w:shd w:fill="F2F5F9" w:color="auto" w:val="clear"/>
            <w:tcMar>
              <w:top w:type="dxa" w:w="40"/>
              <w:left w:type="dxa" w:w="70"/>
              <w:bottom w:type="dxa" w:w="40"/>
              <w:right w:type="dxa" w:w="70"/>
            </w:tcMar>
          </w:tcPr>
          <w:p>
            <w:pPr>
              <w:spacing w:after="0"/>
            </w:pPr>
            <w:r>
              <w:rPr>
                <w:sz w:val="17"/>
                <w:szCs w:val="17"/>
              </w:rPr>
              <w:t xml:space="preserve">Queen White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21 · 5</w:t>
            </w:r>
          </w:p>
        </w:tc>
        <w:tc>
          <w:tcPr>
            <w:tcW w:type="dxa" w:w="1900"/>
            <w:shd w:fill="F2F5F9" w:color="auto" w:val="clear"/>
            <w:tcMar>
              <w:top w:type="dxa" w:w="40"/>
              <w:left w:type="dxa" w:w="70"/>
              <w:bottom w:type="dxa" w:w="40"/>
              <w:right w:type="dxa" w:w="70"/>
            </w:tcMar>
          </w:tcPr>
          <w:p>
            <w:pPr>
              <w:spacing w:after="0"/>
            </w:pPr>
            <w:r>
              <w:rPr>
                <w:sz w:val="17"/>
                <w:szCs w:val="17"/>
              </w:rPr>
              <w:t xml:space="preserve">22.7%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base cut in the same write (product pages 64%)</w:t>
            </w:r>
          </w:p>
        </w:tc>
      </w:tr>
      <w:tr>
        <w:tc>
          <w:tcPr>
            <w:tcW w:type="dxa" w:w="2500"/>
            <w:shd w:fill="FFFFFF" w:color="auto" w:val="clear"/>
            <w:tcMar>
              <w:top w:type="dxa" w:w="40"/>
              <w:left w:type="dxa" w:w="70"/>
              <w:bottom w:type="dxa" w:w="40"/>
              <w:right w:type="dxa" w:w="70"/>
            </w:tcMar>
          </w:tcPr>
          <w:p>
            <w:pPr>
              <w:spacing w:after="0"/>
            </w:pPr>
            <w:r>
              <w:rPr>
                <w:sz w:val="17"/>
                <w:szCs w:val="17"/>
              </w:rPr>
              <w:t xml:space="preserve">full size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Full White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23 · 10</w:t>
            </w:r>
          </w:p>
        </w:tc>
        <w:tc>
          <w:tcPr>
            <w:tcW w:type="dxa" w:w="1900"/>
            <w:shd w:fill="FFFFFF" w:color="auto" w:val="clear"/>
            <w:tcMar>
              <w:top w:type="dxa" w:w="40"/>
              <w:left w:type="dxa" w:w="70"/>
              <w:bottom w:type="dxa" w:w="40"/>
              <w:right w:type="dxa" w:w="70"/>
            </w:tcMar>
          </w:tcPr>
          <w:p>
            <w:pPr>
              <w:spacing w:after="0"/>
            </w:pPr>
            <w:r>
              <w:rPr>
                <w:sz w:val="17"/>
                <w:szCs w:val="17"/>
              </w:rPr>
              <w:t xml:space="preserve">12.5% vs 4.0%</w:t>
            </w:r>
          </w:p>
        </w:tc>
        <w:tc>
          <w:tcPr>
            <w:tcW w:type="dxa" w:w="2272"/>
            <w:shd w:fill="FFFFFF" w:color="auto" w:val="clear"/>
            <w:tcMar>
              <w:top w:type="dxa" w:w="40"/>
              <w:left w:type="dxa" w:w="70"/>
              <w:bottom w:type="dxa" w:w="40"/>
              <w:right w:type="dxa" w:w="70"/>
            </w:tcMar>
          </w:tcPr>
          <w:p>
            <w:pPr>
              <w:spacing w:after="0"/>
            </w:pPr>
            <w:r>
              <w:rPr>
                <w:sz w:val="17"/>
                <w:szCs w:val="17"/>
              </w:rPr>
              <w:t xml:space="preserve">Push</w:t>
            </w:r>
          </w:p>
        </w:tc>
      </w:tr>
      <w:tr>
        <w:tc>
          <w:tcPr>
            <w:tcW w:type="dxa" w:w="2500"/>
            <w:shd w:fill="F2F5F9" w:color="auto" w:val="clear"/>
            <w:tcMar>
              <w:top w:type="dxa" w:w="40"/>
              <w:left w:type="dxa" w:w="70"/>
              <w:bottom w:type="dxa" w:w="40"/>
              <w:right w:type="dxa" w:w="70"/>
            </w:tcMar>
          </w:tcPr>
          <w:p>
            <w:pPr>
              <w:spacing w:after="0"/>
            </w:pPr>
            <w:r>
              <w:rPr>
                <w:sz w:val="17"/>
                <w:szCs w:val="17"/>
              </w:rPr>
              <w:t xml:space="preserve">queen bamboo sheet set</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yes</w:t>
            </w:r>
          </w:p>
        </w:tc>
        <w:tc>
          <w:tcPr>
            <w:tcW w:type="dxa" w:w="1200"/>
            <w:shd w:fill="F2F5F9" w:color="auto" w:val="clear"/>
            <w:tcMar>
              <w:top w:type="dxa" w:w="40"/>
              <w:left w:type="dxa" w:w="70"/>
              <w:bottom w:type="dxa" w:w="40"/>
              <w:right w:type="dxa" w:w="70"/>
            </w:tcMar>
          </w:tcPr>
          <w:p>
            <w:pPr>
              <w:spacing w:after="0"/>
            </w:pPr>
            <w:r>
              <w:rPr>
                <w:sz w:val="17"/>
                <w:szCs w:val="17"/>
              </w:rPr>
              <w:t xml:space="preserve">25 · 6</w:t>
            </w:r>
          </w:p>
        </w:tc>
        <w:tc>
          <w:tcPr>
            <w:tcW w:type="dxa" w:w="1900"/>
            <w:shd w:fill="F2F5F9" w:color="auto" w:val="clear"/>
            <w:tcMar>
              <w:top w:type="dxa" w:w="40"/>
              <w:left w:type="dxa" w:w="70"/>
              <w:bottom w:type="dxa" w:w="40"/>
              <w:right w:type="dxa" w:w="70"/>
            </w:tcMar>
          </w:tcPr>
          <w:p>
            <w:pPr>
              <w:spacing w:after="0"/>
            </w:pPr>
            <w:r>
              <w:rPr>
                <w:sz w:val="17"/>
                <w:szCs w:val="17"/>
              </w:rPr>
              <w:t xml:space="preserve">21.1% vs 4.4%</w:t>
            </w:r>
          </w:p>
        </w:tc>
        <w:tc>
          <w:tcPr>
            <w:tcW w:type="dxa" w:w="2272"/>
            <w:shd w:fill="F2F5F9" w:color="auto" w:val="clear"/>
            <w:tcMar>
              <w:top w:type="dxa" w:w="40"/>
              <w:left w:type="dxa" w:w="70"/>
              <w:bottom w:type="dxa" w:w="40"/>
              <w:right w:type="dxa" w:w="70"/>
            </w:tcMar>
          </w:tcPr>
          <w:p>
            <w:pPr>
              <w:spacing w:after="0"/>
            </w:pPr>
            <w:r>
              <w:rPr>
                <w:sz w:val="17"/>
                <w:szCs w:val="17"/>
              </w:rPr>
              <w:t xml:space="preserve">Push on Queen White; base cut in the same write (52%)</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w:t>
            </w:r>
          </w:p>
        </w:tc>
        <w:tc>
          <w:tcPr>
            <w:tcW w:type="dxa" w:w="1300"/>
            <w:shd w:fill="FFFFFF" w:color="auto" w:val="clear"/>
            <w:tcMar>
              <w:top w:type="dxa" w:w="40"/>
              <w:left w:type="dxa" w:w="70"/>
              <w:bottom w:type="dxa" w:w="40"/>
              <w:right w:type="dxa" w:w="70"/>
            </w:tcMar>
          </w:tcPr>
          <w:p>
            <w:pPr>
              <w:spacing w:after="0"/>
            </w:pPr>
            <w:r>
              <w:rPr>
                <w:sz w:val="17"/>
                <w:szCs w:val="17"/>
              </w:rPr>
              <w:t xml:space="preserve">Queen Creme</w:t>
            </w:r>
          </w:p>
        </w:tc>
        <w:tc>
          <w:tcPr>
            <w:tcW w:type="dxa" w:w="800"/>
            <w:shd w:fill="FFFFFF" w:color="auto" w:val="clear"/>
            <w:tcMar>
              <w:top w:type="dxa" w:w="40"/>
              <w:left w:type="dxa" w:w="70"/>
              <w:bottom w:type="dxa" w:w="40"/>
              <w:right w:type="dxa" w:w="70"/>
            </w:tcMar>
          </w:tcPr>
          <w:p>
            <w:pPr>
              <w:spacing w:after="0"/>
            </w:pPr>
            <w:r>
              <w:rPr>
                <w:sz w:val="17"/>
                <w:szCs w:val="17"/>
              </w:rPr>
              <w:t xml:space="preserve">yes</w:t>
            </w:r>
          </w:p>
        </w:tc>
        <w:tc>
          <w:tcPr>
            <w:tcW w:type="dxa" w:w="1200"/>
            <w:shd w:fill="FFFFFF" w:color="auto" w:val="clear"/>
            <w:tcMar>
              <w:top w:type="dxa" w:w="40"/>
              <w:left w:type="dxa" w:w="70"/>
              <w:bottom w:type="dxa" w:w="40"/>
              <w:right w:type="dxa" w:w="70"/>
            </w:tcMar>
          </w:tcPr>
          <w:p>
            <w:pPr>
              <w:spacing w:after="0"/>
            </w:pPr>
            <w:r>
              <w:rPr>
                <w:sz w:val="17"/>
                <w:szCs w:val="17"/>
              </w:rPr>
              <w:t xml:space="preserve">58 · 5</w:t>
            </w:r>
          </w:p>
        </w:tc>
        <w:tc>
          <w:tcPr>
            <w:tcW w:type="dxa" w:w="1900"/>
            <w:shd w:fill="FFFFFF" w:color="auto" w:val="clear"/>
            <w:tcMar>
              <w:top w:type="dxa" w:w="40"/>
              <w:left w:type="dxa" w:w="70"/>
              <w:bottom w:type="dxa" w:w="40"/>
              <w:right w:type="dxa" w:w="70"/>
            </w:tcMar>
          </w:tcPr>
          <w:p>
            <w:pPr>
              <w:spacing w:after="0"/>
            </w:pPr>
            <w:r>
              <w:rPr>
                <w:sz w:val="17"/>
                <w:szCs w:val="17"/>
              </w:rPr>
              <w:t xml:space="preserve">30.6% vs 4.4%</w:t>
            </w:r>
          </w:p>
        </w:tc>
        <w:tc>
          <w:tcPr>
            <w:tcW w:type="dxa" w:w="2272"/>
            <w:shd w:fill="FFFFFF" w:color="auto" w:val="clear"/>
            <w:tcMar>
              <w:top w:type="dxa" w:w="40"/>
              <w:left w:type="dxa" w:w="70"/>
              <w:bottom w:type="dxa" w:w="40"/>
              <w:right w:type="dxa" w:w="70"/>
            </w:tcMar>
          </w:tcPr>
          <w:p>
            <w:pPr>
              <w:spacing w:after="0"/>
            </w:pPr>
            <w:r>
              <w:rPr>
                <w:sz w:val="17"/>
                <w:szCs w:val="17"/>
              </w:rPr>
              <w:t xml:space="preserve">Rank collapsing: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viscose bamboo sheets</w:t>
            </w:r>
          </w:p>
        </w:tc>
        <w:tc>
          <w:tcPr>
            <w:tcW w:type="dxa" w:w="1300"/>
            <w:shd w:fill="F2F5F9" w:color="auto" w:val="clear"/>
            <w:tcMar>
              <w:top w:type="dxa" w:w="40"/>
              <w:left w:type="dxa" w:w="70"/>
              <w:bottom w:type="dxa" w:w="40"/>
              <w:right w:type="dxa" w:w="70"/>
            </w:tcMar>
          </w:tcPr>
          <w:p>
            <w:pPr>
              <w:spacing w:after="0"/>
            </w:pPr>
            <w:r>
              <w:rPr>
                <w:sz w:val="17"/>
                <w:szCs w:val="17"/>
              </w:rPr>
              <w:t xml:space="preserve">Queen Olive</w:t>
            </w:r>
          </w:p>
        </w:tc>
        <w:tc>
          <w:tcPr>
            <w:tcW w:type="dxa" w:w="800"/>
            <w:shd w:fill="F2F5F9" w:color="auto" w:val="clear"/>
            <w:tcMar>
              <w:top w:type="dxa" w:w="40"/>
              <w:left w:type="dxa" w:w="70"/>
              <w:bottom w:type="dxa" w:w="40"/>
              <w:right w:type="dxa" w:w="70"/>
            </w:tcMar>
          </w:tcPr>
          <w:p>
            <w:pPr>
              <w:spacing w:after="0"/>
            </w:pPr>
            <w:r>
              <w:rPr>
                <w:sz w:val="17"/>
                <w:szCs w:val="17"/>
              </w:rPr>
              <w:t xml:space="preserve">no</w:t>
            </w:r>
          </w:p>
        </w:tc>
        <w:tc>
          <w:tcPr>
            <w:tcW w:type="dxa" w:w="1200"/>
            <w:shd w:fill="F2F5F9" w:color="auto" w:val="clear"/>
            <w:tcMar>
              <w:top w:type="dxa" w:w="40"/>
              <w:left w:type="dxa" w:w="70"/>
              <w:bottom w:type="dxa" w:w="40"/>
              <w:right w:type="dxa" w:w="70"/>
            </w:tcMar>
          </w:tcPr>
          <w:p>
            <w:pPr>
              <w:spacing w:after="0"/>
            </w:pPr>
            <w:r>
              <w:rPr>
                <w:sz w:val="17"/>
                <w:szCs w:val="17"/>
              </w:rPr>
              <w:t xml:space="preserve">8 · 1</w:t>
            </w:r>
          </w:p>
        </w:tc>
        <w:tc>
          <w:tcPr>
            <w:tcW w:type="dxa" w:w="1900"/>
            <w:shd w:fill="F2F5F9" w:color="auto" w:val="clear"/>
            <w:tcMar>
              <w:top w:type="dxa" w:w="40"/>
              <w:left w:type="dxa" w:w="70"/>
              <w:bottom w:type="dxa" w:w="40"/>
              <w:right w:type="dxa" w:w="70"/>
            </w:tcMar>
          </w:tcPr>
          <w:p>
            <w:pPr>
              <w:spacing w:after="0"/>
            </w:pPr>
            <w:r>
              <w:rPr>
                <w:sz w:val="17"/>
                <w:szCs w:val="17"/>
              </w:rPr>
              <w:t xml:space="preserve">15.7% vs 2.7%</w:t>
            </w:r>
          </w:p>
        </w:tc>
        <w:tc>
          <w:tcPr>
            <w:tcW w:type="dxa" w:w="2272"/>
            <w:shd w:fill="F2F5F9" w:color="auto" w:val="clear"/>
            <w:tcMar>
              <w:top w:type="dxa" w:w="40"/>
              <w:left w:type="dxa" w:w="70"/>
              <w:bottom w:type="dxa" w:w="40"/>
              <w:right w:type="dxa" w:w="70"/>
            </w:tcMar>
          </w:tcPr>
          <w:p>
            <w:pPr>
              <w:spacing w:after="0"/>
            </w:pPr>
            <w:r>
              <w:rPr>
                <w:sz w:val="17"/>
                <w:szCs w:val="17"/>
              </w:rPr>
              <w:t xml:space="preserve">Break-even; mix first (63%); move to Queen White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with corner straps</w:t>
            </w:r>
          </w:p>
        </w:tc>
        <w:tc>
          <w:tcPr>
            <w:tcW w:type="dxa" w:w="1300"/>
            <w:shd w:fill="FFFFFF" w:color="auto" w:val="clear"/>
            <w:tcMar>
              <w:top w:type="dxa" w:w="40"/>
              <w:left w:type="dxa" w:w="70"/>
              <w:bottom w:type="dxa" w:w="40"/>
              <w:right w:type="dxa" w:w="70"/>
            </w:tcMar>
          </w:tcPr>
          <w:p>
            <w:pPr>
              <w:spacing w:after="0"/>
            </w:pPr>
            <w:r>
              <w:rPr>
                <w:sz w:val="17"/>
                <w:szCs w:val="17"/>
              </w:rPr>
              <w:t xml:space="preserve">King White</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7 · 1</w:t>
            </w:r>
          </w:p>
        </w:tc>
        <w:tc>
          <w:tcPr>
            <w:tcW w:type="dxa" w:w="1900"/>
            <w:shd w:fill="FFFFFF" w:color="auto" w:val="clear"/>
            <w:tcMar>
              <w:top w:type="dxa" w:w="40"/>
              <w:left w:type="dxa" w:w="70"/>
              <w:bottom w:type="dxa" w:w="40"/>
              <w:right w:type="dxa" w:w="70"/>
            </w:tcMar>
          </w:tcPr>
          <w:p>
            <w:pPr>
              <w:spacing w:after="0"/>
            </w:pPr>
            <w:r>
              <w:rPr>
                <w:sz w:val="17"/>
                <w:szCs w:val="17"/>
              </w:rPr>
              <w:t xml:space="preserve">22.0% vs 2.7%</w:t>
            </w:r>
          </w:p>
        </w:tc>
        <w:tc>
          <w:tcPr>
            <w:tcW w:type="dxa" w:w="2272"/>
            <w:shd w:fill="FFFFFF" w:color="auto" w:val="clear"/>
            <w:tcMar>
              <w:top w:type="dxa" w:w="40"/>
              <w:left w:type="dxa" w:w="70"/>
              <w:bottom w:type="dxa" w:w="40"/>
              <w:right w:type="dxa" w:w="70"/>
            </w:tcMar>
          </w:tcPr>
          <w:p>
            <w:pPr>
              <w:spacing w:after="0"/>
            </w:pPr>
            <w:r>
              <w:rPr>
                <w:sz w:val="17"/>
                <w:szCs w:val="17"/>
              </w:rPr>
              <w:t xml:space="preserve">Break-even; mix first (70%)</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bed sheets</w:t>
            </w:r>
          </w:p>
        </w:tc>
        <w:tc>
          <w:tcPr>
            <w:tcW w:type="dxa" w:w="1300"/>
            <w:shd w:fill="F2F5F9" w:color="auto" w:val="clear"/>
            <w:tcMar>
              <w:top w:type="dxa" w:w="40"/>
              <w:left w:type="dxa" w:w="70"/>
              <w:bottom w:type="dxa" w:w="40"/>
              <w:right w:type="dxa" w:w="70"/>
            </w:tcMar>
          </w:tcPr>
          <w:p>
            <w:pPr>
              <w:spacing w:after="0"/>
            </w:pPr>
            <w:r>
              <w:rPr>
                <w:sz w:val="17"/>
                <w:szCs w:val="17"/>
              </w:rPr>
              <w:t xml:space="preserve">King White</w:t>
            </w:r>
          </w:p>
        </w:tc>
        <w:tc>
          <w:tcPr>
            <w:tcW w:type="dxa" w:w="800"/>
            <w:shd w:fill="F2F5F9" w:color="auto" w:val="clear"/>
            <w:tcMar>
              <w:top w:type="dxa" w:w="40"/>
              <w:left w:type="dxa" w:w="70"/>
              <w:bottom w:type="dxa" w:w="40"/>
              <w:right w:type="dxa" w:w="70"/>
            </w:tcMar>
          </w:tcPr>
          <w:p>
            <w:pPr>
              <w:spacing w:after="0"/>
            </w:pPr>
            <w:r>
              <w:rPr>
                <w:sz w:val="17"/>
                <w:szCs w:val="17"/>
              </w:rPr>
              <w:t xml:space="preserve">no</w:t>
            </w:r>
          </w:p>
        </w:tc>
        <w:tc>
          <w:tcPr>
            <w:tcW w:type="dxa" w:w="1200"/>
            <w:shd w:fill="F2F5F9" w:color="auto" w:val="clear"/>
            <w:tcMar>
              <w:top w:type="dxa" w:w="40"/>
              <w:left w:type="dxa" w:w="70"/>
              <w:bottom w:type="dxa" w:w="40"/>
              <w:right w:type="dxa" w:w="70"/>
            </w:tcMar>
          </w:tcPr>
          <w:p>
            <w:pPr>
              <w:spacing w:after="0"/>
            </w:pPr>
            <w:r>
              <w:rPr>
                <w:sz w:val="17"/>
                <w:szCs w:val="17"/>
              </w:rPr>
              <w:t xml:space="preserve">23 · 6</w:t>
            </w:r>
          </w:p>
        </w:tc>
        <w:tc>
          <w:tcPr>
            <w:tcW w:type="dxa" w:w="1900"/>
            <w:shd w:fill="F2F5F9" w:color="auto" w:val="clear"/>
            <w:tcMar>
              <w:top w:type="dxa" w:w="40"/>
              <w:left w:type="dxa" w:w="70"/>
              <w:bottom w:type="dxa" w:w="40"/>
              <w:right w:type="dxa" w:w="70"/>
            </w:tcMar>
          </w:tcPr>
          <w:p>
            <w:pPr>
              <w:spacing w:after="0"/>
            </w:pPr>
            <w:r>
              <w:rPr>
                <w:sz w:val="17"/>
                <w:szCs w:val="17"/>
              </w:rPr>
              <w:t xml:space="preserve">21.7% vs 2.7%</w:t>
            </w:r>
          </w:p>
        </w:tc>
        <w:tc>
          <w:tcPr>
            <w:tcW w:type="dxa" w:w="2272"/>
            <w:shd w:fill="F2F5F9" w:color="auto" w:val="clear"/>
            <w:tcMar>
              <w:top w:type="dxa" w:w="40"/>
              <w:left w:type="dxa" w:w="70"/>
              <w:bottom w:type="dxa" w:w="40"/>
              <w:right w:type="dxa" w:w="70"/>
            </w:tcMar>
          </w:tcPr>
          <w:p>
            <w:pPr>
              <w:spacing w:after="0"/>
            </w:pPr>
            <w:r>
              <w:rPr>
                <w:sz w:val="17"/>
                <w:szCs w:val="17"/>
              </w:rPr>
              <w:t xml:space="preserve">Break-even; mix first</w:t>
            </w:r>
          </w:p>
        </w:tc>
      </w:tr>
      <w:tr>
        <w:tc>
          <w:tcPr>
            <w:tcW w:type="dxa" w:w="2500"/>
            <w:shd w:fill="FFFFFF" w:color="auto" w:val="clear"/>
            <w:tcMar>
              <w:top w:type="dxa" w:w="40"/>
              <w:left w:type="dxa" w:w="70"/>
              <w:bottom w:type="dxa" w:w="40"/>
              <w:right w:type="dxa" w:w="70"/>
            </w:tcMar>
          </w:tcPr>
          <w:p>
            <w:pPr>
              <w:spacing w:after="0"/>
            </w:pPr>
            <w:r>
              <w:rPr>
                <w:sz w:val="17"/>
                <w:szCs w:val="17"/>
              </w:rPr>
              <w:t xml:space="preserve">black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King Black</w:t>
            </w:r>
          </w:p>
        </w:tc>
        <w:tc>
          <w:tcPr>
            <w:tcW w:type="dxa" w:w="800"/>
            <w:shd w:fill="FFFFFF" w:color="auto" w:val="clear"/>
            <w:tcMar>
              <w:top w:type="dxa" w:w="40"/>
              <w:left w:type="dxa" w:w="70"/>
              <w:bottom w:type="dxa" w:w="40"/>
              <w:right w:type="dxa" w:w="70"/>
            </w:tcMar>
          </w:tcPr>
          <w:p>
            <w:pPr>
              <w:spacing w:after="0"/>
            </w:pPr>
            <w:r>
              <w:rPr>
                <w:sz w:val="17"/>
                <w:szCs w:val="17"/>
              </w:rPr>
              <w:t xml:space="preserve">no</w:t>
            </w:r>
          </w:p>
        </w:tc>
        <w:tc>
          <w:tcPr>
            <w:tcW w:type="dxa" w:w="1200"/>
            <w:shd w:fill="FFFFFF" w:color="auto" w:val="clear"/>
            <w:tcMar>
              <w:top w:type="dxa" w:w="40"/>
              <w:left w:type="dxa" w:w="70"/>
              <w:bottom w:type="dxa" w:w="40"/>
              <w:right w:type="dxa" w:w="70"/>
            </w:tcMar>
          </w:tcPr>
          <w:p>
            <w:pPr>
              <w:spacing w:after="0"/>
            </w:pPr>
            <w:r>
              <w:rPr>
                <w:sz w:val="17"/>
                <w:szCs w:val="17"/>
              </w:rPr>
              <w:t xml:space="preserve">not tracked · 5</w:t>
            </w:r>
          </w:p>
        </w:tc>
        <w:tc>
          <w:tcPr>
            <w:tcW w:type="dxa" w:w="1900"/>
            <w:shd w:fill="FFFFFF" w:color="auto" w:val="clear"/>
            <w:tcMar>
              <w:top w:type="dxa" w:w="40"/>
              <w:left w:type="dxa" w:w="70"/>
              <w:bottom w:type="dxa" w:w="40"/>
              <w:right w:type="dxa" w:w="70"/>
            </w:tcMar>
          </w:tcPr>
          <w:p>
            <w:pPr>
              <w:spacing w:after="0"/>
            </w:pPr>
            <w:r>
              <w:rPr>
                <w:sz w:val="17"/>
                <w:szCs w:val="17"/>
              </w:rPr>
              <w:t xml:space="preserve">18.2% vs 2.7%</w:t>
            </w:r>
          </w:p>
        </w:tc>
        <w:tc>
          <w:tcPr>
            <w:tcW w:type="dxa" w:w="2272"/>
            <w:shd w:fill="FFFFFF" w:color="auto" w:val="clear"/>
            <w:tcMar>
              <w:top w:type="dxa" w:w="40"/>
              <w:left w:type="dxa" w:w="70"/>
              <w:bottom w:type="dxa" w:w="40"/>
              <w:right w:type="dxa" w:w="70"/>
            </w:tcMar>
          </w:tcPr>
          <w:p>
            <w:pPr>
              <w:spacing w:after="0"/>
            </w:pPr>
            <w:r>
              <w:rPr>
                <w:sz w:val="17"/>
                <w:szCs w:val="17"/>
              </w:rPr>
              <w:t xml:space="preserve">Break-even; mix first (57%)</w:t>
            </w:r>
          </w:p>
        </w:tc>
      </w:tr>
    </w:tbl>
    <w:p>
      <w:pPr>
        <w:spacing w:after="120"/>
      </w:pPr>
      <w:r>
        <w:rPr>
          <w:i/>
          <w:iCs/>
          <w:color w:val="555555"/>
          <w:sz w:val="17"/>
          <w:szCs w:val="17"/>
        </w:rPr>
        <w:t xml:space="preserve">Top-of-search conversion and product-page shares are 30–45-day reads from Amazon’s placement report. Ranks: our daily organic rank crawl, 28 September. The register uses a second rank table that differs by about 7–8 places on average, so its ranks can differ.</w:t>
      </w:r>
    </w:p>
    <w:p>
      <w:pPr>
        <w:pStyle w:val="Heading2"/>
      </w:pPr>
      <w:r>
        <w:t xml:space="preserve">5.5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000"/>
        <w:gridCol w:w="1500"/>
        <w:gridCol w:w="1300"/>
        <w:gridCol w:w="242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42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250"/>
            <w:shd w:fill="FFFFFF" w:color="auto" w:val="clear"/>
            <w:tcMar>
              <w:top w:type="dxa" w:w="40"/>
              <w:left w:type="dxa" w:w="70"/>
              <w:bottom w:type="dxa" w:w="40"/>
              <w:right w:type="dxa" w:w="70"/>
            </w:tcMar>
          </w:tcPr>
          <w:p>
            <w:pPr>
              <w:spacing w:after="0"/>
            </w:pPr>
            <w:r>
              <w:rPr>
                <w:sz w:val="17"/>
                <w:szCs w:val="17"/>
              </w:rPr>
              <w:t xml:space="preserve">$3.08 = King White $15.97 × 19.3%</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$3.08 × 2.11 = $6.50, capped at 2× = $6.16</w:t>
            </w:r>
          </w:p>
        </w:tc>
        <w:tc>
          <w:tcPr>
            <w:tcW w:type="dxa" w:w="1300"/>
            <w:shd w:fill="FFFFFF" w:color="auto" w:val="clear"/>
            <w:tcMar>
              <w:top w:type="dxa" w:w="40"/>
              <w:left w:type="dxa" w:w="70"/>
              <w:bottom w:type="dxa" w:w="40"/>
              <w:right w:type="dxa" w:w="70"/>
            </w:tcMar>
          </w:tcPr>
          <w:p>
            <w:pPr>
              <w:spacing w:after="0"/>
            </w:pPr>
            <w:r>
              <w:rPr>
                <w:sz w:val="17"/>
                <w:szCs w:val="17"/>
              </w:rPr>
              <w:t xml:space="preserve">$6.10 · $6.52</w:t>
            </w:r>
          </w:p>
        </w:tc>
        <w:tc>
          <w:tcPr>
            <w:tcW w:type="dxa" w:w="2422"/>
            <w:shd w:fill="FFFFFF" w:color="auto" w:val="clear"/>
            <w:tcMar>
              <w:top w:type="dxa" w:w="40"/>
              <w:left w:type="dxa" w:w="70"/>
              <w:bottom w:type="dxa" w:w="40"/>
              <w:right w:type="dxa" w:w="70"/>
            </w:tcMar>
          </w:tcPr>
          <w:p>
            <w:pPr>
              <w:spacing w:after="0"/>
            </w:pPr>
            <w:r>
              <w:rPr>
                <w:sz w:val="17"/>
                <w:szCs w:val="17"/>
              </w:rPr>
              <w:t xml:space="preserve">$6.16 on fixed bidding, with the base $1.60 → $1.20 and boost 413%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Full Size Bamboo Sheets [Full]</w:t>
            </w:r>
          </w:p>
        </w:tc>
        <w:tc>
          <w:tcPr>
            <w:tcW w:type="dxa" w:w="1250"/>
            <w:shd w:fill="F2F5F9" w:color="auto" w:val="clear"/>
            <w:tcMar>
              <w:top w:type="dxa" w:w="40"/>
              <w:left w:type="dxa" w:w="70"/>
              <w:bottom w:type="dxa" w:w="40"/>
              <w:right w:type="dxa" w:w="70"/>
            </w:tcMar>
          </w:tcPr>
          <w:p>
            <w:pPr>
              <w:spacing w:after="0"/>
            </w:pPr>
            <w:r>
              <w:rPr>
                <w:sz w:val="17"/>
                <w:szCs w:val="17"/>
              </w:rPr>
              <w:t xml:space="preserve">$3.20 = Full White $22.06 × 14.5%</w:t>
            </w:r>
          </w:p>
        </w:tc>
        <w:tc>
          <w:tcPr>
            <w:tcW w:type="dxa" w:w="1000"/>
            <w:shd w:fill="F2F5F9" w:color="auto" w:val="clear"/>
            <w:tcMar>
              <w:top w:type="dxa" w:w="40"/>
              <w:left w:type="dxa" w:w="70"/>
              <w:bottom w:type="dxa" w:w="40"/>
              <w:right w:type="dxa" w:w="70"/>
            </w:tcMar>
          </w:tcPr>
          <w:p>
            <w:pPr>
              <w:spacing w:after="0"/>
            </w:pPr>
            <w:r>
              <w:rPr>
                <w:sz w:val="17"/>
                <w:szCs w:val="17"/>
              </w:rPr>
              <w:t xml:space="preserve">23 → 10</w:t>
            </w:r>
          </w:p>
        </w:tc>
        <w:tc>
          <w:tcPr>
            <w:tcW w:type="dxa" w:w="1500"/>
            <w:shd w:fill="F2F5F9" w:color="auto" w:val="clear"/>
            <w:tcMar>
              <w:top w:type="dxa" w:w="40"/>
              <w:left w:type="dxa" w:w="70"/>
              <w:bottom w:type="dxa" w:w="40"/>
              <w:right w:type="dxa" w:w="70"/>
            </w:tcMar>
          </w:tcPr>
          <w:p>
            <w:pPr>
              <w:spacing w:after="0"/>
            </w:pPr>
            <w:r>
              <w:rPr>
                <w:sz w:val="17"/>
                <w:szCs w:val="17"/>
              </w:rPr>
              <w:t xml:space="preserve">$3.20 × 1.65 = $5.28</w:t>
            </w:r>
          </w:p>
        </w:tc>
        <w:tc>
          <w:tcPr>
            <w:tcW w:type="dxa" w:w="1300"/>
            <w:shd w:fill="F2F5F9" w:color="auto" w:val="clear"/>
            <w:tcMar>
              <w:top w:type="dxa" w:w="40"/>
              <w:left w:type="dxa" w:w="70"/>
              <w:bottom w:type="dxa" w:w="40"/>
              <w:right w:type="dxa" w:w="70"/>
            </w:tcMar>
          </w:tcPr>
          <w:p>
            <w:pPr>
              <w:spacing w:after="0"/>
            </w:pPr>
            <w:r>
              <w:rPr>
                <w:sz w:val="17"/>
                <w:szCs w:val="17"/>
              </w:rPr>
              <w:t xml:space="preserve">$8.43 · $14.77</w:t>
            </w:r>
          </w:p>
        </w:tc>
        <w:tc>
          <w:tcPr>
            <w:tcW w:type="dxa" w:w="2422"/>
            <w:shd w:fill="F2F5F9" w:color="auto" w:val="clear"/>
            <w:tcMar>
              <w:top w:type="dxa" w:w="40"/>
              <w:left w:type="dxa" w:w="70"/>
              <w:bottom w:type="dxa" w:w="40"/>
              <w:right w:type="dxa" w:w="70"/>
            </w:tcMar>
          </w:tcPr>
          <w:p>
            <w:pPr>
              <w:spacing w:after="0"/>
            </w:pPr>
            <w:r>
              <w:rPr>
                <w:sz w:val="17"/>
                <w:szCs w:val="17"/>
              </w:rPr>
              <w:t xml:space="preserve">$5.28 (−37%) on fixed bidding</w:t>
            </w:r>
          </w:p>
        </w:tc>
      </w:tr>
      <w:tr>
        <w:tc>
          <w:tcPr>
            <w:tcW w:type="dxa" w:w="2500"/>
            <w:shd w:fill="FFFFFF" w:color="auto" w:val="clear"/>
            <w:tcMar>
              <w:top w:type="dxa" w:w="40"/>
              <w:left w:type="dxa" w:w="70"/>
              <w:bottom w:type="dxa" w:w="40"/>
              <w:right w:type="dxa" w:w="70"/>
            </w:tcMar>
          </w:tcPr>
          <w:p>
            <w:pPr>
              <w:spacing w:after="0"/>
            </w:pPr>
            <w:r>
              <w:rPr>
                <w:sz w:val="17"/>
                <w:szCs w:val="17"/>
              </w:rPr>
              <w:t xml:space="preserve">Queen Size Bamboo Sheets Set [Queen], “queen bamboo sheet set”, on Queen Olive</w:t>
            </w:r>
          </w:p>
        </w:tc>
        <w:tc>
          <w:tcPr>
            <w:tcW w:type="dxa" w:w="1250"/>
            <w:shd w:fill="FFFFFF" w:color="auto" w:val="clear"/>
            <w:tcMar>
              <w:top w:type="dxa" w:w="40"/>
              <w:left w:type="dxa" w:w="70"/>
              <w:bottom w:type="dxa" w:w="40"/>
              <w:right w:type="dxa" w:w="70"/>
            </w:tcMar>
          </w:tcPr>
          <w:p>
            <w:pPr>
              <w:spacing w:after="0"/>
            </w:pPr>
            <w:r>
              <w:rPr>
                <w:sz w:val="17"/>
                <w:szCs w:val="17"/>
              </w:rPr>
              <w:t xml:space="preserve">$3.55 once on Queen White = $19.51 × 18.2% (on Olive today: $12.43 × 18.2% = $2.26)</w:t>
            </w:r>
          </w:p>
        </w:tc>
        <w:tc>
          <w:tcPr>
            <w:tcW w:type="dxa" w:w="1000"/>
            <w:shd w:fill="FFFFFF" w:color="auto" w:val="clear"/>
            <w:tcMar>
              <w:top w:type="dxa" w:w="40"/>
              <w:left w:type="dxa" w:w="70"/>
              <w:bottom w:type="dxa" w:w="40"/>
              <w:right w:type="dxa" w:w="70"/>
            </w:tcMar>
          </w:tcPr>
          <w:p>
            <w:pPr>
              <w:spacing w:after="0"/>
            </w:pPr>
            <w:r>
              <w:rPr>
                <w:sz w:val="17"/>
                <w:szCs w:val="17"/>
              </w:rPr>
              <w:t xml:space="preserve">25 → 6</w:t>
            </w:r>
          </w:p>
        </w:tc>
        <w:tc>
          <w:tcPr>
            <w:tcW w:type="dxa" w:w="1500"/>
            <w:shd w:fill="FFFFFF" w:color="auto" w:val="clear"/>
            <w:tcMar>
              <w:top w:type="dxa" w:w="40"/>
              <w:left w:type="dxa" w:w="70"/>
              <w:bottom w:type="dxa" w:w="40"/>
              <w:right w:type="dxa" w:w="70"/>
            </w:tcMar>
          </w:tcPr>
          <w:p>
            <w:pPr>
              <w:spacing w:after="0"/>
            </w:pPr>
            <w:r>
              <w:rPr>
                <w:sz w:val="17"/>
                <w:szCs w:val="17"/>
              </w:rPr>
              <w:t xml:space="preserve">$3.55 × 2.58 = $9.16, capped at 2× = $7.10</w:t>
            </w:r>
          </w:p>
        </w:tc>
        <w:tc>
          <w:tcPr>
            <w:tcW w:type="dxa" w:w="1300"/>
            <w:shd w:fill="FFFFFF" w:color="auto" w:val="clear"/>
            <w:tcMar>
              <w:top w:type="dxa" w:w="40"/>
              <w:left w:type="dxa" w:w="70"/>
              <w:bottom w:type="dxa" w:w="40"/>
              <w:right w:type="dxa" w:w="70"/>
            </w:tcMar>
          </w:tcPr>
          <w:p>
            <w:pPr>
              <w:spacing w:after="0"/>
            </w:pPr>
            <w:r>
              <w:rPr>
                <w:sz w:val="17"/>
                <w:szCs w:val="17"/>
              </w:rPr>
              <w:t xml:space="preserve">$7.89 · $13.80</w:t>
            </w:r>
          </w:p>
        </w:tc>
        <w:tc>
          <w:tcPr>
            <w:tcW w:type="dxa" w:w="2422"/>
            <w:shd w:fill="FFFFFF" w:color="auto" w:val="clear"/>
            <w:tcMar>
              <w:top w:type="dxa" w:w="40"/>
              <w:left w:type="dxa" w:w="70"/>
              <w:bottom w:type="dxa" w:w="40"/>
              <w:right w:type="dxa" w:w="70"/>
            </w:tcMar>
          </w:tcPr>
          <w:p>
            <w:pPr>
              <w:spacing w:after="0"/>
            </w:pPr>
            <w:r>
              <w:rPr>
                <w:sz w:val="17"/>
                <w:szCs w:val="17"/>
              </w:rPr>
              <w:t xml:space="preserve">Move the ad to Queen White, cut the base $1.70 → $1.28 and set $7.10, in one write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250"/>
            <w:shd w:fill="F2F5F9" w:color="auto" w:val="clear"/>
            <w:tcMar>
              <w:top w:type="dxa" w:w="40"/>
              <w:left w:type="dxa" w:w="70"/>
              <w:bottom w:type="dxa" w:w="40"/>
              <w:right w:type="dxa" w:w="70"/>
            </w:tcMar>
          </w:tcPr>
          <w:p>
            <w:pPr>
              <w:spacing w:after="0"/>
            </w:pPr>
            <w:r>
              <w:rPr>
                <w:sz w:val="17"/>
                <w:szCs w:val="17"/>
              </w:rPr>
              <w:t xml:space="preserve">$4.43 = Queen White $19.51 × 22.7%</w:t>
            </w:r>
          </w:p>
        </w:tc>
        <w:tc>
          <w:tcPr>
            <w:tcW w:type="dxa" w:w="1000"/>
            <w:shd w:fill="F2F5F9" w:color="auto" w:val="clear"/>
            <w:tcMar>
              <w:top w:type="dxa" w:w="40"/>
              <w:left w:type="dxa" w:w="70"/>
              <w:bottom w:type="dxa" w:w="40"/>
              <w:right w:type="dxa" w:w="70"/>
            </w:tcMar>
          </w:tcPr>
          <w:p>
            <w:pPr>
              <w:spacing w:after="0"/>
            </w:pPr>
            <w:r>
              <w:rPr>
                <w:sz w:val="17"/>
                <w:szCs w:val="17"/>
              </w:rPr>
              <w:t xml:space="preserve">21 → 5</w:t>
            </w:r>
          </w:p>
        </w:tc>
        <w:tc>
          <w:tcPr>
            <w:tcW w:type="dxa" w:w="1500"/>
            <w:shd w:fill="F2F5F9" w:color="auto" w:val="clear"/>
            <w:tcMar>
              <w:top w:type="dxa" w:w="40"/>
              <w:left w:type="dxa" w:w="70"/>
              <w:bottom w:type="dxa" w:w="40"/>
              <w:right w:type="dxa" w:w="70"/>
            </w:tcMar>
          </w:tcPr>
          <w:p>
            <w:pPr>
              <w:spacing w:after="0"/>
            </w:pPr>
            <w:r>
              <w:rPr>
                <w:sz w:val="17"/>
                <w:szCs w:val="17"/>
              </w:rPr>
              <w:t xml:space="preserve">$11.52, capped at 2× = $8.86</w:t>
            </w:r>
          </w:p>
        </w:tc>
        <w:tc>
          <w:tcPr>
            <w:tcW w:type="dxa" w:w="1300"/>
            <w:shd w:fill="F2F5F9" w:color="auto" w:val="clear"/>
            <w:tcMar>
              <w:top w:type="dxa" w:w="40"/>
              <w:left w:type="dxa" w:w="70"/>
              <w:bottom w:type="dxa" w:w="40"/>
              <w:right w:type="dxa" w:w="70"/>
            </w:tcMar>
          </w:tcPr>
          <w:p>
            <w:pPr>
              <w:spacing w:after="0"/>
            </w:pPr>
            <w:r>
              <w:rPr>
                <w:sz w:val="17"/>
                <w:szCs w:val="17"/>
              </w:rPr>
              <w:t xml:space="preserve">$5.93 · no price change</w:t>
            </w:r>
          </w:p>
        </w:tc>
        <w:tc>
          <w:tcPr>
            <w:tcW w:type="dxa" w:w="2422"/>
            <w:shd w:fill="F2F5F9" w:color="auto" w:val="clear"/>
            <w:tcMar>
              <w:top w:type="dxa" w:w="40"/>
              <w:left w:type="dxa" w:w="70"/>
              <w:bottom w:type="dxa" w:w="40"/>
              <w:right w:type="dxa" w:w="70"/>
            </w:tcMar>
          </w:tcPr>
          <w:p>
            <w:pPr>
              <w:spacing w:after="0"/>
            </w:pPr>
            <w:r>
              <w:rPr>
                <w:sz w:val="17"/>
                <w:szCs w:val="17"/>
              </w:rPr>
              <w:t xml:space="preserve">Base $1.37 → $1.03 and top of search +30% to $7.71, in one write. Then up to 30% a day toward $8.86 until it holds the top. Stay on White (the audit moves it to Olive).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Queen [MSV], on Queen Creme</w:t>
            </w:r>
          </w:p>
        </w:tc>
        <w:tc>
          <w:tcPr>
            <w:tcW w:type="dxa" w:w="1250"/>
            <w:shd w:fill="FFFFFF" w:color="auto" w:val="clear"/>
            <w:tcMar>
              <w:top w:type="dxa" w:w="40"/>
              <w:left w:type="dxa" w:w="70"/>
              <w:bottom w:type="dxa" w:w="40"/>
              <w:right w:type="dxa" w:w="70"/>
            </w:tcMar>
          </w:tcPr>
          <w:p>
            <w:pPr>
              <w:spacing w:after="0"/>
            </w:pPr>
            <w:r>
              <w:rPr>
                <w:sz w:val="17"/>
                <w:szCs w:val="17"/>
              </w:rPr>
              <w:t xml:space="preserve">$4.96 once on Queen White = $19.51 × 25.4% (on Creme today: $5.72)</w:t>
            </w:r>
          </w:p>
        </w:tc>
        <w:tc>
          <w:tcPr>
            <w:tcW w:type="dxa" w:w="1000"/>
            <w:shd w:fill="FFFFFF" w:color="auto" w:val="clear"/>
            <w:tcMar>
              <w:top w:type="dxa" w:w="40"/>
              <w:left w:type="dxa" w:w="70"/>
              <w:bottom w:type="dxa" w:w="40"/>
              <w:right w:type="dxa" w:w="70"/>
            </w:tcMar>
          </w:tcPr>
          <w:p>
            <w:pPr>
              <w:spacing w:after="0"/>
            </w:pPr>
            <w:r>
              <w:rPr>
                <w:sz w:val="17"/>
                <w:szCs w:val="17"/>
              </w:rPr>
              <w:t xml:space="preserve">58 → 5</w:t>
            </w:r>
          </w:p>
        </w:tc>
        <w:tc>
          <w:tcPr>
            <w:tcW w:type="dxa" w:w="1500"/>
            <w:shd w:fill="FFFFFF" w:color="auto" w:val="clear"/>
            <w:tcMar>
              <w:top w:type="dxa" w:w="40"/>
              <w:left w:type="dxa" w:w="70"/>
              <w:bottom w:type="dxa" w:w="40"/>
              <w:right w:type="dxa" w:w="70"/>
            </w:tcMar>
          </w:tcPr>
          <w:p>
            <w:pPr>
              <w:spacing w:after="0"/>
            </w:pPr>
            <w:r>
              <w:rPr>
                <w:sz w:val="17"/>
                <w:szCs w:val="17"/>
              </w:rPr>
              <w:t xml:space="preserve">none while rank collapses</w:t>
            </w:r>
          </w:p>
        </w:tc>
        <w:tc>
          <w:tcPr>
            <w:tcW w:type="dxa" w:w="1300"/>
            <w:shd w:fill="FFFFFF" w:color="auto" w:val="clear"/>
            <w:tcMar>
              <w:top w:type="dxa" w:w="40"/>
              <w:left w:type="dxa" w:w="70"/>
              <w:bottom w:type="dxa" w:w="40"/>
              <w:right w:type="dxa" w:w="70"/>
            </w:tcMar>
          </w:tcPr>
          <w:p>
            <w:pPr>
              <w:spacing w:after="0"/>
            </w:pPr>
            <w:r>
              <w:rPr>
                <w:sz w:val="17"/>
                <w:szCs w:val="17"/>
              </w:rPr>
              <w:t xml:space="preserve">$4.18 · $7.32</w:t>
            </w:r>
          </w:p>
        </w:tc>
        <w:tc>
          <w:tcPr>
            <w:tcW w:type="dxa" w:w="2422"/>
            <w:shd w:fill="FFFFFF" w:color="auto" w:val="clear"/>
            <w:tcMar>
              <w:top w:type="dxa" w:w="40"/>
              <w:left w:type="dxa" w:w="70"/>
              <w:bottom w:type="dxa" w:w="40"/>
              <w:right w:type="dxa" w:w="70"/>
            </w:tcMar>
          </w:tcPr>
          <w:p>
            <w:pPr>
              <w:spacing w:after="0"/>
            </w:pPr>
            <w:r>
              <w:rPr>
                <w:sz w:val="17"/>
                <w:szCs w:val="17"/>
              </w:rPr>
              <w:t xml:space="preserve">Hold $4.18, move the ad to Queen White, and fix the cause first (Section 13)</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250"/>
            <w:shd w:fill="F2F5F9" w:color="auto" w:val="clear"/>
            <w:tcMar>
              <w:top w:type="dxa" w:w="40"/>
              <w:left w:type="dxa" w:w="70"/>
              <w:bottom w:type="dxa" w:w="40"/>
              <w:right w:type="dxa" w:w="70"/>
            </w:tcMar>
          </w:tcPr>
          <w:p>
            <w:pPr>
              <w:spacing w:after="0"/>
            </w:pPr>
            <w:r>
              <w:rPr>
                <w:sz w:val="17"/>
                <w:szCs w:val="17"/>
              </w:rPr>
              <w:t xml:space="preserve">$2.24 once on Queen White = $19.51 × 11.5%</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$5.61, capped at 2× = $4.49</w:t>
            </w:r>
          </w:p>
        </w:tc>
        <w:tc>
          <w:tcPr>
            <w:tcW w:type="dxa" w:w="1300"/>
            <w:shd w:fill="F2F5F9" w:color="auto" w:val="clear"/>
            <w:tcMar>
              <w:top w:type="dxa" w:w="40"/>
              <w:left w:type="dxa" w:w="70"/>
              <w:bottom w:type="dxa" w:w="40"/>
              <w:right w:type="dxa" w:w="70"/>
            </w:tcMar>
          </w:tcPr>
          <w:p>
            <w:pPr>
              <w:spacing w:after="0"/>
            </w:pPr>
            <w:r>
              <w:rPr>
                <w:sz w:val="17"/>
                <w:szCs w:val="17"/>
              </w:rPr>
              <w:t xml:space="preserve">$3.16 · $5.53</w:t>
            </w:r>
          </w:p>
        </w:tc>
        <w:tc>
          <w:tcPr>
            <w:tcW w:type="dxa" w:w="2422"/>
            <w:shd w:fill="F2F5F9" w:color="auto" w:val="clear"/>
            <w:tcMar>
              <w:top w:type="dxa" w:w="40"/>
              <w:left w:type="dxa" w:w="70"/>
              <w:bottom w:type="dxa" w:w="40"/>
              <w:right w:type="dxa" w:w="70"/>
            </w:tcMar>
          </w:tcPr>
          <w:p>
            <w:pPr>
              <w:spacing w:after="0"/>
            </w:pPr>
            <w:r>
              <w:rPr>
                <w:sz w:val="17"/>
                <w:szCs w:val="17"/>
              </w:rPr>
              <w:t xml:space="preserve">Move the ad to Queen White, cut the base $1.58 → $1.19 and set $4.11 (+30%), in one write; then up to 30% a day toward $4.49</w:t>
            </w:r>
          </w:p>
        </w:tc>
      </w:tr>
    </w:tbl>
    <w:p>
      <w:pPr>
        <w:spacing w:after="120"/>
      </w:pPr>
      <w:r>
        <w:rPr>
          <w:i/>
          <w:iCs/>
          <w:color w:val="555555"/>
          <w:sz w:val="17"/>
          <w:szCs w:val="17"/>
        </w:rPr>
        <w:t xml:space="preserve">Premium = (rank now ÷ target − 1) × 50%, or +25% when the ratio is 1.5 or less; the push price never exceeds twice break-even and steps up by at most 30% a day. Break-even = the advertised colour’s Sellerboard margin × the campaign’s top-of-search conversion; where the ad moves to White, it is priced on White’s margin. “Now · audit” = today’s top-of-search price and what the audit writes.</w:t>
      </w:r>
    </w:p>
    <w:p>
      <w:pPr>
        <w:pStyle w:val="Heading2"/>
      </w:pPr>
      <w:r>
        <w:t xml:space="preserve">5.6 “bamboo sheets”</w:t>
      </w:r>
    </w:p>
    <w:p>
      <w:pPr>
        <w:spacing w:after="100"/>
      </w:pPr>
      <w:r>
        <w:t xml:space="preserve">It is B6’s biggest term: about 116,000 searches a month, and 116 units a week in the audit’s plan at rank 9. In the last 30 days its exact campaign took 760 clicks at 15.3% conversion and spent $2,958. At the top it beats the market on click-through and on conversion (19.3% against 2.7%), and King White has 1,406 units Available. It meets every push condition.</w:t>
      </w:r>
    </w:p>
    <w:p>
      <w:pPr>
        <w:spacing w:after="100"/>
      </w:pPr>
      <w:r>
        <w:t xml:space="preserve">The audit marks it out of focus and contradicts itself three times:</w:t>
      </w:r>
    </w:p>
    <w:p>
      <w:pPr>
        <w:pStyle w:val="ListParagraph"/>
        <w:numPr>
          <w:ilvl w:val="0"/>
          <w:numId w:val="3"/>
        </w:numPr>
        <w:spacing w:after="60"/>
      </w:pPr>
      <w:r>
        <w:t xml:space="preserve">It calls its change a step down to $5.65.</w:t>
      </w:r>
    </w:p>
    <w:p>
      <w:pPr>
        <w:pStyle w:val="ListParagraph"/>
        <w:numPr>
          <w:ilvl w:val="0"/>
          <w:numId w:val="3"/>
        </w:numPr>
        <w:spacing w:after="60"/>
      </w:pPr>
      <w:r>
        <w:t xml:space="preserve">Its own check then holds that step down (“placement problem, not performance”).</w:t>
      </w:r>
    </w:p>
    <w:p>
      <w:pPr>
        <w:pStyle w:val="ListParagraph"/>
        <w:numPr>
          <w:ilvl w:val="0"/>
          <w:numId w:val="3"/>
        </w:numPr>
        <w:spacing w:after="60"/>
      </w:pPr>
      <w:r>
        <w:t xml:space="preserve">The change it actually writes (base $1.60 → $1.39, boost 281% → 369%) raises the price from $6.10 to $6.52, while its notes say the price holds to the cent.</w:t>
      </w:r>
    </w:p>
    <w:p>
      <w:pPr>
        <w:spacing w:after="100"/>
      </w:pPr>
      <w:r>
        <w:t xml:space="preserve">The push price here, $6.16, is within 6% of the audit’s number. The real correction is fixed bidding and a deeper base cut.</w:t>
      </w:r>
    </w:p>
    <w:p>
      <w:pPr>
        <w:spacing w:after="100"/>
      </w:pPr>
      <w:r>
        <w:t xml:space="preserve">It buys too little at the top: 39% of its clicks, against 57% on product pages, and 1.5% of the top-of-search impressions. The plan asks for 69 top-of-search clicks a day (about 40 after the overlap scaling in Section 12); it gets 7. The fix is the mix and fixed bidding more than a higher price:</w:t>
      </w:r>
    </w:p>
    <w:p>
      <w:pPr>
        <w:pStyle w:val="ListParagraph"/>
        <w:numPr>
          <w:ilvl w:val="0"/>
          <w:numId w:val="3"/>
        </w:numPr>
        <w:spacing w:after="60"/>
      </w:pPr>
      <w:r>
        <w:t xml:space="preserve">Base $1.60 → $1.20.</w:t>
      </w:r>
    </w:p>
    <w:p>
      <w:pPr>
        <w:pStyle w:val="ListParagraph"/>
        <w:numPr>
          <w:ilvl w:val="0"/>
          <w:numId w:val="3"/>
        </w:numPr>
        <w:spacing w:after="60"/>
      </w:pPr>
      <w:r>
        <w:t xml:space="preserve">Boost 413%.</w:t>
      </w:r>
    </w:p>
    <w:p>
      <w:pPr>
        <w:pStyle w:val="ListParagraph"/>
        <w:numPr>
          <w:ilvl w:val="0"/>
          <w:numId w:val="3"/>
        </w:numPr>
        <w:spacing w:after="60"/>
      </w:pPr>
      <w:r>
        <w:t xml:space="preserve">Fixed bidding, which puts it at $6.16 at the top.</w:t>
      </w:r>
    </w:p>
    <w:p>
      <w:pPr>
        <w:pStyle w:val="ListParagraph"/>
        <w:numPr>
          <w:ilvl w:val="0"/>
          <w:numId w:val="3"/>
        </w:numPr>
        <w:spacing w:after="60"/>
      </w:pPr>
      <w:r>
        <w:t xml:space="preserve">Exclude “bamboo sheets” from the five broad discovery campaigns that took 47 clicks and 1 order on it in 30 days.</w:t>
      </w:r>
    </w:p>
    <w:p>
      <w:pPr>
        <w:spacing w:after="100"/>
      </w:pPr>
      <w:r>
        <w:rPr>
          <w:b/>
          <w:bCs/>
          <w:color w:val="1F3A5F"/>
        </w:rPr>
        <w:t xml:space="preserve">In the push plan. </w:t>
      </w:r>
      <w:r>
        <w:t xml:space="preserve">69 top-of-search clicks a day at $6.16 is about $425 a day and should bring about 13 orders a day (Section 5.3).</w:t>
      </w:r>
    </w:p>
    <w:p>
      <w:pPr>
        <w:pStyle w:val="Heading2"/>
      </w:pPr>
      <w:r>
        <w:t xml:space="preserve">5.7 Every focus campaign gets a move this week</w:t>
      </w:r>
    </w:p>
    <w:p>
      <w:pPr>
        <w:spacing w:after="100"/>
      </w:pPr>
      <w:r>
        <w:t xml:space="preserve">No focus campaign is held for review. Each gets one of these moves:</w:t>
      </w:r>
    </w:p>
    <w:p>
      <w:pPr>
        <w:pStyle w:val="ListParagraph"/>
        <w:numPr>
          <w:ilvl w:val="0"/>
          <w:numId w:val="3"/>
        </w:numPr>
        <w:spacing w:after="60"/>
      </w:pPr>
      <w:r>
        <w:rPr>
          <w:b/>
          <w:bCs/>
        </w:rPr>
        <w:t xml:space="preserve">Push </w:t>
      </w:r>
      <w:r>
        <w:t xml:space="preserve">where it is in the plan: fixed bidding, the base cut and push price in one write, daily steps until it holds the top, and a budget for its planned clicks.</w:t>
      </w:r>
    </w:p>
    <w:p>
      <w:pPr>
        <w:pStyle w:val="ListParagraph"/>
        <w:numPr>
          <w:ilvl w:val="0"/>
          <w:numId w:val="3"/>
        </w:numPr>
        <w:spacing w:after="60"/>
      </w:pPr>
      <w:r>
        <w:rPr>
          <w:b/>
          <w:bCs/>
        </w:rPr>
        <w:t xml:space="preserve">Fix what stops it qualifying, </w:t>
      </w:r>
      <w:r>
        <w:t xml:space="preserve">at break-even in the meantime: fix the mix (Section 8), move the ad to White (Section 6), or restart a paused keyword (Section 7).</w:t>
      </w:r>
    </w:p>
    <w:p>
      <w:pPr>
        <w:pStyle w:val="ListParagraph"/>
        <w:numPr>
          <w:ilvl w:val="0"/>
          <w:numId w:val="3"/>
        </w:numPr>
        <w:spacing w:after="60"/>
      </w:pPr>
      <w:r>
        <w:rPr>
          <w:b/>
          <w:bCs/>
        </w:rPr>
        <w:t xml:space="preserve">Too few clicks to judge: </w:t>
      </w:r>
      <w:r>
        <w:t xml:space="preserve">break-even until the campaign has 15 top-of-search clicks, on fixed bidding so it can collect them.</w:t>
      </w:r>
    </w:p>
    <w:p>
      <w:pPr>
        <w:pStyle w:val="Heading2"/>
      </w:pPr>
      <w:r>
        <w:t xml:space="preserve">5.8 How the push is paid for</w:t>
      </w:r>
    </w:p>
    <w:p>
      <w:pPr>
        <w:spacing w:after="100"/>
      </w:pPr>
      <w:r>
        <w:t xml:space="preserve">The push grows spend on purpose; that is what buys rank at the speed True Bamboo showed. Part of it is paid for by:</w:t>
      </w:r>
    </w:p>
    <w:p>
      <w:pPr>
        <w:pStyle w:val="ListParagraph"/>
        <w:numPr>
          <w:ilvl w:val="0"/>
          <w:numId w:val="3"/>
        </w:numPr>
        <w:spacing w:after="60"/>
      </w:pPr>
      <w:r>
        <w:t xml:space="preserve">Product-page clicks on ranking campaigns: 52% of all clicks, at about $2 each.</w:t>
      </w:r>
    </w:p>
    <w:p>
      <w:pPr>
        <w:pStyle w:val="ListParagraph"/>
        <w:numPr>
          <w:ilvl w:val="0"/>
          <w:numId w:val="3"/>
        </w:numPr>
        <w:spacing w:after="60"/>
      </w:pPr>
      <w:r>
        <w:t xml:space="preserve">Out-of-focus ranking campaigns coming down to break-even.</w:t>
      </w:r>
    </w:p>
    <w:p>
      <w:pPr>
        <w:pStyle w:val="ListParagraph"/>
        <w:numPr>
          <w:ilvl w:val="0"/>
          <w:numId w:val="3"/>
        </w:numPr>
        <w:spacing w:after="60"/>
      </w:pPr>
      <w:r>
        <w:t xml:space="preserve">The 15 new campaigns and the retags not launched mid-deal: about $590 a day in the audit’s forecast.</w:t>
      </w:r>
    </w:p>
    <w:p>
      <w:pPr>
        <w:pStyle w:val="ListParagraph"/>
        <w:numPr>
          <w:ilvl w:val="0"/>
          <w:numId w:val="3"/>
        </w:numPr>
        <w:spacing w:after="60"/>
      </w:pPr>
      <w:r>
        <w:t xml:space="preserve">No 75% jumps.</w:t>
      </w:r>
    </w:p>
    <w:p>
      <w:pPr>
        <w:spacing w:after="100"/>
      </w:pPr>
      <w:r>
        <w:t xml:space="preserve">The rest is new money. That is why the push budget is approved separately, for three weeks, and tuned weekly on rank movement.</w:t>
      </w:r>
    </w:p>
    <w:p>
      <w:pPr>
        <w:pStyle w:val="Heading1"/>
      </w:pPr>
      <w:r>
        <w:t xml:space="preserve">6. Which colour each campaign advertises</w:t>
      </w:r>
    </w:p>
    <w:p>
      <w:pPr>
        <w:spacing w:after="100"/>
      </w:pPr>
      <w:r>
        <w:t xml:space="preserve">Ranking campaigns advertise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30-day units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219 units (#1 in the size) · 1,406 = 193 days at the 30-day pace (132 at the recent pace)</w:t>
            </w:r>
          </w:p>
        </w:tc>
        <w:tc>
          <w:tcPr>
            <w:tcW w:type="dxa" w:w="2000"/>
            <w:shd w:fill="FFFFFF" w:color="auto" w:val="clear"/>
            <w:tcMar>
              <w:top w:type="dxa" w:w="40"/>
              <w:left w:type="dxa" w:w="70"/>
              <w:bottom w:type="dxa" w:w="40"/>
              <w:right w:type="dxa" w:w="70"/>
            </w:tcMar>
          </w:tcPr>
          <w:p>
            <w:pPr>
              <w:spacing w:after="0"/>
            </w:pPr>
            <w:r>
              <w:rPr>
                <w:sz w:val="17"/>
                <w:szCs w:val="17"/>
              </w:rPr>
              <w:t xml:space="preserve">White (8 campaigns, 2 of them from other sizes)</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166 units (#1) · 323 = 58 days at the 30-day pace (47 at the recent pace); 1,002 arriving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51 units (#1) · 62 = 36 days (26 recent); 78 inbound</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27 units (#1) · 53 = 59 days (32 recent); 72 inbound</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sold · 0 Available (36 in transfer)</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(6 units, 54 Available) until White is Available and selling</w:t>
            </w:r>
          </w:p>
        </w:tc>
      </w:tr>
    </w:tbl>
    <w:p>
      <w:pPr>
        <w:spacing w:after="120"/>
      </w:pPr>
      <w:r>
        <w:rPr>
          <w:i/>
          <w:iCs/>
          <w:color w:val="555555"/>
          <w:sz w:val="17"/>
          <w:szCs w:val="17"/>
        </w:rPr>
        <w:t xml:space="preserve">Sellerboard, 30-day units and Available stock on 28 September. The recent pace is the register’s weighted sales rate, which leans on the last weeks, deal days included.</w:t>
      </w:r>
    </w:p>
    <w:p>
      <w:pPr>
        <w:pStyle w:val="ListParagraph"/>
        <w:numPr>
          <w:ilvl w:val="0"/>
          <w:numId w:val="3"/>
        </w:numPr>
        <w:spacing w:after="60"/>
      </w:pPr>
      <w:r>
        <w:rPr>
          <w:b/>
          <w:bCs/>
        </w:rPr>
        <w:t xml:space="preserve">Why not Queen Olive: </w:t>
      </w:r>
      <w:r>
        <w:t xml:space="preserve">Olive is the size’s seventh seller. The audit’s reason is that White would run out at its push pace, three days before the arrival. That is the push creating its own stockout, on a forecast about ten times too high (Section 12). White lasts 58 days at the 30-day pace, and 47 at the faster recent pace, against 32 to the arrival.</w:t>
      </w:r>
    </w:p>
    <w:p>
      <w:pPr>
        <w:pStyle w:val="ListParagraph"/>
        <w:numPr>
          <w:ilvl w:val="0"/>
          <w:numId w:val="3"/>
        </w:numPr>
        <w:spacing w:after="60"/>
      </w:pPr>
      <w:r>
        <w:rPr>
          <w:b/>
          <w:bCs/>
        </w:rPr>
        <w:t xml:space="preserve">Switches that change the size are wrong. </w:t>
      </w:r>
      <w:r>
        <w:t xml:space="preserve">The audit moves Black Bamboo Sheets from King Black to California King Black. It moves White Cooling Sheets from Queen White to King White, and Cali King Bamboo Sheets from California King Sage Green to King White. A colour switch is a stock fix inside a size. Two of them follow an operator ruling of 19 September that a colour named in the keyword fixes the colour, not the size. They also move away from colours the audit says are running out. That is the same inflated push-pace reading as Queen. King Black has 117 in stock against 52 sold in 30 days (about 67 days). The switch would move “black bamboo sheets” off a colour with 509 clicks and 58 orders onto one with none. The ruling should change: a colour switch stays inside the size. The third, California King Sage Green to King White, has no reason at all; that term belongs on California King White.</w:t>
      </w:r>
    </w:p>
    <w:p>
      <w:pPr>
        <w:pStyle w:val="ListParagraph"/>
        <w:numPr>
          <w:ilvl w:val="0"/>
          <w:numId w:val="3"/>
        </w:numPr>
        <w:spacing w:after="60"/>
      </w:pPr>
      <w:r>
        <w:rPr>
          <w:b/>
          <w:bCs/>
        </w:rPr>
        <w:t xml:space="preserve">27 ranking campaigns advertise a colour other than their size’s ranking colour. </w:t>
      </w:r>
      <w:r>
        <w:t xml:space="preserve">All 88 of the audit’s switches skip on upload, so make them by hand, but only the 10 that move ads to White within the same size. Don’t make the 75 Queen-to-Olive switches or the 3 size changes.</w:t>
      </w:r>
    </w:p>
    <w:p>
      <w:pPr>
        <w:spacing w:after="100"/>
      </w:pPr>
      <w:r>
        <w:t xml:space="preserve">Discovery campaigns (auto, broad, phrase) advertise the size’s clearance colour, never White. That means a colour with 180+ days of Available cover, or 90+ days while selling at or below the size’s middle colour: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372"/>
      </w:tblGrid>
      <w:tr>
        <w:trPr>
          <w:tblHeader/>
        </w:trPr>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4000"/>
            <w:shd w:fill="1F3A5F" w:color="auto" w:val="clear"/>
            <w:tcMar>
              <w:top w:type="dxa" w:w="40"/>
              <w:left w:type="dxa" w:w="70"/>
              <w:bottom w:type="dxa" w:w="40"/>
              <w:right w:type="dxa" w:w="70"/>
            </w:tcMar>
          </w:tcPr>
          <w:p>
            <w:pPr>
              <w:spacing w:after="0"/>
            </w:pPr>
            <w:r>
              <w:rPr>
                <w:b/>
                <w:bCs/>
                <w:color w:val="FFFFFF"/>
                <w:sz w:val="17"/>
                <w:szCs w:val="17"/>
              </w:rPr>
              <w:t xml:space="preserve">Clearance colour for discovery</w:t>
            </w:r>
          </w:p>
        </w:tc>
        <w:tc>
          <w:tcPr>
            <w:tcW w:type="dxa" w:w="4372"/>
            <w:shd w:fill="1F3A5F" w:color="auto" w:val="clear"/>
            <w:tcMar>
              <w:top w:type="dxa" w:w="40"/>
              <w:left w:type="dxa" w:w="70"/>
              <w:bottom w:type="dxa" w:w="40"/>
              <w:right w:type="dxa" w:w="70"/>
            </w:tcMar>
          </w:tcPr>
          <w:p>
            <w:pPr>
              <w:spacing w:after="0"/>
            </w:pPr>
            <w:r>
              <w:rPr>
                <w:b/>
                <w:bCs/>
                <w:color w:val="FFFFFF"/>
                <w:sz w:val="17"/>
                <w:szCs w:val="17"/>
              </w:rPr>
              <w:t xml:space="preserve">Other slow colours</w:t>
            </w:r>
          </w:p>
        </w:tc>
      </w:tr>
      <w:tr>
        <w:tc>
          <w:tcPr>
            <w:tcW w:type="dxa" w:w="1600"/>
            <w:shd w:fill="FFFFFF" w:color="auto" w:val="clear"/>
            <w:tcMar>
              <w:top w:type="dxa" w:w="40"/>
              <w:left w:type="dxa" w:w="70"/>
              <w:bottom w:type="dxa" w:w="40"/>
              <w:right w:type="dxa" w:w="70"/>
            </w:tcMar>
          </w:tcPr>
          <w:p>
            <w:pPr>
              <w:spacing w:after="0"/>
            </w:pPr>
            <w:r>
              <w:rPr>
                <w:sz w:val="17"/>
                <w:szCs w:val="17"/>
              </w:rPr>
              <w:t xml:space="preserve">King</w:t>
            </w:r>
          </w:p>
        </w:tc>
        <w:tc>
          <w:tcPr>
            <w:tcW w:type="dxa" w:w="4000"/>
            <w:shd w:fill="FFFFFF" w:color="auto" w:val="clear"/>
            <w:tcMar>
              <w:top w:type="dxa" w:w="40"/>
              <w:left w:type="dxa" w:w="70"/>
              <w:bottom w:type="dxa" w:w="40"/>
              <w:right w:type="dxa" w:w="70"/>
            </w:tcMar>
          </w:tcPr>
          <w:p>
            <w:pPr>
              <w:spacing w:after="0"/>
            </w:pPr>
            <w:r>
              <w:rPr>
                <w:sz w:val="17"/>
                <w:szCs w:val="17"/>
              </w:rPr>
              <w:t xml:space="preserve">Grey: 32 sold, 391 Available, 196 days</w:t>
            </w:r>
          </w:p>
        </w:tc>
        <w:tc>
          <w:tcPr>
            <w:tcW w:type="dxa" w:w="4372"/>
            <w:shd w:fill="FFFFFF" w:color="auto" w:val="clear"/>
            <w:tcMar>
              <w:top w:type="dxa" w:w="40"/>
              <w:left w:type="dxa" w:w="70"/>
              <w:bottom w:type="dxa" w:w="40"/>
              <w:right w:type="dxa" w:w="70"/>
            </w:tcMar>
          </w:tcPr>
          <w:p>
            <w:pPr>
              <w:spacing w:after="0"/>
            </w:pPr>
            <w:r>
              <w:rPr>
                <w:sz w:val="17"/>
                <w:szCs w:val="17"/>
              </w:rPr>
              <w:t xml:space="preserve">Light Pink, Light Olive</w:t>
            </w:r>
          </w:p>
        </w:tc>
      </w:tr>
      <w:tr>
        <w:tc>
          <w:tcPr>
            <w:tcW w:type="dxa" w:w="1600"/>
            <w:shd w:fill="F2F5F9" w:color="auto" w:val="clear"/>
            <w:tcMar>
              <w:top w:type="dxa" w:w="40"/>
              <w:left w:type="dxa" w:w="70"/>
              <w:bottom w:type="dxa" w:w="40"/>
              <w:right w:type="dxa" w:w="70"/>
            </w:tcMar>
          </w:tcPr>
          <w:p>
            <w:pPr>
              <w:spacing w:after="0"/>
            </w:pPr>
            <w:r>
              <w:rPr>
                <w:sz w:val="17"/>
                <w:szCs w:val="17"/>
              </w:rPr>
              <w:t xml:space="preserve">Queen</w:t>
            </w:r>
          </w:p>
        </w:tc>
        <w:tc>
          <w:tcPr>
            <w:tcW w:type="dxa" w:w="4000"/>
            <w:shd w:fill="F2F5F9" w:color="auto" w:val="clear"/>
            <w:tcMar>
              <w:top w:type="dxa" w:w="40"/>
              <w:left w:type="dxa" w:w="70"/>
              <w:bottom w:type="dxa" w:w="40"/>
              <w:right w:type="dxa" w:w="70"/>
            </w:tcMar>
          </w:tcPr>
          <w:p>
            <w:pPr>
              <w:spacing w:after="0"/>
            </w:pPr>
            <w:r>
              <w:rPr>
                <w:sz w:val="17"/>
                <w:szCs w:val="17"/>
              </w:rPr>
              <w:t xml:space="preserve">Light Olive: 11 sold, 131 Available, 141 days</w:t>
            </w:r>
          </w:p>
        </w:tc>
        <w:tc>
          <w:tcPr>
            <w:tcW w:type="dxa" w:w="4372"/>
            <w:shd w:fill="F2F5F9" w:color="auto" w:val="clear"/>
            <w:tcMar>
              <w:top w:type="dxa" w:w="40"/>
              <w:left w:type="dxa" w:w="70"/>
              <w:bottom w:type="dxa" w:w="40"/>
              <w:right w:type="dxa" w:w="70"/>
            </w:tcMar>
          </w:tcPr>
          <w:p>
            <w:pPr>
              <w:spacing w:after="0"/>
            </w:pPr>
            <w:r>
              <w:rPr>
                <w:sz w:val="17"/>
                <w:szCs w:val="17"/>
              </w:rPr>
              <w:t xml:space="preserve">Purple, Midgrey, Grey</w:t>
            </w:r>
          </w:p>
        </w:tc>
      </w:tr>
      <w:tr>
        <w:tc>
          <w:tcPr>
            <w:tcW w:type="dxa" w:w="16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4000"/>
            <w:shd w:fill="FFFFFF" w:color="auto" w:val="clear"/>
            <w:tcMar>
              <w:top w:type="dxa" w:w="40"/>
              <w:left w:type="dxa" w:w="70"/>
              <w:bottom w:type="dxa" w:w="40"/>
              <w:right w:type="dxa" w:w="70"/>
            </w:tcMar>
          </w:tcPr>
          <w:p>
            <w:pPr>
              <w:spacing w:after="0"/>
            </w:pPr>
            <w:r>
              <w:rPr>
                <w:sz w:val="17"/>
                <w:szCs w:val="17"/>
              </w:rPr>
              <w:t xml:space="preserve">Sage Green: 0 sold, 27 Available, 338 days</w:t>
            </w:r>
          </w:p>
        </w:tc>
        <w:tc>
          <w:tcPr>
            <w:tcW w:type="dxa" w:w="4372"/>
            <w:shd w:fill="FFFFFF" w:color="auto" w:val="clear"/>
            <w:tcMar>
              <w:top w:type="dxa" w:w="40"/>
              <w:left w:type="dxa" w:w="70"/>
              <w:bottom w:type="dxa" w:w="40"/>
              <w:right w:type="dxa" w:w="70"/>
            </w:tcMar>
          </w:tcPr>
          <w:p>
            <w:pPr>
              <w:spacing w:after="0"/>
            </w:pPr>
            <w:r>
              <w:rPr>
                <w:sz w:val="17"/>
                <w:szCs w:val="17"/>
              </w:rPr>
              <w:t xml:space="preserve">Burgundy</w:t>
            </w:r>
          </w:p>
        </w:tc>
      </w:tr>
      <w:tr>
        <w:tc>
          <w:tcPr>
            <w:tcW w:type="dxa" w:w="1600"/>
            <w:shd w:fill="F2F5F9" w:color="auto" w:val="clear"/>
            <w:tcMar>
              <w:top w:type="dxa" w:w="40"/>
              <w:left w:type="dxa" w:w="70"/>
              <w:bottom w:type="dxa" w:w="40"/>
              <w:right w:type="dxa" w:w="70"/>
            </w:tcMar>
          </w:tcPr>
          <w:p>
            <w:pPr>
              <w:spacing w:after="0"/>
            </w:pPr>
            <w:r>
              <w:rPr>
                <w:sz w:val="17"/>
                <w:szCs w:val="17"/>
              </w:rPr>
              <w:t xml:space="preserve">Full</w:t>
            </w:r>
          </w:p>
        </w:tc>
        <w:tc>
          <w:tcPr>
            <w:tcW w:type="dxa" w:w="4000"/>
            <w:shd w:fill="F2F5F9" w:color="auto" w:val="clear"/>
            <w:tcMar>
              <w:top w:type="dxa" w:w="40"/>
              <w:left w:type="dxa" w:w="70"/>
              <w:bottom w:type="dxa" w:w="40"/>
              <w:right w:type="dxa" w:w="70"/>
            </w:tcMar>
          </w:tcPr>
          <w:p>
            <w:pPr>
              <w:spacing w:after="0"/>
            </w:pPr>
            <w:r>
              <w:rPr>
                <w:sz w:val="17"/>
                <w:szCs w:val="17"/>
              </w:rPr>
              <w:t xml:space="preserve">Olive: 13 sold, 259 Available, 480 days</w:t>
            </w:r>
          </w:p>
        </w:tc>
        <w:tc>
          <w:tcPr>
            <w:tcW w:type="dxa" w:w="4372"/>
            <w:shd w:fill="F2F5F9" w:color="auto" w:val="clear"/>
            <w:tcMar>
              <w:top w:type="dxa" w:w="40"/>
              <w:left w:type="dxa" w:w="70"/>
              <w:bottom w:type="dxa" w:w="40"/>
              <w:right w:type="dxa" w:w="70"/>
            </w:tcMar>
          </w:tcPr>
          <w:p>
            <w:pPr>
              <w:spacing w:after="0"/>
            </w:pPr>
            <w:r>
              <w:rPr>
                <w:sz w:val="17"/>
                <w:szCs w:val="17"/>
              </w:rPr>
              <w:t xml:space="preserve">Creme, Light Olive, Sage Green, Light Grey, Light Blue, Purple</w:t>
            </w:r>
          </w:p>
        </w:tc>
      </w:tr>
      <w:tr>
        <w:tc>
          <w:tcPr>
            <w:tcW w:type="dxa" w:w="1600"/>
            <w:shd w:fill="FFFFFF" w:color="auto" w:val="clear"/>
            <w:tcMar>
              <w:top w:type="dxa" w:w="40"/>
              <w:left w:type="dxa" w:w="70"/>
              <w:bottom w:type="dxa" w:w="40"/>
              <w:right w:type="dxa" w:w="70"/>
            </w:tcMar>
          </w:tcPr>
          <w:p>
            <w:pPr>
              <w:spacing w:after="0"/>
            </w:pPr>
            <w:r>
              <w:rPr>
                <w:sz w:val="17"/>
                <w:szCs w:val="17"/>
              </w:rPr>
              <w:t xml:space="preserve">Twin</w:t>
            </w:r>
          </w:p>
        </w:tc>
        <w:tc>
          <w:tcPr>
            <w:tcW w:type="dxa" w:w="4000"/>
            <w:shd w:fill="FFFFFF" w:color="auto" w:val="clear"/>
            <w:tcMar>
              <w:top w:type="dxa" w:w="40"/>
              <w:left w:type="dxa" w:w="70"/>
              <w:bottom w:type="dxa" w:w="40"/>
              <w:right w:type="dxa" w:w="70"/>
            </w:tcMar>
          </w:tcPr>
          <w:p>
            <w:pPr>
              <w:spacing w:after="0"/>
            </w:pPr>
            <w:r>
              <w:rPr>
                <w:sz w:val="17"/>
                <w:szCs w:val="17"/>
              </w:rPr>
              <w:t xml:space="preserve">Light Olive: 2 sold, 34 Available, 283 days</w:t>
            </w:r>
          </w:p>
        </w:tc>
        <w:tc>
          <w:tcPr>
            <w:tcW w:type="dxa" w:w="4372"/>
            <w:shd w:fill="FFFFFF" w:color="auto" w:val="clear"/>
            <w:tcMar>
              <w:top w:type="dxa" w:w="40"/>
              <w:left w:type="dxa" w:w="70"/>
              <w:bottom w:type="dxa" w:w="40"/>
              <w:right w:type="dxa" w:w="70"/>
            </w:tcMar>
          </w:tcPr>
          <w:p>
            <w:pPr>
              <w:spacing w:after="0"/>
            </w:pPr>
            <w:r>
              <w:rPr>
                <w:sz w:val="17"/>
                <w:szCs w:val="17"/>
              </w:rPr>
              <w:t xml:space="preserve">—</w:t>
            </w:r>
          </w:p>
        </w:tc>
      </w:tr>
    </w:tbl>
    <w:p>
      <w:pPr>
        <w:spacing w:after="40"/>
      </w:pPr>
    </w:p>
    <w:p>
      <w:pPr>
        <w:spacing w:after="100"/>
      </w:pPr>
      <w:r>
        <w:t xml:space="preserve">17 discovery campaigns advertise something else, most of them White. Clearance campaigns and brand-term campaigns keep their own colours. Don’t put colours that sell but are nearly out of stock into any new ad group or colour switch: King Creme (2 days of stock), King Olive (0), California King Taupe (5), Charcoal (5) and Midgrey (2).</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on fixed bidding.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13.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Bamboo Sheets King Size (HSV) is live but has nearly stopped serving: 14 clicks in 30 days and $9.60 in 14 days, at a $0.50 base on down-only bidding. At that base its boost can’t go past 900%, so the most it can bid at the top is $5.00. That is why the audit lifts the base to $1.40, which also nearly triples its product-page bid.</w:t>
      </w:r>
    </w:p>
    <w:p>
      <w:pPr>
        <w:spacing w:after="100"/>
      </w:pPr>
      <w:r>
        <w:rPr>
          <w:b/>
          <w:bCs/>
          <w:color w:val="1F3A5F"/>
        </w:rPr>
        <w:t xml:space="preserve">Correction. </w:t>
      </w:r>
      <w:r>
        <w:t xml:space="preserve">Set the base to $0.60 and the boost to 700% (the same $4.80 at the top) on fixed bidding, in one write. That leaves room up to $6.00 at the top. Once it has 15 top-of-search clicks, climb +30% a step toward its push price. “bamboo sheets king size” is the plan’s second term (54 units a week), so it is not parked.</w:t>
      </w:r>
    </w:p>
    <w:p>
      <w:pPr>
        <w:pStyle w:val="Heading1"/>
      </w:pPr>
      <w:r>
        <w:t xml:space="preserve">8. Where the clicks land</w:t>
      </w:r>
    </w:p>
    <w:p>
      <w:pPr>
        <w:spacing w:after="100"/>
      </w:pPr>
      <w:r>
        <w:t xml:space="preserve">This is B6’s largest problem:</w:t>
      </w:r>
    </w:p>
    <w:p>
      <w:pPr>
        <w:pStyle w:val="ListParagraph"/>
        <w:numPr>
          <w:ilvl w:val="0"/>
          <w:numId w:val="3"/>
        </w:numPr>
        <w:spacing w:after="60"/>
      </w:pPr>
      <w:r>
        <w:t xml:space="preserve">40 ranking campaigns take under 30% of their clicks at top of search.</w:t>
      </w:r>
    </w:p>
    <w:p>
      <w:pPr>
        <w:pStyle w:val="ListParagraph"/>
        <w:numPr>
          <w:ilvl w:val="0"/>
          <w:numId w:val="3"/>
        </w:numPr>
        <w:spacing w:after="60"/>
      </w:pPr>
      <w:r>
        <w:t xml:space="preserve">59 more lose over 20% to product pages.</w:t>
      </w:r>
    </w:p>
    <w:p>
      <w:pPr>
        <w:spacing w:after="100"/>
      </w:pPr>
      <w:r>
        <w:t xml:space="preserve">That is 99 of 244. Across B6, product pages took 51–52% of ad clicks before and during the deal. Top-of-search clicks cost about $5 and product-page clicks about $2, but the product-page clicks do little for rank. The audit raises the top-of-search price on several of these campaigns. That buys nothing while the base keeps buying product pages. Its own “distribution fix” trims base bids by only about 10%.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500"/>
        <w:gridCol w:w="1100"/>
        <w:gridCol w:w="1500"/>
        <w:gridCol w:w="2000"/>
        <w:gridCol w:w="1872"/>
      </w:tblGrid>
      <w:tr>
        <w:trPr>
          <w:tblHeader/>
        </w:trPr>
        <w:tc>
          <w:tcPr>
            <w:tcW w:type="dxa" w:w="3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5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100"/>
            <w:shd w:fill="FFFFFF" w:color="auto" w:val="clear"/>
            <w:tcMar>
              <w:top w:type="dxa" w:w="40"/>
              <w:left w:type="dxa" w:w="70"/>
              <w:bottom w:type="dxa" w:w="40"/>
              <w:right w:type="dxa" w:w="70"/>
            </w:tcMar>
          </w:tcPr>
          <w:p>
            <w:pPr>
              <w:spacing w:after="0"/>
            </w:pPr>
            <w:r>
              <w:rPr>
                <w:sz w:val="17"/>
                <w:szCs w:val="17"/>
              </w:rPr>
              <w:t xml:space="preserve">760</w:t>
            </w:r>
          </w:p>
        </w:tc>
        <w:tc>
          <w:tcPr>
            <w:tcW w:type="dxa" w:w="1500"/>
            <w:shd w:fill="FFFFFF" w:color="auto" w:val="clear"/>
            <w:tcMar>
              <w:top w:type="dxa" w:w="40"/>
              <w:left w:type="dxa" w:w="70"/>
              <w:bottom w:type="dxa" w:w="40"/>
              <w:right w:type="dxa" w:w="70"/>
            </w:tcMar>
          </w:tcPr>
          <w:p>
            <w:pPr>
              <w:spacing w:after="0"/>
            </w:pPr>
            <w:r>
              <w:rPr>
                <w:sz w:val="17"/>
                <w:szCs w:val="17"/>
              </w:rPr>
              <w:t xml:space="preserve">39% / 57%</w:t>
            </w:r>
          </w:p>
        </w:tc>
        <w:tc>
          <w:tcPr>
            <w:tcW w:type="dxa" w:w="2000"/>
            <w:shd w:fill="FFFFFF" w:color="auto" w:val="clear"/>
            <w:tcMar>
              <w:top w:type="dxa" w:w="40"/>
              <w:left w:type="dxa" w:w="70"/>
              <w:bottom w:type="dxa" w:w="40"/>
              <w:right w:type="dxa" w:w="70"/>
            </w:tcMar>
          </w:tcPr>
          <w:p>
            <w:pPr>
              <w:spacing w:after="0"/>
            </w:pPr>
            <w:r>
              <w:rPr>
                <w:sz w:val="17"/>
                <w:szCs w:val="17"/>
              </w:rPr>
              <w:t xml:space="preserve">$1.60 → $1.20 ($1.39)</w:t>
            </w:r>
          </w:p>
        </w:tc>
        <w:tc>
          <w:tcPr>
            <w:tcW w:type="dxa" w:w="1872"/>
            <w:shd w:fill="FFFFFF" w:color="auto" w:val="clear"/>
            <w:tcMar>
              <w:top w:type="dxa" w:w="40"/>
              <w:left w:type="dxa" w:w="70"/>
              <w:bottom w:type="dxa" w:w="40"/>
              <w:right w:type="dxa" w:w="70"/>
            </w:tcMar>
          </w:tcPr>
          <w:p>
            <w:pPr>
              <w:spacing w:after="0"/>
            </w:pPr>
            <w:r>
              <w:rPr>
                <w:sz w:val="17"/>
                <w:szCs w:val="17"/>
              </w:rPr>
              <w:t xml:space="preserve">$6.16 (push)</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Sheets Queen Size (HSV)</w:t>
            </w:r>
          </w:p>
        </w:tc>
        <w:tc>
          <w:tcPr>
            <w:tcW w:type="dxa" w:w="1100"/>
            <w:shd w:fill="F2F5F9" w:color="auto" w:val="clear"/>
            <w:tcMar>
              <w:top w:type="dxa" w:w="40"/>
              <w:left w:type="dxa" w:w="70"/>
              <w:bottom w:type="dxa" w:w="40"/>
              <w:right w:type="dxa" w:w="70"/>
            </w:tcMar>
          </w:tcPr>
          <w:p>
            <w:pPr>
              <w:spacing w:after="0"/>
            </w:pPr>
            <w:r>
              <w:rPr>
                <w:sz w:val="17"/>
                <w:szCs w:val="17"/>
              </w:rPr>
              <w:t xml:space="preserve">91</w:t>
            </w:r>
          </w:p>
        </w:tc>
        <w:tc>
          <w:tcPr>
            <w:tcW w:type="dxa" w:w="1500"/>
            <w:shd w:fill="F2F5F9" w:color="auto" w:val="clear"/>
            <w:tcMar>
              <w:top w:type="dxa" w:w="40"/>
              <w:left w:type="dxa" w:w="70"/>
              <w:bottom w:type="dxa" w:w="40"/>
              <w:right w:type="dxa" w:w="70"/>
            </w:tcMar>
          </w:tcPr>
          <w:p>
            <w:pPr>
              <w:spacing w:after="0"/>
            </w:pPr>
            <w:r>
              <w:rPr>
                <w:sz w:val="17"/>
                <w:szCs w:val="17"/>
              </w:rPr>
              <w:t xml:space="preserve">36% / 64%</w:t>
            </w:r>
          </w:p>
        </w:tc>
        <w:tc>
          <w:tcPr>
            <w:tcW w:type="dxa" w:w="2000"/>
            <w:shd w:fill="F2F5F9" w:color="auto" w:val="clear"/>
            <w:tcMar>
              <w:top w:type="dxa" w:w="40"/>
              <w:left w:type="dxa" w:w="70"/>
              <w:bottom w:type="dxa" w:w="40"/>
              <w:right w:type="dxa" w:w="70"/>
            </w:tcMar>
          </w:tcPr>
          <w:p>
            <w:pPr>
              <w:spacing w:after="0"/>
            </w:pPr>
            <w:r>
              <w:rPr>
                <w:sz w:val="17"/>
                <w:szCs w:val="17"/>
              </w:rPr>
              <w:t xml:space="preserve">$1.37 → $1.03 (no change)</w:t>
            </w:r>
          </w:p>
        </w:tc>
        <w:tc>
          <w:tcPr>
            <w:tcW w:type="dxa" w:w="1872"/>
            <w:shd w:fill="F2F5F9" w:color="auto" w:val="clear"/>
            <w:tcMar>
              <w:top w:type="dxa" w:w="40"/>
              <w:left w:type="dxa" w:w="70"/>
              <w:bottom w:type="dxa" w:w="40"/>
              <w:right w:type="dxa" w:w="70"/>
            </w:tcMar>
          </w:tcPr>
          <w:p>
            <w:pPr>
              <w:spacing w:after="0"/>
            </w:pPr>
            <w:r>
              <w:rPr>
                <w:sz w:val="17"/>
                <w:szCs w:val="17"/>
              </w:rPr>
              <w:t xml:space="preserve">hold $5.93</w:t>
            </w:r>
          </w:p>
        </w:tc>
      </w:tr>
      <w:tr>
        <w:tc>
          <w:tcPr>
            <w:tcW w:type="dxa" w:w="3500"/>
            <w:shd w:fill="FFFFFF" w:color="auto" w:val="clear"/>
            <w:tcMar>
              <w:top w:type="dxa" w:w="40"/>
              <w:left w:type="dxa" w:w="70"/>
              <w:bottom w:type="dxa" w:w="40"/>
              <w:right w:type="dxa" w:w="70"/>
            </w:tcMar>
          </w:tcPr>
          <w:p>
            <w:pPr>
              <w:spacing w:after="0"/>
            </w:pPr>
            <w:r>
              <w:rPr>
                <w:sz w:val="17"/>
                <w:szCs w:val="17"/>
              </w:rPr>
              <w:t xml:space="preserve">Queen Sheets Set Bamboo (VLSV)</w:t>
            </w:r>
          </w:p>
        </w:tc>
        <w:tc>
          <w:tcPr>
            <w:tcW w:type="dxa" w:w="1100"/>
            <w:shd w:fill="FFFFFF" w:color="auto" w:val="clear"/>
            <w:tcMar>
              <w:top w:type="dxa" w:w="40"/>
              <w:left w:type="dxa" w:w="70"/>
              <w:bottom w:type="dxa" w:w="40"/>
              <w:right w:type="dxa" w:w="70"/>
            </w:tcMar>
          </w:tcPr>
          <w:p>
            <w:pPr>
              <w:spacing w:after="0"/>
            </w:pPr>
            <w:r>
              <w:rPr>
                <w:sz w:val="17"/>
                <w:szCs w:val="17"/>
              </w:rPr>
              <w:t xml:space="preserve">71</w:t>
            </w:r>
          </w:p>
        </w:tc>
        <w:tc>
          <w:tcPr>
            <w:tcW w:type="dxa" w:w="1500"/>
            <w:shd w:fill="FFFFFF" w:color="auto" w:val="clear"/>
            <w:tcMar>
              <w:top w:type="dxa" w:w="40"/>
              <w:left w:type="dxa" w:w="70"/>
              <w:bottom w:type="dxa" w:w="40"/>
              <w:right w:type="dxa" w:w="70"/>
            </w:tcMar>
          </w:tcPr>
          <w:p>
            <w:pPr>
              <w:spacing w:after="0"/>
            </w:pPr>
            <w:r>
              <w:rPr>
                <w:sz w:val="17"/>
                <w:szCs w:val="17"/>
              </w:rPr>
              <w:t xml:space="preserve">1% / 99%</w:t>
            </w:r>
          </w:p>
        </w:tc>
        <w:tc>
          <w:tcPr>
            <w:tcW w:type="dxa" w:w="2000"/>
            <w:shd w:fill="FFFFFF" w:color="auto" w:val="clear"/>
            <w:tcMar>
              <w:top w:type="dxa" w:w="40"/>
              <w:left w:type="dxa" w:w="70"/>
              <w:bottom w:type="dxa" w:w="40"/>
              <w:right w:type="dxa" w:w="70"/>
            </w:tcMar>
          </w:tcPr>
          <w:p>
            <w:pPr>
              <w:spacing w:after="0"/>
            </w:pPr>
            <w:r>
              <w:rPr>
                <w:sz w:val="17"/>
                <w:szCs w:val="17"/>
              </w:rPr>
              <w:t xml:space="preserve">$1.65 → $1.24 (no change)</w:t>
            </w:r>
          </w:p>
        </w:tc>
        <w:tc>
          <w:tcPr>
            <w:tcW w:type="dxa" w:w="1872"/>
            <w:shd w:fill="FFFFFF" w:color="auto" w:val="clear"/>
            <w:tcMar>
              <w:top w:type="dxa" w:w="40"/>
              <w:left w:type="dxa" w:w="70"/>
              <w:bottom w:type="dxa" w:w="40"/>
              <w:right w:type="dxa" w:w="70"/>
            </w:tcMar>
          </w:tcPr>
          <w:p>
            <w:pPr>
              <w:spacing w:after="0"/>
            </w:pPr>
            <w:r>
              <w:rPr>
                <w:sz w:val="17"/>
                <w:szCs w:val="17"/>
              </w:rPr>
              <w:t xml:space="preserve">break-even</w:t>
            </w:r>
          </w:p>
        </w:tc>
      </w:tr>
      <w:tr>
        <w:tc>
          <w:tcPr>
            <w:tcW w:type="dxa" w:w="3500"/>
            <w:shd w:fill="F2F5F9" w:color="auto" w:val="clear"/>
            <w:tcMar>
              <w:top w:type="dxa" w:w="40"/>
              <w:left w:type="dxa" w:w="70"/>
              <w:bottom w:type="dxa" w:w="40"/>
              <w:right w:type="dxa" w:w="70"/>
            </w:tcMar>
          </w:tcPr>
          <w:p>
            <w:pPr>
              <w:spacing w:after="0"/>
            </w:pPr>
            <w:r>
              <w:rPr>
                <w:sz w:val="17"/>
                <w:szCs w:val="17"/>
              </w:rPr>
              <w:t xml:space="preserve">Bamboo Cooling Sheets (MSV)</w:t>
            </w:r>
          </w:p>
        </w:tc>
        <w:tc>
          <w:tcPr>
            <w:tcW w:type="dxa" w:w="1100"/>
            <w:shd w:fill="F2F5F9" w:color="auto" w:val="clear"/>
            <w:tcMar>
              <w:top w:type="dxa" w:w="40"/>
              <w:left w:type="dxa" w:w="70"/>
              <w:bottom w:type="dxa" w:w="40"/>
              <w:right w:type="dxa" w:w="70"/>
            </w:tcMar>
          </w:tcPr>
          <w:p>
            <w:pPr>
              <w:spacing w:after="0"/>
            </w:pPr>
            <w:r>
              <w:rPr>
                <w:sz w:val="17"/>
                <w:szCs w:val="17"/>
              </w:rPr>
              <w:t xml:space="preserve">35</w:t>
            </w:r>
          </w:p>
        </w:tc>
        <w:tc>
          <w:tcPr>
            <w:tcW w:type="dxa" w:w="1500"/>
            <w:shd w:fill="F2F5F9" w:color="auto" w:val="clear"/>
            <w:tcMar>
              <w:top w:type="dxa" w:w="40"/>
              <w:left w:type="dxa" w:w="70"/>
              <w:bottom w:type="dxa" w:w="40"/>
              <w:right w:type="dxa" w:w="70"/>
            </w:tcMar>
          </w:tcPr>
          <w:p>
            <w:pPr>
              <w:spacing w:after="0"/>
            </w:pPr>
            <w:r>
              <w:rPr>
                <w:sz w:val="17"/>
                <w:szCs w:val="17"/>
              </w:rPr>
              <w:t xml:space="preserve">6% / 91%</w:t>
            </w:r>
          </w:p>
        </w:tc>
        <w:tc>
          <w:tcPr>
            <w:tcW w:type="dxa" w:w="2000"/>
            <w:shd w:fill="F2F5F9" w:color="auto" w:val="clear"/>
            <w:tcMar>
              <w:top w:type="dxa" w:w="40"/>
              <w:left w:type="dxa" w:w="70"/>
              <w:bottom w:type="dxa" w:w="40"/>
              <w:right w:type="dxa" w:w="70"/>
            </w:tcMar>
          </w:tcPr>
          <w:p>
            <w:pPr>
              <w:spacing w:after="0"/>
            </w:pPr>
            <w:r>
              <w:rPr>
                <w:sz w:val="17"/>
                <w:szCs w:val="17"/>
              </w:rPr>
              <w:t xml:space="preserve">$1.58 → $1.19 ($1.19)</w:t>
            </w:r>
          </w:p>
        </w:tc>
        <w:tc>
          <w:tcPr>
            <w:tcW w:type="dxa" w:w="1872"/>
            <w:shd w:fill="F2F5F9" w:color="auto" w:val="clear"/>
            <w:tcMar>
              <w:top w:type="dxa" w:w="40"/>
              <w:left w:type="dxa" w:w="70"/>
              <w:bottom w:type="dxa" w:w="40"/>
              <w:right w:type="dxa" w:w="70"/>
            </w:tcMar>
          </w:tcPr>
          <w:p>
            <w:pPr>
              <w:spacing w:after="0"/>
            </w:pPr>
            <w:r>
              <w:rPr>
                <w:sz w:val="17"/>
                <w:szCs w:val="17"/>
              </w:rPr>
              <w:t xml:space="preserve">hold $3.16 (audit $5.53)</w:t>
            </w:r>
          </w:p>
        </w:tc>
      </w:tr>
      <w:tr>
        <w:tc>
          <w:tcPr>
            <w:tcW w:type="dxa" w:w="35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264</w:t>
            </w:r>
          </w:p>
        </w:tc>
        <w:tc>
          <w:tcPr>
            <w:tcW w:type="dxa" w:w="1500"/>
            <w:shd w:fill="FFFFFF" w:color="auto" w:val="clear"/>
            <w:tcMar>
              <w:top w:type="dxa" w:w="40"/>
              <w:left w:type="dxa" w:w="70"/>
              <w:bottom w:type="dxa" w:w="40"/>
              <w:right w:type="dxa" w:w="70"/>
            </w:tcMar>
          </w:tcPr>
          <w:p>
            <w:pPr>
              <w:spacing w:after="0"/>
            </w:pPr>
            <w:r>
              <w:rPr>
                <w:sz w:val="17"/>
                <w:szCs w:val="17"/>
              </w:rPr>
              <w:t xml:space="preserve">32% / 68%</w:t>
            </w:r>
          </w:p>
        </w:tc>
        <w:tc>
          <w:tcPr>
            <w:tcW w:type="dxa" w:w="2000"/>
            <w:shd w:fill="FFFFFF" w:color="auto" w:val="clear"/>
            <w:tcMar>
              <w:top w:type="dxa" w:w="40"/>
              <w:left w:type="dxa" w:w="70"/>
              <w:bottom w:type="dxa" w:w="40"/>
              <w:right w:type="dxa" w:w="70"/>
            </w:tcMar>
          </w:tcPr>
          <w:p>
            <w:pPr>
              <w:spacing w:after="0"/>
            </w:pPr>
            <w:r>
              <w:rPr>
                <w:sz w:val="17"/>
                <w:szCs w:val="17"/>
              </w:rPr>
              <w:t xml:space="preserve">$2.11 → $1.69 ($1.74)</w:t>
            </w:r>
          </w:p>
        </w:tc>
        <w:tc>
          <w:tcPr>
            <w:tcW w:type="dxa" w:w="1872"/>
            <w:shd w:fill="FFFFFF" w:color="auto" w:val="clear"/>
            <w:tcMar>
              <w:top w:type="dxa" w:w="40"/>
              <w:left w:type="dxa" w:w="70"/>
              <w:bottom w:type="dxa" w:w="40"/>
              <w:right w:type="dxa" w:w="70"/>
            </w:tcMar>
          </w:tcPr>
          <w:p>
            <w:pPr>
              <w:spacing w:after="0"/>
            </w:pPr>
            <w:r>
              <w:rPr>
                <w:sz w:val="17"/>
                <w:szCs w:val="17"/>
              </w:rPr>
              <w:t xml:space="preserve">$3.10 (brand term, Section 9)</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3"/>
        </w:numPr>
        <w:spacing w:after="60"/>
      </w:pPr>
      <w:r>
        <w:t xml:space="preserve">Colour terms: burgundy, purple, green, olive green, sage green, blue and black bamboo sheets.</w:t>
      </w:r>
    </w:p>
    <w:p>
      <w:pPr>
        <w:pStyle w:val="ListParagraph"/>
        <w:numPr>
          <w:ilvl w:val="0"/>
          <w:numId w:val="3"/>
        </w:numPr>
        <w:spacing w:after="60"/>
      </w:pPr>
      <w:r>
        <w:t xml:space="preserve">A competitor brand: Bella sheets bamboo.</w:t>
      </w:r>
    </w:p>
    <w:p>
      <w:pPr>
        <w:pStyle w:val="ListParagraph"/>
        <w:numPr>
          <w:ilvl w:val="0"/>
          <w:numId w:val="3"/>
        </w:numPr>
        <w:spacing w:after="60"/>
      </w:pPr>
      <w:r>
        <w:t xml:space="preserve">Spanish-language terms: sábanas de bamboo king and queen.</w:t>
      </w:r>
    </w:p>
    <w:p>
      <w:pPr>
        <w:pStyle w:val="ListParagraph"/>
        <w:numPr>
          <w:ilvl w:val="0"/>
          <w:numId w:val="3"/>
        </w:numPr>
        <w:spacing w:after="60"/>
      </w:pPr>
      <w:r>
        <w:t xml:space="preserve">Misspellings and odd terms: bboo sheets, bamboo spandex sheets.</w:t>
      </w:r>
    </w:p>
    <w:p>
      <w:pPr>
        <w:spacing w:after="100"/>
      </w:pPr>
      <w:r>
        <w:t xml:space="preserve">Nobody builds organic rank on another brand’s name or a colour. Check each retag before it loads. Three more corrections:</w:t>
      </w:r>
    </w:p>
    <w:p>
      <w:pPr>
        <w:pStyle w:val="ListParagraph"/>
        <w:numPr>
          <w:ilvl w:val="0"/>
          <w:numId w:val="3"/>
        </w:numPr>
        <w:spacing w:after="60"/>
      </w:pPr>
      <w:r>
        <w:t xml:space="preserve">21 exact campaigns already tagged conversions should be checked the same way: generic terms move to ranking, and the rest stay.</w:t>
      </w:r>
    </w:p>
    <w:p>
      <w:pPr>
        <w:pStyle w:val="ListParagraph"/>
        <w:numPr>
          <w:ilvl w:val="0"/>
          <w:numId w:val="3"/>
        </w:numPr>
        <w:spacing w:after="60"/>
      </w:pPr>
      <w:r>
        <w:t xml:space="preserve">3 brand-term exact campaigns tagged ranking, including Decolure Bamboo Sheets, should be defensive. So should 1 brand broad tagged discovery. They hold the brand shelf and are not climbed.</w:t>
      </w:r>
    </w:p>
    <w:p>
      <w:pPr>
        <w:pStyle w:val="ListParagraph"/>
        <w:numPr>
          <w:ilvl w:val="0"/>
          <w:numId w:val="3"/>
        </w:numPr>
        <w:spacing w:after="60"/>
      </w:pPr>
      <w:r>
        <w:t xml:space="preserve">One campaign is named ranking but tagged conversions.</w:t>
      </w:r>
    </w:p>
    <w:p>
      <w:pPr>
        <w:pStyle w:val="Heading1"/>
      </w:pPr>
      <w:r>
        <w:t xml:space="preserve">10. One campaign per search term</w:t>
      </w:r>
    </w:p>
    <w:p>
      <w:pPr>
        <w:spacing w:after="100"/>
      </w:pPr>
      <w:r>
        <w:t xml:space="preserve">21 ranking terms are also bought by broad or auto campaigns; 11 broad, auto and phrase campaigns buy exact ranking terms. Examples:</w:t>
      </w:r>
    </w:p>
    <w:p>
      <w:pPr>
        <w:pStyle w:val="ListParagraph"/>
        <w:numPr>
          <w:ilvl w:val="0"/>
          <w:numId w:val="3"/>
        </w:numPr>
        <w:spacing w:after="60"/>
      </w:pPr>
      <w:r>
        <w:t xml:space="preserve">“bamboo sheets”: five broad discovery campaigns took 47 clicks and 1 order on it in 30 days ($141). The size-level broads take up to 15 clicks a month each on it alone.</w:t>
      </w:r>
    </w:p>
    <w:p>
      <w:pPr>
        <w:pStyle w:val="ListParagraph"/>
        <w:numPr>
          <w:ilvl w:val="0"/>
          <w:numId w:val="3"/>
        </w:numPr>
        <w:spacing w:after="60"/>
      </w:pPr>
      <w:r>
        <w:t xml:space="preserve">“bamboo sheets queen size” and “queen bamboo sheet set” leak into the Queen, cooling and Full broads.</w:t>
      </w:r>
    </w:p>
    <w:p>
      <w:pPr>
        <w:spacing w:after="100"/>
      </w:pPr>
      <w:r>
        <w:t xml:space="preserve">Four campaigns share an exact term with another live exact campaign. New exact campaigns for “bamboo sheets full” and “bamboo king sheets” would sit beside the paused ones that already own those terms (Section 7).</w:t>
      </w:r>
    </w:p>
    <w:p>
      <w:pPr>
        <w:spacing w:after="100"/>
      </w:pPr>
      <w:r>
        <w:rPr>
          <w:b/>
          <w:bCs/>
          <w:color w:val="1F3A5F"/>
        </w:rPr>
        <w:t xml:space="preserve">Correction. </w:t>
      </w:r>
      <w:r>
        <w:t xml:space="preserve">Exclude every ranking term (negative exact) from the broad, auto and phrase campaigns that buy it; the register lists each. Keep one exact owner per term: the campaign on the ranking colour with the clicks. Pause the duplicate.</w:t>
      </w:r>
    </w:p>
    <w:p>
      <w:pPr>
        <w:pStyle w:val="Heading1"/>
      </w:pPr>
      <w:r>
        <w:t xml:space="preserve">11. Conversions, discovery and other campaigns</w:t>
      </w:r>
    </w:p>
    <w:p>
      <w:pPr>
        <w:spacing w:after="100"/>
      </w:pPr>
      <w:r>
        <w:t xml:space="preserve">B6 has 64 non-ranking campaigns: 8 inside break-even, 8 over it and 38 too thin to read. Each is judged on its own ACoS against 23.8%. Over break-even, the base comes down; inside it, nothing moves.</w:t>
      </w:r>
    </w:p>
    <w:p>
      <w:pPr>
        <w:spacing w:after="100"/>
      </w:pPr>
      <w:r>
        <w:t xml:space="preserve">The change that matters most is on the brand broad campaign “Decolure”, the most profitable campaign on the product: 583 clicks and 117 orders in 30 days at 11% ACoS. The audit does three things to it:</w:t>
      </w:r>
    </w:p>
    <w:p>
      <w:pPr>
        <w:pStyle w:val="ListParagraph"/>
        <w:numPr>
          <w:ilvl w:val="0"/>
          <w:numId w:val="3"/>
        </w:numPr>
        <w:spacing w:after="60"/>
      </w:pPr>
      <w:r>
        <w:t xml:space="preserve">It moves its ad from Queen White to Queen Olive.</w:t>
      </w:r>
    </w:p>
    <w:p>
      <w:pPr>
        <w:pStyle w:val="ListParagraph"/>
        <w:numPr>
          <w:ilvl w:val="0"/>
          <w:numId w:val="3"/>
        </w:numPr>
        <w:spacing w:after="60"/>
      </w:pPr>
      <w:r>
        <w:t xml:space="preserve">It trims its boost.</w:t>
      </w:r>
    </w:p>
    <w:p>
      <w:pPr>
        <w:pStyle w:val="ListParagraph"/>
        <w:numPr>
          <w:ilvl w:val="0"/>
          <w:numId w:val="3"/>
        </w:numPr>
        <w:spacing w:after="60"/>
      </w:pPr>
      <w:r>
        <w:t xml:space="preserve">Row 2265 adds negative-exact on “decolure bamboo sheets”, “decolure bamboo sheets king size” and “decolure bamboo sheets queen size”. Those three terms took 529 clicks and $921 in this campaign in 90 days, and the review passed the row.</w:t>
      </w:r>
    </w:p>
    <w:p>
      <w:pPr>
        <w:spacing w:after="100"/>
      </w:pPr>
      <w:r>
        <w:t xml:space="preserve">Moving brand terms to their own exact campaigns follows the one-campaign-per-term rule, and exact campaigns exist for all three. But they aren’t ready to take the traffic:</w:t>
      </w:r>
    </w:p>
    <w:p>
      <w:pPr>
        <w:pStyle w:val="ListParagraph"/>
        <w:numPr>
          <w:ilvl w:val="0"/>
          <w:numId w:val="3"/>
        </w:numPr>
        <w:spacing w:after="60"/>
      </w:pPr>
      <w:r>
        <w:t xml:space="preserve">The queen-size one took 1 click in 90 days.</w:t>
      </w:r>
    </w:p>
    <w:p>
      <w:pPr>
        <w:pStyle w:val="ListParagraph"/>
        <w:numPr>
          <w:ilvl w:val="0"/>
          <w:numId w:val="3"/>
        </w:numPr>
        <w:spacing w:after="60"/>
      </w:pPr>
      <w:r>
        <w:t xml:space="preserve">The king-size one has a $20 daily budget.</w:t>
      </w:r>
    </w:p>
    <w:p>
      <w:pPr>
        <w:pStyle w:val="ListParagraph"/>
        <w:numPr>
          <w:ilvl w:val="0"/>
          <w:numId w:val="3"/>
        </w:numPr>
        <w:spacing w:after="60"/>
      </w:pPr>
      <w:r>
        <w:t xml:space="preserve">The audit also cuts the main brand exact’s base from $2.11 to $1.74.</w:t>
      </w:r>
    </w:p>
    <w:p>
      <w:pPr>
        <w:spacing w:after="100"/>
      </w:pPr>
      <w:r>
        <w:rPr>
          <w:b/>
          <w:bCs/>
          <w:color w:val="1F3A5F"/>
        </w:rPr>
        <w:t xml:space="preserve">Correction. </w:t>
      </w:r>
      <w:r>
        <w:t xml:space="preserve">Hold row 2265, the colour switch and the boost trim. First retag the three brand exact campaigns as defensive, and check that each serves on the right colour with enough budget. Only then add the negatives.</w:t>
      </w:r>
    </w:p>
    <w:p>
      <w:pPr>
        <w:pStyle w:val="Heading1"/>
      </w:pPr>
      <w:r>
        <w:t xml:space="preserve">12. Required clicks and the forecast</w:t>
      </w:r>
    </w:p>
    <w:p>
      <w:pPr>
        <w:spacing w:after="100"/>
      </w:pPr>
      <w:r>
        <w:t xml:space="preserve">Required top-of-search clicks = what the market sells at the target rank ÷ the campaign’s conversion rate. They set each push’s volume and budget, never its price. Three corrections:</w:t>
      </w:r>
    </w:p>
    <w:p>
      <w:pPr>
        <w:pStyle w:val="ListParagraph"/>
        <w:numPr>
          <w:ilvl w:val="0"/>
          <w:numId w:val="3"/>
        </w:numPr>
        <w:spacing w:after="60"/>
      </w:pPr>
      <w:r>
        <w:rPr>
          <w:b/>
          <w:bCs/>
        </w:rPr>
        <w:t xml:space="preserve">Count only the units a term doesn’t already sell, and check the total against the product. </w:t>
      </w:r>
      <w:r>
        <w:t xml:space="preserve">B6’s terms add up to 117 extra units a day against 72 sold in total, so every requirement is scaled to 0.62. The push plan (Section 5.3) shows the cost at both the full and the scaled volume.</w:t>
      </w:r>
    </w:p>
    <w:p>
      <w:pPr>
        <w:pStyle w:val="ListParagraph"/>
        <w:numPr>
          <w:ilvl w:val="0"/>
          <w:numId w:val="3"/>
        </w:numPr>
        <w:spacing w:after="60"/>
      </w:pPr>
      <w:r>
        <w:rPr>
          <w:b/>
          <w:bCs/>
        </w:rPr>
        <w:t xml:space="preserve">Check the auction can supply the clicks. </w:t>
      </w:r>
      <w:r>
        <w:t xml:space="preserve">For 22 campaigns, even winning every auction at today’s volume wouldn’t meet the requirement. Judge them on impression share and rank, not on a click count; they are not a reason to raise price. Only 1 of 91 ranking campaigns with a target delivers 70% of its requirement.</w:t>
      </w:r>
    </w:p>
    <w:p>
      <w:pPr>
        <w:pStyle w:val="ListParagraph"/>
        <w:numPr>
          <w:ilvl w:val="0"/>
          <w:numId w:val="3"/>
        </w:numPr>
        <w:spacing w:after="60"/>
      </w:pPr>
      <w:r>
        <w:rPr>
          <w:b/>
          <w:bCs/>
        </w:rPr>
        <w:t xml:space="preserve">Use real ranks. </w:t>
      </w:r>
      <w:r>
        <w:t xml:space="preserve">38 of the audit’s 40 targets carry no current rank, although the rank tracker has them. “cooling sheets” is a target at rank 10 for 93 units a week, but our rank crawl has B6 at 142 for it on 28 September (the audit has no rank for this term; the 142 in the audit belongs to “cooling bed sheets”). Take it out of the requirement until it is within reach.</w:t>
      </w:r>
    </w:p>
    <w:p>
      <w:pPr>
        <w:spacing w:after="100"/>
      </w:pPr>
      <w:r>
        <w:t xml:space="preserve">The forecast promises top-of-search clicks going from 69 to 884 a week. Of the extra 815:</w:t>
      </w:r>
    </w:p>
    <w:p>
      <w:pPr>
        <w:pStyle w:val="ListParagraph"/>
        <w:numPr>
          <w:ilvl w:val="0"/>
          <w:numId w:val="3"/>
        </w:numPr>
        <w:spacing w:after="60"/>
      </w:pPr>
      <w:r>
        <w:t xml:space="preserve">435 come from 29 retagged campaigns that aren’t in the audit’s list, at a flat 15 clicks a week each.</w:t>
      </w:r>
    </w:p>
    <w:p>
      <w:pPr>
        <w:pStyle w:val="ListParagraph"/>
        <w:numPr>
          <w:ilvl w:val="0"/>
          <w:numId w:val="3"/>
        </w:numPr>
        <w:spacing w:after="60"/>
      </w:pPr>
      <w:r>
        <w:t xml:space="preserve">196 come from boost raises, including 96 from three campaigns whose keywords are paused.</w:t>
      </w:r>
    </w:p>
    <w:p>
      <w:pPr>
        <w:pStyle w:val="ListParagraph"/>
        <w:numPr>
          <w:ilvl w:val="0"/>
          <w:numId w:val="3"/>
        </w:numPr>
        <w:spacing w:after="60"/>
      </w:pPr>
      <w:r>
        <w:t xml:space="preserve">109 come from the 75% jumps.</w:t>
      </w:r>
    </w:p>
    <w:p>
      <w:pPr>
        <w:pStyle w:val="ListParagraph"/>
        <w:numPr>
          <w:ilvl w:val="0"/>
          <w:numId w:val="3"/>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13.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3"/>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3"/>
        </w:numPr>
        <w:spacing w:after="60"/>
      </w:pPr>
      <w:r>
        <w:t xml:space="preserve">“bamboo sheets king size” (17 at the end of August, about 40 in mid-September, 27 today): its exact campaign has nearly stopped serving (Section 7).</w:t>
      </w:r>
    </w:p>
    <w:p>
      <w:pPr>
        <w:pStyle w:val="ListParagraph"/>
        <w:numPr>
          <w:ilvl w:val="0"/>
          <w:numId w:val="3"/>
        </w:numPr>
        <w:spacing w:after="60"/>
      </w:pPr>
      <w:r>
        <w:t xml:space="preserve">“bamboo sheets full” (11 → 18 today): its exact campaign is paused.</w:t>
      </w:r>
    </w:p>
    <w:p>
      <w:pPr>
        <w:pStyle w:val="ListParagraph"/>
        <w:numPr>
          <w:ilvl w:val="0"/>
          <w:numId w:val="3"/>
        </w:numPr>
        <w:spacing w:after="60"/>
      </w:pPr>
      <w:r>
        <w:t xml:space="preserve">“queen size bamboo sheets set” (18 → 40 → 30): its campaign advertises Queen Olive rather than White. Move it to White before any price move.</w:t>
      </w:r>
    </w:p>
    <w:p>
      <w:pPr>
        <w:pStyle w:val="Heading1"/>
      </w:pPr>
      <w:r>
        <w:t xml:space="preserve">14. Changes that shouldn’t load as written</w:t>
      </w:r>
    </w:p>
    <w:p>
      <w:pPr>
        <w:spacing w:after="100"/>
      </w:pPr>
      <w:r>
        <w:t xml:space="preserve">The audit’s review already holds some of these: two of the five writes on paused campaigns, five of the probes, and the 38 rows the engine’s own checks failed (the 35 budgets and 3 pause rows). They are listed here too, so nothing is missed. The review passed the rest, including all 18 withheld rows.</w:t>
      </w:r>
    </w:p>
    <w:p>
      <w:pPr>
        <w:pStyle w:val="ListParagraph"/>
        <w:numPr>
          <w:ilvl w:val="0"/>
          <w:numId w:val="3"/>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3"/>
        </w:numPr>
        <w:spacing w:after="60"/>
      </w:pPr>
      <w:r>
        <w:rPr>
          <w:b/>
          <w:bCs/>
        </w:rPr>
        <w:t xml:space="preserve">All 88 colour switches skip on upload. </w:t>
      </w:r>
      <w:r>
        <w:t xml:space="preserve">Make the 10 to White within the same size by hand. Don’t make the 75 Queen-to-Olive switches or the 3 size changes (Section 6).</w:t>
      </w:r>
    </w:p>
    <w:p>
      <w:pPr>
        <w:pStyle w:val="ListParagraph"/>
        <w:numPr>
          <w:ilvl w:val="0"/>
          <w:numId w:val="3"/>
        </w:numPr>
        <w:spacing w:after="60"/>
      </w:pPr>
      <w:r>
        <w:rPr>
          <w:b/>
          <w:bCs/>
        </w:rPr>
        <w:t xml:space="preserve">18 rows the engine itself withholds </w:t>
      </w:r>
      <w:r>
        <w:t xml:space="preserve">(their text says “change → HOLD”) but still exports as changes.</w:t>
      </w:r>
    </w:p>
    <w:p>
      <w:pPr>
        <w:pStyle w:val="ListParagraph"/>
        <w:numPr>
          <w:ilvl w:val="0"/>
          <w:numId w:val="3"/>
        </w:numPr>
        <w:spacing w:after="60"/>
      </w:pPr>
      <w:r>
        <w:rPr>
          <w:b/>
          <w:bCs/>
        </w:rPr>
        <w:t xml:space="preserve">181 changes on 69 campaigns missing from the audit’s own campaign list. </w:t>
      </w:r>
      <w:r>
        <w:t xml:space="preserve">These include the 49 retags and 42 boost changes. 43 of those campaigns are “FIX” exact campaigns with $848 of spend in 30 days; 23 of them leak to product pages and 11 take no clicks. Hold every raise until each campaign’s status, colour and keywords are confirmed; the cuts can stand.</w:t>
      </w:r>
    </w:p>
    <w:p>
      <w:pPr>
        <w:pStyle w:val="ListParagraph"/>
        <w:numPr>
          <w:ilvl w:val="0"/>
          <w:numId w:val="3"/>
        </w:numPr>
        <w:spacing w:after="60"/>
      </w:pPr>
      <w:r>
        <w:rPr>
          <w:b/>
          <w:bCs/>
        </w:rPr>
        <w:t xml:space="preserve">5 writes on campaigns that were paused at the audit, and 7 exact duplicates.</w:t>
      </w:r>
    </w:p>
    <w:p>
      <w:pPr>
        <w:pStyle w:val="ListParagraph"/>
        <w:numPr>
          <w:ilvl w:val="0"/>
          <w:numId w:val="3"/>
        </w:numPr>
        <w:spacing w:after="60"/>
      </w:pPr>
      <w:r>
        <w:rPr>
          <w:b/>
          <w:bCs/>
        </w:rPr>
        <w:t xml:space="preserve">Row 2265: </w:t>
      </w:r>
      <w:r>
        <w:t xml:space="preserve">the brand-term negatives on the Decolure brand broad, until the brand exact campaigns are ready (Section 11).</w:t>
      </w:r>
    </w:p>
    <w:p>
      <w:pPr>
        <w:pStyle w:val="ListParagraph"/>
        <w:numPr>
          <w:ilvl w:val="0"/>
          <w:numId w:val="3"/>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a video probe placed beside a Sponsored Brands probe on the same term, and its review holds five of the probes. New campaigns launched in the last deal days would learn on deal traffic. Hold all 15 until after the deal and decide each one again.</w:t>
      </w:r>
    </w:p>
    <w:p>
      <w:pPr>
        <w:pStyle w:val="ListParagraph"/>
        <w:numPr>
          <w:ilvl w:val="0"/>
          <w:numId w:val="3"/>
        </w:numPr>
        <w:spacing w:after="60"/>
      </w:pPr>
      <w:r>
        <w:rPr>
          <w:b/>
          <w:bCs/>
        </w:rPr>
        <w:t xml:space="preserve">Its review endorses the run </w:t>
      </w:r>
      <w:r>
        <w:t xml:space="preserve">at $1,164 a day after its own holds, and says no deal falls in the window while the Best Deal is running.</w:t>
      </w:r>
    </w:p>
    <w:p>
      <w:pPr>
        <w:pStyle w:val="Heading1"/>
      </w:pPr>
      <w:r>
        <w:t xml:space="preserve">15. Next steps</w:t>
      </w:r>
    </w:p>
    <w:p>
      <w:pPr>
        <w:pStyle w:val="ListParagraph"/>
        <w:numPr>
          <w:ilvl w:val="0"/>
          <w:numId w:val="5"/>
        </w:numPr>
        <w:spacing w:after="60"/>
      </w:pPr>
      <w:r>
        <w:t xml:space="preserve">Today: agree the goals for the deal days and after, and approve the push budget.</w:t>
      </w:r>
    </w:p>
    <w:p>
      <w:pPr>
        <w:pStyle w:val="ListParagraph"/>
        <w:numPr>
          <w:ilvl w:val="0"/>
          <w:numId w:val="5"/>
        </w:numPr>
        <w:spacing w:after="60"/>
      </w:pPr>
      <w:r>
        <w:t xml:space="preserve">Today to 30 September:</w:t>
      </w:r>
    </w:p>
    <w:p>
      <w:pPr>
        <w:pStyle w:val="ListParagraph"/>
        <w:numPr>
          <w:ilvl w:val="0"/>
          <w:numId w:val="3"/>
        </w:numPr>
        <w:spacing w:after="60"/>
      </w:pPr>
      <w:r>
        <w:t xml:space="preserve">On the push terms: fixed bidding, the base cut and the push price in one write, budgets by hand, and daily steps until each holds the top.</w:t>
      </w:r>
    </w:p>
    <w:p>
      <w:pPr>
        <w:pStyle w:val="ListParagraph"/>
        <w:numPr>
          <w:ilvl w:val="0"/>
          <w:numId w:val="3"/>
        </w:numPr>
        <w:spacing w:after="60"/>
      </w:pPr>
      <w:r>
        <w:t xml:space="preserve">Restart “bamboo sheets full”. Add “cooling sheets king size” and “cooling sheets queen” to the rank tracker, and start hourly tracking of sponsored and organic rank for B6 and True Bamboo on the push terms.</w:t>
      </w:r>
    </w:p>
    <w:p>
      <w:pPr>
        <w:pStyle w:val="ListParagraph"/>
        <w:numPr>
          <w:ilvl w:val="0"/>
          <w:numId w:val="3"/>
        </w:numPr>
        <w:spacing w:after="60"/>
      </w:pPr>
      <w:r>
        <w:t xml:space="preserve">Keep every ranking ad on White, and hold the new campaigns and the retags.</w:t>
      </w:r>
    </w:p>
    <w:p>
      <w:pPr>
        <w:pStyle w:val="ListParagraph"/>
        <w:numPr>
          <w:ilvl w:val="0"/>
          <w:numId w:val="5"/>
        </w:numPr>
        <w:spacing w:after="60"/>
      </w:pPr>
      <w:r>
        <w:t xml:space="preserve">1 October: re-price on the full-price margin, bring spend inside the limit, and keep the push running on qualifying terms.</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w:t>
      </w:r>
    </w:p>
    <w:p>
      <w:pPr>
        <w:pStyle w:val="ListParagraph"/>
        <w:numPr>
          <w:ilvl w:val="0"/>
          <w:numId w:val="3"/>
        </w:numPr>
        <w:spacing w:after="60"/>
      </w:pPr>
      <w:r>
        <w:t xml:space="preserve">Exclude ranking terms from the broad and auto campaigns, and fix the retags and objective tags.</w:t>
      </w:r>
    </w:p>
    <w:p>
      <w:pPr>
        <w:pStyle w:val="ListParagraph"/>
        <w:numPr>
          <w:ilvl w:val="0"/>
          <w:numId w:val="3"/>
        </w:numPr>
        <w:spacing w:after="60"/>
      </w:pPr>
      <w:r>
        <w:t xml:space="preserve">Make the 10 colour switches to White by hand, and move the 17 discovery campaigns to their clearance colours.</w:t>
      </w:r>
    </w:p>
    <w:p>
      <w:pPr>
        <w:pStyle w:val="ListParagraph"/>
        <w:numPr>
          <w:ilvl w:val="0"/>
          <w:numId w:val="3"/>
        </w:numPr>
        <w:spacing w:after="60"/>
      </w:pPr>
      <w:r>
        <w:t xml:space="preserve">Hold the Decolure brand-broad negatives until the three brand exact campaigns are defensive and serving.</w:t>
      </w:r>
    </w:p>
    <w:p>
      <w:pPr>
        <w:pStyle w:val="ListParagraph"/>
        <w:numPr>
          <w:ilvl w:val="0"/>
          <w:numId w:val="5"/>
        </w:numPr>
        <w:spacing w:after="60"/>
      </w:pPr>
      <w:r>
        <w:t xml:space="preserve">5, 12 and 19 October: tune the push plan. Fund what moves; fix or swap what doesn’t.</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3"/>
        </w:numPr>
        <w:spacing w:after="60"/>
      </w:pPr>
      <w:r>
        <w:t xml:space="preserve">It doesn’t see a Best Deal that is on the calendar and running, and its review states there is no deal in the window.</w:t>
      </w:r>
    </w:p>
    <w:p>
      <w:pPr>
        <w:pStyle w:val="ListParagraph"/>
        <w:numPr>
          <w:ilvl w:val="0"/>
          <w:numId w:val="3"/>
        </w:numPr>
        <w:spacing w:after="60"/>
      </w:pPr>
      <w:r>
        <w:t xml:space="preserve">It sets no spend target, TACoS goal or product goal, and it builds its baseline on deal days.</w:t>
      </w:r>
    </w:p>
    <w:p>
      <w:pPr>
        <w:pStyle w:val="ListParagraph"/>
        <w:numPr>
          <w:ilvl w:val="0"/>
          <w:numId w:val="3"/>
        </w:numPr>
        <w:spacing w:after="60"/>
      </w:pPr>
      <w:r>
        <w:t xml:space="preserve">It prices on $26.88 profit per unit instead of real margin from Sellerboard, and ignores the deal price.</w:t>
      </w:r>
    </w:p>
    <w:p>
      <w:pPr>
        <w:pStyle w:val="ListParagraph"/>
        <w:numPr>
          <w:ilvl w:val="0"/>
          <w:numId w:val="3"/>
        </w:numPr>
        <w:spacing w:after="60"/>
      </w:pPr>
      <w:r>
        <w:t xml:space="preserve">Its “dose” jumps skip the rank-gap size, the twice-break-even ceiling and the 30% step limit.</w:t>
      </w:r>
    </w:p>
    <w:p>
      <w:pPr>
        <w:pStyle w:val="ListParagraph"/>
        <w:numPr>
          <w:ilvl w:val="0"/>
          <w:numId w:val="3"/>
        </w:numPr>
        <w:spacing w:after="60"/>
      </w:pPr>
      <w:r>
        <w:t xml:space="preserve">It raises prices on campaigns that barely show at the top, and leaves push campaigns on down-only bidding.</w:t>
      </w:r>
    </w:p>
    <w:p>
      <w:pPr>
        <w:pStyle w:val="ListParagraph"/>
        <w:numPr>
          <w:ilvl w:val="0"/>
          <w:numId w:val="3"/>
        </w:numPr>
        <w:spacing w:after="60"/>
      </w:pPr>
      <w:r>
        <w:t xml:space="preserve">It raises boosts and forecasts clicks on campaigns whose keywords are paused, and builds new campaigns beside paused ones instead of restarting them.</w:t>
      </w:r>
    </w:p>
    <w:p>
      <w:pPr>
        <w:pStyle w:val="ListParagraph"/>
        <w:numPr>
          <w:ilvl w:val="0"/>
          <w:numId w:val="3"/>
        </w:numPr>
        <w:spacing w:after="60"/>
      </w:pPr>
      <w:r>
        <w:t xml:space="preserve">It moves Queen ranking ads to a slow seller on a push pace that its own forecast inflates.</w:t>
      </w:r>
    </w:p>
    <w:p>
      <w:pPr>
        <w:pStyle w:val="ListParagraph"/>
        <w:numPr>
          <w:ilvl w:val="0"/>
          <w:numId w:val="3"/>
        </w:numPr>
        <w:spacing w:after="60"/>
      </w:pPr>
      <w:r>
        <w:t xml:space="preserve">It makes colour switches that change the size.</w:t>
      </w:r>
    </w:p>
    <w:p>
      <w:pPr>
        <w:pStyle w:val="ListParagraph"/>
        <w:numPr>
          <w:ilvl w:val="0"/>
          <w:numId w:val="3"/>
        </w:numPr>
        <w:spacing w:after="60"/>
      </w:pPr>
      <w:r>
        <w:t xml:space="preserve">It advertises White in discovery campaigns instead of the clearance colour.</w:t>
      </w:r>
    </w:p>
    <w:p>
      <w:pPr>
        <w:pStyle w:val="ListParagraph"/>
        <w:numPr>
          <w:ilvl w:val="0"/>
          <w:numId w:val="3"/>
        </w:numPr>
        <w:spacing w:after="60"/>
      </w:pPr>
      <w:r>
        <w:t xml:space="preserve">It retags colour, competitor and Spanish-language terms as ranking.</w:t>
      </w:r>
    </w:p>
    <w:p>
      <w:pPr>
        <w:pStyle w:val="ListParagraph"/>
        <w:numPr>
          <w:ilvl w:val="0"/>
          <w:numId w:val="3"/>
        </w:numPr>
        <w:spacing w:after="60"/>
      </w:pPr>
      <w:r>
        <w:t xml:space="preserve">It exports rows it withholds, and blocks every budget change by mistake while the price changes go live.</w:t>
      </w:r>
    </w:p>
    <w:p>
      <w:pPr>
        <w:pStyle w:val="ListParagraph"/>
        <w:numPr>
          <w:ilvl w:val="0"/>
          <w:numId w:val="3"/>
        </w:numPr>
        <w:spacing w:after="60"/>
      </w:pPr>
      <w:r>
        <w:t xml:space="preserve">Its colour switches can’t be uploaded.</w:t>
      </w:r>
    </w:p>
    <w:p>
      <w:pPr>
        <w:pStyle w:val="ListParagraph"/>
        <w:numPr>
          <w:ilvl w:val="0"/>
          <w:numId w:val="3"/>
        </w:numPr>
        <w:spacing w:after="60"/>
      </w:pPr>
      <w:r>
        <w:t xml:space="preserve">It leaves 69 campaigns with changes out of its own campaign list.</w:t>
      </w:r>
    </w:p>
    <w:p>
      <w:pPr>
        <w:pStyle w:val="ListParagraph"/>
        <w:numPr>
          <w:ilvl w:val="0"/>
          <w:numId w:val="3"/>
        </w:numPr>
        <w:spacing w:after="60"/>
      </w:pPr>
      <w:r>
        <w:t xml:space="preserve">It has no current rank for 38 of its 40 target terms.</w:t>
      </w:r>
    </w:p>
    <w:p>
      <w:pPr>
        <w:pStyle w:val="ListParagraph"/>
        <w:numPr>
          <w:ilvl w:val="0"/>
          <w:numId w:val="3"/>
        </w:numPr>
        <w:spacing w:after="60"/>
      </w:pPr>
      <w:r>
        <w:t xml:space="preserve">It sets rank timelines in months when a competitor shows top-5 moves in days. It should use competitor hourly sponsored and organic rank and traffic estimates to size clicks and timelines.</w:t>
      </w:r>
    </w:p>
    <w:p>
      <w:pPr>
        <w:pStyle w:val="ListParagraph"/>
        <w:numPr>
          <w:ilvl w:val="0"/>
          <w:numId w:val="3"/>
        </w:numPr>
        <w:spacing w:after="60"/>
      </w:pPr>
      <w:r>
        <w:t xml:space="preserve">It spreads the push across hundreds of campaigns instead of a tactical set of terms with a costed click plan.</w:t>
      </w:r>
    </w:p>
    <w:p>
      <w:pPr>
        <w:pStyle w:val="ListParagraph"/>
        <w:numPr>
          <w:ilvl w:val="0"/>
          <w:numId w:val="3"/>
        </w:numPr>
        <w:spacing w:after="60"/>
      </w:pPr>
      <w:r>
        <w:t xml:space="preserve">Its notes contradict the change it writes: on “bamboo sheets” it says the price holds to the cent while raising it 7%.</w:t>
      </w:r>
    </w:p>
    <w:p>
      <w:pPr>
        <w:pStyle w:val="ListParagraph"/>
        <w:numPr>
          <w:ilvl w:val="0"/>
          <w:numId w:val="3"/>
        </w:numPr>
        <w:spacing w:after="60"/>
      </w:pPr>
      <w:r>
        <w:t xml:space="preserve">It adds brand-term negatives to the brand broad before the brand exact campaigns can take the traffic.</w:t>
      </w:r>
    </w:p>
    <w:p>
      <w:pPr>
        <w:pStyle w:val="ListParagraph"/>
        <w:numPr>
          <w:ilvl w:val="0"/>
          <w:numId w:val="3"/>
        </w:numPr>
        <w:spacing w:after="60"/>
      </w:pPr>
      <w:r>
        <w:t xml:space="preserve">Where the boost is at its 900% ceiling, it raises the base bid, which raises product-page bids too.</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2026-09-28T23:04:11.202Z</dcterms:created>
  <dcterms:modified xsi:type="dcterms:W3CDTF">2026-09-28T23:04:11.202Z</dcterms:modified>
</cp:coreProperties>
</file>

<file path=docProps/custom.xml><?xml version="1.0" encoding="utf-8"?>
<Properties xmlns="http://schemas.openxmlformats.org/officeDocument/2006/custom-properties" xmlns:vt="http://schemas.openxmlformats.org/officeDocument/2006/docPropsVTypes"/>
</file>