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1F3A5F"/>
          <w:sz w:val="36"/>
          <w:szCs w:val="36"/>
        </w:rPr>
        <w:t xml:space="preserve">Audit engine improvements: every gap the corrections and reviews found</w:t>
      </w:r>
    </w:p>
    <w:p>
      <w:pPr>
        <w:spacing w:after="100"/>
      </w:pPr>
      <w:r>
        <w:rPr>
          <w:rFonts w:ascii="Calibri" w:cs="Calibri" w:eastAsia="Calibri" w:hAnsi="Calibri"/>
        </w:rPr>
        <w:t xml:space="preserve">This is the single list of what the PPC audit engine gets wrong and what it must do instead. It combines two sources: the manual corrections of the B6 (21 September) and SCS4 (24 September) runs, which showed how the engine prices bids and placements, and the reviews of eight audit runs on seven products (5,836 decisions), which showed what it gets wrong before it prices anything: the product, the stock, the rank and the rows it writes.</w:t>
      </w:r>
    </w:p>
    <w:p>
      <w:pPr>
        <w:spacing w:after="100"/>
      </w:pPr>
      <w:r>
        <w:rPr>
          <w:rFonts w:ascii="Calibri" w:cs="Calibri" w:eastAsia="Calibri" w:hAnsi="Calibri"/>
        </w:rPr>
        <w:t xml:space="preserve">Each gap gives what we see (with figures), why it matters, the fix, and the test that shows it is fixed. Priority: P0 before the next run on any product; P1 within two weeks; P2 next cycle. Section 9 is the order the engine should decide in, including the pricing procedure; sections 10–12 are the code checks, the priorities and the acceptance tests.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400"/>
        <w:gridCol w:w="700"/>
        <w:gridCol w:w="1100"/>
        <w:gridCol w:w="1000"/>
        <w:gridCol w:w="1000"/>
        <w:gridCol w:w="1272"/>
      </w:tblGrid>
      <w:tr>
        <w:trPr>
          <w:cantSplit/>
          <w:tblHeader/>
        </w:trPr>
        <w:tc>
          <w:tcPr>
            <w:tcW w:type="dxa" w:w="2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Product</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Run</w:t>
            </w:r>
          </w:p>
        </w:tc>
        <w:tc>
          <w:tcPr>
            <w:tcW w:type="dxa" w:w="14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Lane</w:t>
            </w:r>
          </w:p>
        </w:tc>
        <w:tc>
          <w:tcPr>
            <w:tcW w:type="dxa" w:w="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Rows</w:t>
            </w:r>
          </w:p>
        </w:tc>
        <w:tc>
          <w:tcPr>
            <w:tcW w:type="dxa" w:w="11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Stored review</w:t>
            </w:r>
          </w:p>
        </w:tc>
        <w:tc>
          <w:tcPr>
            <w:tcW w:type="dxa" w:w="1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Held by stored review</w:t>
            </w:r>
          </w:p>
        </w:tc>
        <w:tc>
          <w:tcPr>
            <w:tcW w:type="dxa" w:w="1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Held by our review</w:t>
            </w:r>
          </w:p>
        </w:tc>
        <w:tc>
          <w:tcPr>
            <w:tcW w:type="dxa" w:w="12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Swaps staged / due on stock</w:t>
            </w:r>
          </w:p>
        </w:tc>
      </w:tr>
      <w:tr>
        <w:trPr>
          <w:cantSplit/>
          <w:tblHeader w:val="false"/>
        </w:trPr>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SSS4 Satin Sheets 4 Piece</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24 Sep · 9b6d678f</w:t>
            </w:r>
          </w:p>
        </w:tc>
        <w:tc>
          <w:tcPr>
            <w:tcW w:type="dxa" w:w="1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Maintenance</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1,087</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Endorse</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80</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206</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72 / 9</w:t>
            </w:r>
          </w:p>
        </w:tc>
      </w:tr>
      <w:tr>
        <w:trPr>
          <w:cantSplit/>
          <w:tblHeader w:val="false"/>
        </w:trPr>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DSFS Satin Fitted Sheet</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24 Sep · a1073463</w:t>
            </w:r>
          </w:p>
        </w:tc>
        <w:tc>
          <w:tcPr>
            <w:tcW w:type="dxa" w:w="1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Maintenance</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368</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Endorse, holds</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39</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60 / 46</w:t>
            </w:r>
          </w:p>
        </w:tc>
      </w:tr>
      <w:tr>
        <w:trPr>
          <w:cantSplit/>
          <w:tblHeader w:val="false"/>
        </w:trPr>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DSS4 Satin Sheets 4 Piece</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22 Sep · d99ebec0</w:t>
            </w:r>
          </w:p>
        </w:tc>
        <w:tc>
          <w:tcPr>
            <w:tcW w:type="dxa" w:w="1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Maintenance</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1,178</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Endorse</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78</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446</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190 / 3</w:t>
            </w:r>
          </w:p>
        </w:tc>
      </w:tr>
      <w:tr>
        <w:trPr>
          <w:cantSplit/>
          <w:tblHeader w:val="false"/>
        </w:trPr>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DSS4 Satin Sheets 4 Piece</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24 Sep · d38957cf</w:t>
            </w:r>
          </w:p>
        </w:tc>
        <w:tc>
          <w:tcPr>
            <w:tcW w:type="dxa" w:w="1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Maintenance</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1,155</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Endorse, holds</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90</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438</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182 / 3</w:t>
            </w:r>
          </w:p>
        </w:tc>
      </w:tr>
      <w:tr>
        <w:trPr>
          <w:cantSplit/>
          <w:tblHeader w:val="false"/>
        </w:trPr>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DSS6 Satin Sheets 6 Piece</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24 Sep · 3f723d0d</w:t>
            </w:r>
          </w:p>
        </w:tc>
        <w:tc>
          <w:tcPr>
            <w:tcW w:type="dxa" w:w="1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Maintenance</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784</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Endorse, holds</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107</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532</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232 / 19</w:t>
            </w:r>
          </w:p>
        </w:tc>
      </w:tr>
      <w:tr>
        <w:trPr>
          <w:cantSplit/>
          <w:tblHeader w:val="false"/>
        </w:trPr>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DBS4 Bamboo Sheets 4 Piece</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24 Sep · 5e8a0f10</w:t>
            </w:r>
          </w:p>
        </w:tc>
        <w:tc>
          <w:tcPr>
            <w:tcW w:type="dxa" w:w="1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Ranking</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389</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Endorse</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32</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124 / 120</w:t>
            </w:r>
          </w:p>
        </w:tc>
      </w:tr>
      <w:tr>
        <w:trPr>
          <w:cantSplit/>
          <w:tblHeader w:val="false"/>
        </w:trPr>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DBS6 Bamboo Sheets 6 Piece</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24 Sep · 981b2555</w:t>
            </w:r>
          </w:p>
        </w:tc>
        <w:tc>
          <w:tcPr>
            <w:tcW w:type="dxa" w:w="1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Ranking</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397</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Endorse</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76</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92 / 32</w:t>
            </w:r>
          </w:p>
        </w:tc>
      </w:tr>
      <w:tr>
        <w:trPr>
          <w:cantSplit/>
          <w:tblHeader w:val="false"/>
        </w:trPr>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SCS4 Cooling Sheets 4 Piece</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24 Sep · 7aed7be1</w:t>
            </w:r>
          </w:p>
        </w:tc>
        <w:tc>
          <w:tcPr>
            <w:tcW w:type="dxa" w:w="1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Ranking</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478</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Endorse</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31</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53</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55 / 47</w:t>
            </w:r>
          </w:p>
        </w:tc>
      </w:tr>
      <w:tr>
        <w:trPr>
          <w:cantSplit/>
          <w:tblHeader w:val="false"/>
        </w:trPr>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Total</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
            </w:r>
          </w:p>
        </w:tc>
        <w:tc>
          <w:tcPr>
            <w:tcW w:type="dxa" w:w="1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5,836</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 endorsed</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403</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1,822</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1,007 / 279</w:t>
            </w:r>
          </w:p>
        </w:tc>
      </w:tr>
    </w:tbl>
    <w:p>
      <w:pPr>
        <w:spacing w:after="80"/>
      </w:pPr>
    </w:p>
    <w:p>
      <w:pPr>
        <w:spacing w:after="120"/>
      </w:pPr>
      <w:r>
        <w:rPr>
          <w:rFonts w:ascii="Calibri" w:cs="Calibri" w:eastAsia="Calibri" w:hAnsi="Calibri"/>
          <w:i/>
          <w:iCs/>
          <w:color w:val="555555"/>
          <w:sz w:val="17"/>
          <w:szCs w:val="17"/>
        </w:rPr>
        <w:t xml:space="preserve">The eight reviewed runs. “Held by our review” includes the stored review’s holds. Swaps “due on stock” pass the planner test in REVIEW_METHOD_stock.md; every staged swap skips at apply. B6 (21 September) was corrected by hand in “DBS6 Corrections by Situation”.</w:t>
      </w:r>
    </w:p>
    <w:p>
      <w:pPr>
        <w:pStyle w:val="Heading1"/>
      </w:pPr>
      <w:r>
        <w:rPr>
          <w:rFonts w:ascii="Calibri" w:cs="Calibri" w:eastAsia="Calibri" w:hAnsi="Calibri"/>
        </w:rPr>
        <w:t xml:space="preserve">The headline</w:t>
      </w:r>
    </w:p>
    <w:p>
      <w:pPr>
        <w:pStyle w:val="ListParagraph"/>
        <w:numPr>
          <w:ilvl w:val="0"/>
          <w:numId w:val="2"/>
        </w:numPr>
        <w:spacing w:after="60"/>
      </w:pPr>
      <w:r>
        <w:rPr>
          <w:rFonts w:ascii="Calibri" w:cs="Calibri" w:eastAsia="Calibri" w:hAnsi="Calibri"/>
        </w:rPr>
        <w:t xml:space="preserve">The engine decides rows before it decides the product. Four of the five maintenance runs were on products in code red (TACoS 2–5 times the Mature band for 9–22 weeks) and none said so. Sales trends, deal gaps, price and image changes, stock-outs and dark campaigns were never read.</w:t>
      </w:r>
    </w:p>
    <w:p>
      <w:pPr>
        <w:pStyle w:val="ListParagraph"/>
        <w:numPr>
          <w:ilvl w:val="0"/>
          <w:numId w:val="2"/>
        </w:numPr>
        <w:spacing w:after="60"/>
      </w:pPr>
      <w:r>
        <w:rPr>
          <w:rFonts w:ascii="Calibri" w:cs="Calibri" w:eastAsia="Calibri" w:hAnsi="Calibri"/>
        </w:rPr>
        <w:t xml:space="preserve">It does not derive a price the way the logic document does: one wrong product contribution, a market bound built from our own CPC, no per-campaign ceiling, premiums without the five properties, steps not tied to delivery, descents with no landing point, budgets raised on campaigns that are not running out.</w:t>
      </w:r>
    </w:p>
    <w:p>
      <w:pPr>
        <w:pStyle w:val="ListParagraph"/>
        <w:numPr>
          <w:ilvl w:val="0"/>
          <w:numId w:val="2"/>
        </w:numPr>
        <w:spacing w:after="60"/>
      </w:pPr>
      <w:r>
        <w:rPr>
          <w:rFonts w:ascii="Calibri" w:cs="Calibri" w:eastAsia="Calibri" w:hAnsi="Calibri"/>
        </w:rPr>
        <w:t xml:space="preserve">Stock and the advertised child are the largest single source of wrong rows. 1,007 swaps staged, none can load, 279 justified by stock. The hero rule moves campaigns off best sellers that still have plenty of stock onto children that barely sell, and 686 renames name a child the ad will not serve.</w:t>
      </w:r>
    </w:p>
    <w:p>
      <w:pPr>
        <w:pStyle w:val="ListParagraph"/>
        <w:numPr>
          <w:ilvl w:val="0"/>
          <w:numId w:val="2"/>
        </w:numPr>
        <w:spacing w:after="60"/>
      </w:pPr>
      <w:r>
        <w:rPr>
          <w:rFonts w:ascii="Calibri" w:cs="Calibri" w:eastAsia="Calibri" w:hAnsi="Calibri"/>
        </w:rPr>
        <w:t xml:space="preserve">Rank reads make false freezes and miss real losses: 17 of 46 freezes are real on the 7-day median, several compare against March or April, and stock-caused losses go unnamed.</w:t>
      </w:r>
    </w:p>
    <w:p>
      <w:pPr>
        <w:pStyle w:val="ListParagraph"/>
        <w:numPr>
          <w:ilvl w:val="0"/>
          <w:numId w:val="2"/>
        </w:numPr>
        <w:spacing w:after="60"/>
      </w:pPr>
      <w:r>
        <w:rPr>
          <w:rFonts w:ascii="Calibri" w:cs="Calibri" w:eastAsia="Calibri" w:hAnsi="Calibri"/>
        </w:rPr>
        <w:t xml:space="preserve">What it writes is not what loads or what can happen: 68 writes on paused campaigns, 64 cuts that claim rank improves, rules that cancel each other, withheld rows exported as changes, and an outcome booked on day-one gains from new campaigns and on paused campaigns.</w:t>
      </w:r>
    </w:p>
    <w:p>
      <w:pPr>
        <w:pStyle w:val="ListParagraph"/>
        <w:numPr>
          <w:ilvl w:val="0"/>
          <w:numId w:val="2"/>
        </w:numPr>
        <w:spacing w:after="60"/>
      </w:pPr>
      <w:r>
        <w:rPr>
          <w:rFonts w:ascii="Calibri" w:cs="Calibri" w:eastAsia="Calibri" w:hAnsi="Calibri"/>
        </w:rPr>
        <w:t xml:space="preserve">Nothing is graded before the next step, and the review agent endorsed all eight runs: it reads rows well but accepts the premise.</w:t>
      </w:r>
    </w:p>
    <w:p>
      <w:pPr>
        <w:pStyle w:val="Heading2"/>
      </w:pPr>
      <w:r>
        <w:rPr>
          <w:rFonts w:ascii="Calibri" w:cs="Calibri" w:eastAsia="Calibri" w:hAnsi="Calibri"/>
        </w:rPr>
        <w:t xml:space="preserve">The gaps at a glance</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700"/>
        <w:gridCol w:w="8300"/>
        <w:gridCol w:w="972"/>
      </w:tblGrid>
      <w:tr>
        <w:trPr>
          <w:cantSplit/>
          <w:tblHeader/>
        </w:trPr>
        <w:tc>
          <w:tcPr>
            <w:tcW w:type="dxa" w:w="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w:t>
            </w:r>
          </w:p>
        </w:tc>
        <w:tc>
          <w:tcPr>
            <w:tcW w:type="dxa" w:w="8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Gap</w:t>
            </w:r>
          </w:p>
        </w:tc>
        <w:tc>
          <w:tcPr>
            <w:tcW w:type="dxa" w:w="9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Priority</w:t>
            </w:r>
          </w:p>
        </w:tc>
      </w:tr>
      <w:tr>
        <w:trPr>
          <w:cantSplit/>
          <w:tblHeader w:val="false"/>
        </w:trPr>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A1</w:t>
            </w:r>
          </w:p>
        </w:tc>
        <w:tc>
          <w:tcPr>
            <w:tcW w:type="dxa" w:w="8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Posture is never declared against the stage band</w:t>
            </w:r>
          </w:p>
        </w:tc>
        <w:tc>
          <w:tcPr>
            <w:tcW w:type="dxa" w:w="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P0</w:t>
            </w:r>
          </w:p>
        </w:tc>
      </w:tr>
      <w:tr>
        <w:trPr>
          <w:cantSplit/>
          <w:tblHeader w:val="false"/>
        </w:trPr>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A2</w:t>
            </w:r>
          </w:p>
        </w:tc>
        <w:tc>
          <w:tcPr>
            <w:tcW w:type="dxa" w:w="8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The stage label contradicts itself</w:t>
            </w:r>
          </w:p>
        </w:tc>
        <w:tc>
          <w:tcPr>
            <w:tcW w:type="dxa" w:w="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P2</w:t>
            </w:r>
          </w:p>
        </w:tc>
      </w:tr>
      <w:tr>
        <w:trPr>
          <w:cantSplit/>
          <w:tblHeader w:val="false"/>
        </w:trPr>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A3</w:t>
            </w:r>
          </w:p>
        </w:tc>
        <w:tc>
          <w:tcPr>
            <w:tcW w:type="dxa" w:w="8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The sales base is stale and the trend is not read</w:t>
            </w:r>
          </w:p>
        </w:tc>
        <w:tc>
          <w:tcPr>
            <w:tcW w:type="dxa" w:w="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P1</w:t>
            </w:r>
          </w:p>
        </w:tc>
      </w:tr>
      <w:tr>
        <w:trPr>
          <w:cantSplit/>
          <w:tblHeader w:val="false"/>
        </w:trPr>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A4</w:t>
            </w:r>
          </w:p>
        </w:tc>
        <w:tc>
          <w:tcPr>
            <w:tcW w:type="dxa" w:w="8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Causes outside PPC are invisible</w:t>
            </w:r>
          </w:p>
        </w:tc>
        <w:tc>
          <w:tcPr>
            <w:tcW w:type="dxa" w:w="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P1</w:t>
            </w:r>
          </w:p>
        </w:tc>
      </w:tr>
      <w:tr>
        <w:trPr>
          <w:cantSplit/>
          <w:tblHeader w:val="false"/>
        </w:trPr>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I1</w:t>
            </w:r>
          </w:p>
        </w:tc>
        <w:tc>
          <w:tcPr>
            <w:tcW w:type="dxa" w:w="8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Contribution is one product figure, and the wrong one</w:t>
            </w:r>
          </w:p>
        </w:tc>
        <w:tc>
          <w:tcPr>
            <w:tcW w:type="dxa" w:w="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P0</w:t>
            </w:r>
          </w:p>
        </w:tc>
      </w:tr>
      <w:tr>
        <w:trPr>
          <w:cantSplit/>
          <w:tblHeader w:val="false"/>
        </w:trPr>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I4</w:t>
            </w:r>
          </w:p>
        </w:tc>
        <w:tc>
          <w:tcPr>
            <w:tcW w:type="dxa" w:w="8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One window for every question</w:t>
            </w:r>
          </w:p>
        </w:tc>
        <w:tc>
          <w:tcPr>
            <w:tcW w:type="dxa" w:w="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P1</w:t>
            </w:r>
          </w:p>
        </w:tc>
      </w:tr>
      <w:tr>
        <w:trPr>
          <w:cantSplit/>
          <w:tblHeader w:val="false"/>
        </w:trPr>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I5</w:t>
            </w:r>
          </w:p>
        </w:tc>
        <w:tc>
          <w:tcPr>
            <w:tcW w:type="dxa" w:w="8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Placement is estimated at keyword grain</w:t>
            </w:r>
          </w:p>
        </w:tc>
        <w:tc>
          <w:tcPr>
            <w:tcW w:type="dxa" w:w="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P1</w:t>
            </w:r>
          </w:p>
        </w:tc>
      </w:tr>
      <w:tr>
        <w:trPr>
          <w:cantSplit/>
          <w:tblHeader w:val="false"/>
        </w:trPr>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I6</w:t>
            </w:r>
          </w:p>
        </w:tc>
        <w:tc>
          <w:tcPr>
            <w:tcW w:type="dxa" w:w="8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Top-of-search impression share is not read as a signal</w:t>
            </w:r>
          </w:p>
        </w:tc>
        <w:tc>
          <w:tcPr>
            <w:tcW w:type="dxa" w:w="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P0</w:t>
            </w:r>
          </w:p>
        </w:tc>
      </w:tr>
      <w:tr>
        <w:trPr>
          <w:cantSplit/>
          <w:tblHeader w:val="false"/>
        </w:trPr>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I7</w:t>
            </w:r>
          </w:p>
        </w:tc>
        <w:tc>
          <w:tcPr>
            <w:tcW w:type="dxa" w:w="8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Campaigns advertising the product are missing from the export</w:t>
            </w:r>
          </w:p>
        </w:tc>
        <w:tc>
          <w:tcPr>
            <w:tcW w:type="dxa" w:w="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P1</w:t>
            </w:r>
          </w:p>
        </w:tc>
      </w:tr>
      <w:tr>
        <w:trPr>
          <w:cantSplit/>
          <w:tblHeader w:val="false"/>
        </w:trPr>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I8</w:t>
            </w:r>
          </w:p>
        </w:tc>
        <w:tc>
          <w:tcPr>
            <w:tcW w:type="dxa" w:w="8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Live values are not re-read before export</w:t>
            </w:r>
          </w:p>
        </w:tc>
        <w:tc>
          <w:tcPr>
            <w:tcW w:type="dxa" w:w="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P1</w:t>
            </w:r>
          </w:p>
        </w:tc>
      </w:tr>
      <w:tr>
        <w:trPr>
          <w:cantSplit/>
          <w:tblHeader w:val="false"/>
        </w:trPr>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I10</w:t>
            </w:r>
          </w:p>
        </w:tc>
        <w:tc>
          <w:tcPr>
            <w:tcW w:type="dxa" w:w="8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Syntax library gaps put terms in the wrong group</w:t>
            </w:r>
          </w:p>
        </w:tc>
        <w:tc>
          <w:tcPr>
            <w:tcW w:type="dxa" w:w="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P1</w:t>
            </w:r>
          </w:p>
        </w:tc>
      </w:tr>
      <w:tr>
        <w:trPr>
          <w:cantSplit/>
          <w:tblHeader w:val="false"/>
        </w:trPr>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I11</w:t>
            </w:r>
          </w:p>
        </w:tc>
        <w:tc>
          <w:tcPr>
            <w:tcW w:type="dxa" w:w="8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In-focus terms are not in the rank tracker</w:t>
            </w:r>
          </w:p>
        </w:tc>
        <w:tc>
          <w:tcPr>
            <w:tcW w:type="dxa" w:w="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P1</w:t>
            </w:r>
          </w:p>
        </w:tc>
      </w:tr>
      <w:tr>
        <w:trPr>
          <w:cantSplit/>
          <w:tblHeader w:val="false"/>
        </w:trPr>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I2</w:t>
            </w:r>
          </w:p>
        </w:tc>
        <w:tc>
          <w:tcPr>
            <w:tcW w:type="dxa" w:w="8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Rank is read from one day’s crawl</w:t>
            </w:r>
          </w:p>
        </w:tc>
        <w:tc>
          <w:tcPr>
            <w:tcW w:type="dxa" w:w="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P0</w:t>
            </w:r>
          </w:p>
        </w:tc>
      </w:tr>
      <w:tr>
        <w:trPr>
          <w:cantSplit/>
          <w:tblHeader w:val="false"/>
        </w:trPr>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I3</w:t>
            </w:r>
          </w:p>
        </w:tc>
        <w:tc>
          <w:tcPr>
            <w:tcW w:type="dxa" w:w="8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“30 days ago” is not 30 days ago</w:t>
            </w:r>
          </w:p>
        </w:tc>
        <w:tc>
          <w:tcPr>
            <w:tcW w:type="dxa" w:w="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P0</w:t>
            </w:r>
          </w:p>
        </w:tc>
      </w:tr>
      <w:tr>
        <w:trPr>
          <w:cantSplit/>
          <w:tblHeader w:val="false"/>
        </w:trPr>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I12</w:t>
            </w:r>
          </w:p>
        </w:tc>
        <w:tc>
          <w:tcPr>
            <w:tcW w:type="dxa" w:w="8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Real rank losses caused by stock are missed or read as price</w:t>
            </w:r>
          </w:p>
        </w:tc>
        <w:tc>
          <w:tcPr>
            <w:tcW w:type="dxa" w:w="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P1</w:t>
            </w:r>
          </w:p>
        </w:tc>
      </w:tr>
      <w:tr>
        <w:trPr>
          <w:cantSplit/>
          <w:tblHeader w:val="false"/>
        </w:trPr>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I13</w:t>
            </w:r>
          </w:p>
        </w:tc>
        <w:tc>
          <w:tcPr>
            <w:tcW w:type="dxa" w:w="8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Levers are moved inside the run’s own freezes</w:t>
            </w:r>
          </w:p>
        </w:tc>
        <w:tc>
          <w:tcPr>
            <w:tcW w:type="dxa" w:w="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P1</w:t>
            </w:r>
          </w:p>
        </w:tc>
      </w:tr>
      <w:tr>
        <w:trPr>
          <w:cantSplit/>
          <w:tblHeader w:val="false"/>
        </w:trPr>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S1</w:t>
            </w:r>
          </w:p>
        </w:tc>
        <w:tc>
          <w:tcPr>
            <w:tcW w:type="dxa" w:w="8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Child swaps do not load</w:t>
            </w:r>
          </w:p>
        </w:tc>
        <w:tc>
          <w:tcPr>
            <w:tcW w:type="dxa" w:w="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P0</w:t>
            </w:r>
          </w:p>
        </w:tc>
      </w:tr>
      <w:tr>
        <w:trPr>
          <w:cantSplit/>
          <w:tblHeader w:val="false"/>
        </w:trPr>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S7</w:t>
            </w:r>
          </w:p>
        </w:tc>
        <w:tc>
          <w:tcPr>
            <w:tcW w:type="dxa" w:w="8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The hero rule moves traffic off best sellers that still have stock</w:t>
            </w:r>
          </w:p>
        </w:tc>
        <w:tc>
          <w:tcPr>
            <w:tcW w:type="dxa" w:w="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P0</w:t>
            </w:r>
          </w:p>
        </w:tc>
      </w:tr>
      <w:tr>
        <w:trPr>
          <w:cantSplit/>
          <w:tblHeader w:val="false"/>
        </w:trPr>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S3</w:t>
            </w:r>
          </w:p>
        </w:tc>
        <w:tc>
          <w:tcPr>
            <w:tcW w:type="dxa" w:w="8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Cover is read on the hero, not the child the size pushes on</w:t>
            </w:r>
          </w:p>
        </w:tc>
        <w:tc>
          <w:tcPr>
            <w:tcW w:type="dxa" w:w="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P0</w:t>
            </w:r>
          </w:p>
        </w:tc>
      </w:tr>
      <w:tr>
        <w:trPr>
          <w:cantSplit/>
          <w:tblHeader w:val="false"/>
        </w:trPr>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S8</w:t>
            </w:r>
          </w:p>
        </w:tc>
        <w:tc>
          <w:tcPr>
            <w:tcW w:type="dxa" w:w="8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Too much moves, or the wrong campaigns stay</w:t>
            </w:r>
          </w:p>
        </w:tc>
        <w:tc>
          <w:tcPr>
            <w:tcW w:type="dxa" w:w="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P1</w:t>
            </w:r>
          </w:p>
        </w:tc>
      </w:tr>
      <w:tr>
        <w:trPr>
          <w:cantSplit/>
          <w:tblHeader w:val="false"/>
        </w:trPr>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S9</w:t>
            </w:r>
          </w:p>
        </w:tc>
        <w:tc>
          <w:tcPr>
            <w:tcW w:type="dxa" w:w="8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Campaigns on sold-out children get no row</w:t>
            </w:r>
          </w:p>
        </w:tc>
        <w:tc>
          <w:tcPr>
            <w:tcW w:type="dxa" w:w="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P0</w:t>
            </w:r>
          </w:p>
        </w:tc>
      </w:tr>
      <w:tr>
        <w:trPr>
          <w:cantSplit/>
          <w:tblHeader w:val="false"/>
        </w:trPr>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S4</w:t>
            </w:r>
          </w:p>
        </w:tc>
        <w:tc>
          <w:tcPr>
            <w:tcW w:type="dxa" w:w="8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Swaps contradict each other or cross sizes</w:t>
            </w:r>
          </w:p>
        </w:tc>
        <w:tc>
          <w:tcPr>
            <w:tcW w:type="dxa" w:w="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P0</w:t>
            </w:r>
          </w:p>
        </w:tc>
      </w:tr>
      <w:tr>
        <w:trPr>
          <w:cantSplit/>
          <w:tblHeader w:val="false"/>
        </w:trPr>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S2</w:t>
            </w:r>
          </w:p>
        </w:tc>
        <w:tc>
          <w:tcPr>
            <w:tcW w:type="dxa" w:w="8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Renames stamp a child the ad does not serve</w:t>
            </w:r>
          </w:p>
        </w:tc>
        <w:tc>
          <w:tcPr>
            <w:tcW w:type="dxa" w:w="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P1</w:t>
            </w:r>
          </w:p>
        </w:tc>
      </w:tr>
      <w:tr>
        <w:trPr>
          <w:cantSplit/>
          <w:tblHeader w:val="false"/>
        </w:trPr>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S5</w:t>
            </w:r>
          </w:p>
        </w:tc>
        <w:tc>
          <w:tcPr>
            <w:tcW w:type="dxa" w:w="8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Builds and pushes on a child without stock</w:t>
            </w:r>
          </w:p>
        </w:tc>
        <w:tc>
          <w:tcPr>
            <w:tcW w:type="dxa" w:w="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P0</w:t>
            </w:r>
          </w:p>
        </w:tc>
      </w:tr>
      <w:tr>
        <w:trPr>
          <w:cantSplit/>
          <w:tblHeader w:val="false"/>
        </w:trPr>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S6</w:t>
            </w:r>
          </w:p>
        </w:tc>
        <w:tc>
          <w:tcPr>
            <w:tcW w:type="dxa" w:w="8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The tracker may read a different child from the ad</w:t>
            </w:r>
          </w:p>
        </w:tc>
        <w:tc>
          <w:tcPr>
            <w:tcW w:type="dxa" w:w="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P2</w:t>
            </w:r>
          </w:p>
        </w:tc>
      </w:tr>
      <w:tr>
        <w:trPr>
          <w:cantSplit/>
          <w:tblHeader w:val="false"/>
        </w:trPr>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P1</w:t>
            </w:r>
          </w:p>
        </w:tc>
        <w:tc>
          <w:tcPr>
            <w:tcW w:type="dxa" w:w="8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The market bound is circular</w:t>
            </w:r>
          </w:p>
        </w:tc>
        <w:tc>
          <w:tcPr>
            <w:tcW w:type="dxa" w:w="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P0</w:t>
            </w:r>
          </w:p>
        </w:tc>
      </w:tr>
      <w:tr>
        <w:trPr>
          <w:cantSplit/>
          <w:tblHeader w:val="false"/>
        </w:trPr>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P2</w:t>
            </w:r>
          </w:p>
        </w:tc>
        <w:tc>
          <w:tcPr>
            <w:tcW w:type="dxa" w:w="8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No per-campaign, per-placement ceiling</w:t>
            </w:r>
          </w:p>
        </w:tc>
        <w:tc>
          <w:tcPr>
            <w:tcW w:type="dxa" w:w="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P0</w:t>
            </w:r>
          </w:p>
        </w:tc>
      </w:tr>
      <w:tr>
        <w:trPr>
          <w:cantSplit/>
          <w:tblHeader w:val="false"/>
        </w:trPr>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P3</w:t>
            </w:r>
          </w:p>
        </w:tc>
        <w:tc>
          <w:tcPr>
            <w:tcW w:type="dxa" w:w="8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Premiums without the five properties; holds without a reason</w:t>
            </w:r>
          </w:p>
        </w:tc>
        <w:tc>
          <w:tcPr>
            <w:tcW w:type="dxa" w:w="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P0</w:t>
            </w:r>
          </w:p>
        </w:tc>
      </w:tr>
      <w:tr>
        <w:trPr>
          <w:cantSplit/>
          <w:tblHeader w:val="false"/>
        </w:trPr>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P4</w:t>
            </w:r>
          </w:p>
        </w:tc>
        <w:tc>
          <w:tcPr>
            <w:tcW w:type="dxa" w:w="8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The four conditions for a wide gap are not tested</w:t>
            </w:r>
          </w:p>
        </w:tc>
        <w:tc>
          <w:tcPr>
            <w:tcW w:type="dxa" w:w="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P1</w:t>
            </w:r>
          </w:p>
        </w:tc>
      </w:tr>
      <w:tr>
        <w:trPr>
          <w:cantSplit/>
          <w:tblHeader w:val="false"/>
        </w:trPr>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P5</w:t>
            </w:r>
          </w:p>
        </w:tc>
        <w:tc>
          <w:tcPr>
            <w:tcW w:type="dxa" w:w="8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The distribution fix is written without the price step it needs</w:t>
            </w:r>
          </w:p>
        </w:tc>
        <w:tc>
          <w:tcPr>
            <w:tcW w:type="dxa" w:w="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P0</w:t>
            </w:r>
          </w:p>
        </w:tc>
      </w:tr>
      <w:tr>
        <w:trPr>
          <w:cantSplit/>
          <w:tblHeader w:val="false"/>
        </w:trPr>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P6</w:t>
            </w:r>
          </w:p>
        </w:tc>
        <w:tc>
          <w:tcPr>
            <w:tcW w:type="dxa" w:w="8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Step size is not tied to the delivery gap or to what the last step bought</w:t>
            </w:r>
          </w:p>
        </w:tc>
        <w:tc>
          <w:tcPr>
            <w:tcW w:type="dxa" w:w="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P0</w:t>
            </w:r>
          </w:p>
        </w:tc>
      </w:tr>
      <w:tr>
        <w:trPr>
          <w:cantSplit/>
          <w:tblHeader w:val="false"/>
        </w:trPr>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P7</w:t>
            </w:r>
          </w:p>
        </w:tc>
        <w:tc>
          <w:tcPr>
            <w:tcW w:type="dxa" w:w="8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Prices come down as a residue, on a ladder, or on pushes that never ran</w:t>
            </w:r>
          </w:p>
        </w:tc>
        <w:tc>
          <w:tcPr>
            <w:tcW w:type="dxa" w:w="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P0</w:t>
            </w:r>
          </w:p>
        </w:tc>
      </w:tr>
      <w:tr>
        <w:trPr>
          <w:cantSplit/>
          <w:tblHeader w:val="false"/>
        </w:trPr>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P8</w:t>
            </w:r>
          </w:p>
        </w:tc>
        <w:tc>
          <w:tcPr>
            <w:tcW w:type="dxa" w:w="8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Base cut on rows that are not delivering</w:t>
            </w:r>
          </w:p>
        </w:tc>
        <w:tc>
          <w:tcPr>
            <w:tcW w:type="dxa" w:w="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P1</w:t>
            </w:r>
          </w:p>
        </w:tc>
      </w:tr>
      <w:tr>
        <w:trPr>
          <w:cantSplit/>
          <w:tblHeader w:val="false"/>
        </w:trPr>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P9</w:t>
            </w:r>
          </w:p>
        </w:tc>
        <w:tc>
          <w:tcPr>
            <w:tcW w:type="dxa" w:w="8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Rest-of-search modifier cut when it has earned its lift</w:t>
            </w:r>
          </w:p>
        </w:tc>
        <w:tc>
          <w:tcPr>
            <w:tcW w:type="dxa" w:w="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P2</w:t>
            </w:r>
          </w:p>
        </w:tc>
      </w:tr>
      <w:tr>
        <w:trPr>
          <w:cantSplit/>
          <w:tblHeader w:val="false"/>
        </w:trPr>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P10</w:t>
            </w:r>
          </w:p>
        </w:tc>
        <w:tc>
          <w:tcPr>
            <w:tcW w:type="dxa" w:w="8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The 900% wall is not handled</w:t>
            </w:r>
          </w:p>
        </w:tc>
        <w:tc>
          <w:tcPr>
            <w:tcW w:type="dxa" w:w="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P1</w:t>
            </w:r>
          </w:p>
        </w:tc>
      </w:tr>
      <w:tr>
        <w:trPr>
          <w:cantSplit/>
          <w:tblHeader w:val="false"/>
        </w:trPr>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P11</w:t>
            </w:r>
          </w:p>
        </w:tc>
        <w:tc>
          <w:tcPr>
            <w:tcW w:type="dxa" w:w="8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Rows state a percentage, not two prices and a loss</w:t>
            </w:r>
          </w:p>
        </w:tc>
        <w:tc>
          <w:tcPr>
            <w:tcW w:type="dxa" w:w="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P1</w:t>
            </w:r>
          </w:p>
        </w:tc>
      </w:tr>
      <w:tr>
        <w:trPr>
          <w:cantSplit/>
          <w:tblHeader w:val="false"/>
        </w:trPr>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P12</w:t>
            </w:r>
          </w:p>
        </w:tc>
        <w:tc>
          <w:tcPr>
            <w:tcW w:type="dxa" w:w="8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Requirements are inflated, unreachable or unfunded without saying so</w:t>
            </w:r>
          </w:p>
        </w:tc>
        <w:tc>
          <w:tcPr>
            <w:tcW w:type="dxa" w:w="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P0</w:t>
            </w:r>
          </w:p>
        </w:tc>
      </w:tr>
      <w:tr>
        <w:trPr>
          <w:cantSplit/>
          <w:tblHeader w:val="false"/>
        </w:trPr>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P13</w:t>
            </w:r>
          </w:p>
        </w:tc>
        <w:tc>
          <w:tcPr>
            <w:tcW w:type="dxa" w:w="8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Budget moves on the wrong evidence</w:t>
            </w:r>
          </w:p>
        </w:tc>
        <w:tc>
          <w:tcPr>
            <w:tcW w:type="dxa" w:w="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P0</w:t>
            </w:r>
          </w:p>
        </w:tc>
      </w:tr>
      <w:tr>
        <w:trPr>
          <w:cantSplit/>
          <w:tblHeader w:val="false"/>
        </w:trPr>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P14</w:t>
            </w:r>
          </w:p>
        </w:tc>
        <w:tc>
          <w:tcPr>
            <w:tcW w:type="dxa" w:w="8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No envelope, so no push is ever “Funded”</w:t>
            </w:r>
          </w:p>
        </w:tc>
        <w:tc>
          <w:tcPr>
            <w:tcW w:type="dxa" w:w="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P0</w:t>
            </w:r>
          </w:p>
        </w:tc>
      </w:tr>
      <w:tr>
        <w:trPr>
          <w:cantSplit/>
          <w:tblHeader w:val="false"/>
        </w:trPr>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T1</w:t>
            </w:r>
          </w:p>
        </w:tc>
        <w:tc>
          <w:tcPr>
            <w:tcW w:type="dxa" w:w="8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Writes on paused campaigns</w:t>
            </w:r>
          </w:p>
        </w:tc>
        <w:tc>
          <w:tcPr>
            <w:tcW w:type="dxa" w:w="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P0</w:t>
            </w:r>
          </w:p>
        </w:tc>
      </w:tr>
      <w:tr>
        <w:trPr>
          <w:cantSplit/>
          <w:tblHeader w:val="false"/>
        </w:trPr>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T2</w:t>
            </w:r>
          </w:p>
        </w:tc>
        <w:tc>
          <w:tcPr>
            <w:tcW w:type="dxa" w:w="8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A paused campaign takes a plan term out of ranking without a decision</w:t>
            </w:r>
          </w:p>
        </w:tc>
        <w:tc>
          <w:tcPr>
            <w:tcW w:type="dxa" w:w="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P0</w:t>
            </w:r>
          </w:p>
        </w:tc>
      </w:tr>
      <w:tr>
        <w:trPr>
          <w:cantSplit/>
          <w:tblHeader w:val="false"/>
        </w:trPr>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T3</w:t>
            </w:r>
          </w:p>
        </w:tc>
        <w:tc>
          <w:tcPr>
            <w:tcW w:type="dxa" w:w="8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Duplicate builds instead of re-enabling campaigns with history</w:t>
            </w:r>
          </w:p>
        </w:tc>
        <w:tc>
          <w:tcPr>
            <w:tcW w:type="dxa" w:w="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P1</w:t>
            </w:r>
          </w:p>
        </w:tc>
      </w:tr>
      <w:tr>
        <w:trPr>
          <w:cantSplit/>
          <w:tblHeader w:val="false"/>
        </w:trPr>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T4</w:t>
            </w:r>
          </w:p>
        </w:tc>
        <w:tc>
          <w:tcPr>
            <w:tcW w:type="dxa" w:w="8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Rows parked for a person to “re-price or pause”</w:t>
            </w:r>
          </w:p>
        </w:tc>
        <w:tc>
          <w:tcPr>
            <w:tcW w:type="dxa" w:w="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P0</w:t>
            </w:r>
          </w:p>
        </w:tc>
      </w:tr>
      <w:tr>
        <w:trPr>
          <w:cantSplit/>
          <w:tblHeader w:val="false"/>
        </w:trPr>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T5</w:t>
            </w:r>
          </w:p>
        </w:tc>
        <w:tc>
          <w:tcPr>
            <w:tcW w:type="dxa" w:w="8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Rows are priced in the same run they are re-tagged</w:t>
            </w:r>
          </w:p>
        </w:tc>
        <w:tc>
          <w:tcPr>
            <w:tcW w:type="dxa" w:w="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P2</w:t>
            </w:r>
          </w:p>
        </w:tc>
      </w:tr>
      <w:tr>
        <w:trPr>
          <w:cantSplit/>
          <w:tblHeader w:val="false"/>
        </w:trPr>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T6</w:t>
            </w:r>
          </w:p>
        </w:tc>
        <w:tc>
          <w:tcPr>
            <w:tcW w:type="dxa" w:w="8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Sibling listings bid the same terms unknowingly</w:t>
            </w:r>
          </w:p>
        </w:tc>
        <w:tc>
          <w:tcPr>
            <w:tcW w:type="dxa" w:w="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P1</w:t>
            </w:r>
          </w:p>
        </w:tc>
      </w:tr>
      <w:tr>
        <w:trPr>
          <w:cantSplit/>
          <w:tblHeader w:val="false"/>
        </w:trPr>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T7</w:t>
            </w:r>
          </w:p>
        </w:tc>
        <w:tc>
          <w:tcPr>
            <w:tcW w:type="dxa" w:w="8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Non-SP builds have no path</w:t>
            </w:r>
          </w:p>
        </w:tc>
        <w:tc>
          <w:tcPr>
            <w:tcW w:type="dxa" w:w="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P1</w:t>
            </w:r>
          </w:p>
        </w:tc>
      </w:tr>
      <w:tr>
        <w:trPr>
          <w:cantSplit/>
          <w:tblHeader w:val="false"/>
        </w:trPr>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T8</w:t>
            </w:r>
          </w:p>
        </w:tc>
        <w:tc>
          <w:tcPr>
            <w:tcW w:type="dxa" w:w="8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Rules that cancel each other</w:t>
            </w:r>
          </w:p>
        </w:tc>
        <w:tc>
          <w:tcPr>
            <w:tcW w:type="dxa" w:w="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P0</w:t>
            </w:r>
          </w:p>
        </w:tc>
      </w:tr>
      <w:tr>
        <w:trPr>
          <w:cantSplit/>
          <w:tblHeader w:val="false"/>
        </w:trPr>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T9</w:t>
            </w:r>
          </w:p>
        </w:tc>
        <w:tc>
          <w:tcPr>
            <w:tcW w:type="dxa" w:w="8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Blanket sweep cuts with no target read</w:t>
            </w:r>
          </w:p>
        </w:tc>
        <w:tc>
          <w:tcPr>
            <w:tcW w:type="dxa" w:w="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P2</w:t>
            </w:r>
          </w:p>
        </w:tc>
      </w:tr>
      <w:tr>
        <w:trPr>
          <w:cantSplit/>
          <w:tblHeader w:val="false"/>
        </w:trPr>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T10</w:t>
            </w:r>
          </w:p>
        </w:tc>
        <w:tc>
          <w:tcPr>
            <w:tcW w:type="dxa" w:w="8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Liquidation handled by the wrong rule</w:t>
            </w:r>
          </w:p>
        </w:tc>
        <w:tc>
          <w:tcPr>
            <w:tcW w:type="dxa" w:w="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P2</w:t>
            </w:r>
          </w:p>
        </w:tc>
      </w:tr>
      <w:tr>
        <w:trPr>
          <w:cantSplit/>
          <w:tblHeader w:val="false"/>
        </w:trPr>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E1</w:t>
            </w:r>
          </w:p>
        </w:tc>
        <w:tc>
          <w:tcPr>
            <w:tcW w:type="dxa" w:w="8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Withheld rows export as changes</w:t>
            </w:r>
          </w:p>
        </w:tc>
        <w:tc>
          <w:tcPr>
            <w:tcW w:type="dxa" w:w="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P0</w:t>
            </w:r>
          </w:p>
        </w:tc>
      </w:tr>
      <w:tr>
        <w:trPr>
          <w:cantSplit/>
          <w:tblHeader w:val="false"/>
        </w:trPr>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E2</w:t>
            </w:r>
          </w:p>
        </w:tc>
        <w:tc>
          <w:tcPr>
            <w:tcW w:type="dxa" w:w="8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No-op, duplicate and overtaken rows</w:t>
            </w:r>
          </w:p>
        </w:tc>
        <w:tc>
          <w:tcPr>
            <w:tcW w:type="dxa" w:w="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P1</w:t>
            </w:r>
          </w:p>
        </w:tc>
      </w:tr>
      <w:tr>
        <w:trPr>
          <w:cantSplit/>
          <w:tblHeader w:val="false"/>
        </w:trPr>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E3</w:t>
            </w:r>
          </w:p>
        </w:tc>
        <w:tc>
          <w:tcPr>
            <w:tcW w:type="dxa" w:w="8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The outcome is booked on moves that cannot happen</w:t>
            </w:r>
          </w:p>
        </w:tc>
        <w:tc>
          <w:tcPr>
            <w:tcW w:type="dxa" w:w="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P0</w:t>
            </w:r>
          </w:p>
        </w:tc>
      </w:tr>
      <w:tr>
        <w:trPr>
          <w:cantSplit/>
          <w:tblHeader w:val="false"/>
        </w:trPr>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E4</w:t>
            </w:r>
          </w:p>
        </w:tc>
        <w:tc>
          <w:tcPr>
            <w:tcW w:type="dxa" w:w="8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Predictions come from the plan, not the step</w:t>
            </w:r>
          </w:p>
        </w:tc>
        <w:tc>
          <w:tcPr>
            <w:tcW w:type="dxa" w:w="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P0</w:t>
            </w:r>
          </w:p>
        </w:tc>
      </w:tr>
      <w:tr>
        <w:trPr>
          <w:cantSplit/>
          <w:tblHeader w:val="false"/>
        </w:trPr>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E5</w:t>
            </w:r>
          </w:p>
        </w:tc>
        <w:tc>
          <w:tcPr>
            <w:tcW w:type="dxa" w:w="8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The last change is not graded before the next</w:t>
            </w:r>
          </w:p>
        </w:tc>
        <w:tc>
          <w:tcPr>
            <w:tcW w:type="dxa" w:w="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P0</w:t>
            </w:r>
          </w:p>
        </w:tc>
      </w:tr>
      <w:tr>
        <w:trPr>
          <w:cantSplit/>
          <w:tblHeader w:val="false"/>
        </w:trPr>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E6</w:t>
            </w:r>
          </w:p>
        </w:tc>
        <w:tc>
          <w:tcPr>
            <w:tcW w:type="dxa" w:w="8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The review agent checks consistency, not the pricing logic</w:t>
            </w:r>
          </w:p>
        </w:tc>
        <w:tc>
          <w:tcPr>
            <w:tcW w:type="dxa" w:w="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P1</w:t>
            </w:r>
          </w:p>
        </w:tc>
      </w:tr>
      <w:tr>
        <w:trPr>
          <w:cantSplit/>
          <w:tblHeader w:val="false"/>
        </w:trPr>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E7</w:t>
            </w:r>
          </w:p>
        </w:tc>
        <w:tc>
          <w:tcPr>
            <w:tcW w:type="dxa" w:w="8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Engine-check failures are not always named</w:t>
            </w:r>
          </w:p>
        </w:tc>
        <w:tc>
          <w:tcPr>
            <w:tcW w:type="dxa" w:w="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P2</w:t>
            </w:r>
          </w:p>
        </w:tc>
      </w:tr>
      <w:tr>
        <w:trPr>
          <w:cantSplit/>
          <w:tblHeader w:val="false"/>
        </w:trPr>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R1</w:t>
            </w:r>
          </w:p>
        </w:tc>
        <w:tc>
          <w:tcPr>
            <w:tcW w:type="dxa" w:w="8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Traffic gap and performance gap are not told apart</w:t>
            </w:r>
          </w:p>
        </w:tc>
        <w:tc>
          <w:tcPr>
            <w:tcW w:type="dxa" w:w="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P0</w:t>
            </w:r>
          </w:p>
        </w:tc>
      </w:tr>
      <w:tr>
        <w:trPr>
          <w:cantSplit/>
          <w:tblHeader w:val="false"/>
        </w:trPr>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R2</w:t>
            </w:r>
          </w:p>
        </w:tc>
        <w:tc>
          <w:tcPr>
            <w:tcW w:type="dxa" w:w="8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The placement goal is not reported where the leak sits</w:t>
            </w:r>
          </w:p>
        </w:tc>
        <w:tc>
          <w:tcPr>
            <w:tcW w:type="dxa" w:w="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P1</w:t>
            </w:r>
          </w:p>
        </w:tc>
      </w:tr>
      <w:tr>
        <w:trPr>
          <w:cantSplit/>
          <w:tblHeader w:val="false"/>
        </w:trPr>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R3</w:t>
            </w:r>
          </w:p>
        </w:tc>
        <w:tc>
          <w:tcPr>
            <w:tcW w:type="dxa" w:w="8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No-deal runs have no velocity story</w:t>
            </w:r>
          </w:p>
        </w:tc>
        <w:tc>
          <w:tcPr>
            <w:tcW w:type="dxa" w:w="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P1</w:t>
            </w:r>
          </w:p>
        </w:tc>
      </w:tr>
      <w:tr>
        <w:trPr>
          <w:cantSplit/>
          <w:tblHeader w:val="false"/>
        </w:trPr>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R4</w:t>
            </w:r>
          </w:p>
        </w:tc>
        <w:tc>
          <w:tcPr>
            <w:tcW w:type="dxa" w:w="8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Head terms are left on inherited prices after a build-out</w:t>
            </w:r>
          </w:p>
        </w:tc>
        <w:tc>
          <w:tcPr>
            <w:tcW w:type="dxa" w:w="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P1</w:t>
            </w:r>
          </w:p>
        </w:tc>
      </w:tr>
      <w:tr>
        <w:trPr>
          <w:cantSplit/>
          <w:tblHeader w:val="false"/>
        </w:trPr>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R5</w:t>
            </w:r>
          </w:p>
        </w:tc>
        <w:tc>
          <w:tcPr>
            <w:tcW w:type="dxa" w:w="8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Competitor reads are thin</w:t>
            </w:r>
          </w:p>
        </w:tc>
        <w:tc>
          <w:tcPr>
            <w:tcW w:type="dxa" w:w="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P2</w:t>
            </w:r>
          </w:p>
        </w:tc>
      </w:tr>
    </w:tbl>
    <w:p>
      <w:pPr>
        <w:spacing w:after="80"/>
      </w:pPr>
    </w:p>
    <w:p>
      <w:pPr>
        <w:spacing w:after="100"/>
      </w:pPr>
      <w:r>
        <w:rPr>
          <w:rFonts w:ascii="Calibri" w:cs="Calibri" w:eastAsia="Calibri" w:hAnsi="Calibri"/>
        </w:rPr>
        <w:t xml:space="preserve">61 gaps: 29 P0, 24 P1, 8 P2. Codes A, S7–S9, I12–I13 and T8–T10 are new from the eight reviews; the rest carry their earlier codes, with the reviews’ evidence added where the gap recurred. I9 (events outside the app) is folded into A4.</w:t>
      </w:r>
    </w:p>
    <w:p>
      <w:pPr>
        <w:pStyle w:val="Heading1"/>
      </w:pPr>
      <w:r>
        <w:rPr>
          <w:rFonts w:ascii="Calibri" w:cs="Calibri" w:eastAsia="Calibri" w:hAnsi="Calibri"/>
        </w:rPr>
        <w:t xml:space="preserve">1. Reading the product before the rows</w:t>
      </w:r>
    </w:p>
    <w:p>
      <w:pPr>
        <w:pStyle w:val="Heading2"/>
      </w:pPr>
      <w:r>
        <w:rPr>
          <w:rFonts w:ascii="Calibri" w:cs="Calibri" w:eastAsia="Calibri" w:hAnsi="Calibri"/>
        </w:rPr>
        <w:t xml:space="preserve">A1 Posture is never declared against the stage band (P0)</w:t>
      </w:r>
    </w:p>
    <w:p>
      <w:pPr>
        <w:spacing w:after="100"/>
      </w:pPr>
      <w:r>
        <w:rPr>
          <w:rFonts w:ascii="Calibri" w:cs="Calibri" w:eastAsia="Calibri" w:hAnsi="Calibri"/>
        </w:rPr>
        <w:t xml:space="preserve">What we see. SSS4 ran 19–36% TACoS for 22 weeks, DSFS 16.7–26.7% for 21, DSS6 12.7–26.8% all year and DSS4 15.9–19.3% for nine, all against a Mature band of 4–7%. None of the four runs, and none of their stored reviews, declared a code red. DSS4 “descends toward a 12% rung”, still 1.7 times the band; DSS6 raises projected TACoS from 22.4% to 27.0%, DSFS from 23.4% to 24.5%. At the other end DBS6 sat at 5.7% against a 10–18% ranking band, below band, after its spend was cut by two thirds.</w:t>
      </w:r>
    </w:p>
    <w:p>
      <w:pPr>
        <w:spacing w:after="100"/>
      </w:pPr>
      <w:r>
        <w:rPr>
          <w:rFonts w:ascii="Calibri" w:cs="Calibri" w:eastAsia="Calibri" w:hAnsi="Calibri"/>
        </w:rPr>
        <w:t xml:space="preserve">Why it matters. The posture decides which rows are legal (SOP-26 R1). In a code red, builds and non-defensive raises are barred and losses are cut in loss-dollar order; below band, a push is overdue. A run that does not declare the posture cannot be checked against it.</w:t>
      </w:r>
    </w:p>
    <w:p>
      <w:pPr>
        <w:spacing w:after="100"/>
      </w:pPr>
      <w:r>
        <w:rPr>
          <w:rFonts w:ascii="Calibri" w:cs="Calibri" w:eastAsia="Calibri" w:hAnsi="Calibri"/>
        </w:rPr>
        <w:t xml:space="preserve">The fix. The first step of every run reads weekly TACoS for the last 8–12 complete weeks against the stage band, declares the posture (below band, within, elevated, code red) with the weeks that decide it, and prints it in the header. The posture gates row types in code: in a code red no build, raise or re-price row is written.</w:t>
      </w:r>
    </w:p>
    <w:p>
      <w:pPr>
        <w:spacing w:after="100"/>
      </w:pPr>
      <w:r>
        <w:rPr>
          <w:rFonts w:ascii="Calibri" w:cs="Calibri" w:eastAsia="Calibri" w:hAnsi="Calibri"/>
        </w:rPr>
        <w:t xml:space="preserve">How we know it is fixed. Every run header carries a posture line with its weekly evidence. No raise or build row exists in a run whose header says code red.</w:t>
      </w:r>
    </w:p>
    <w:p>
      <w:pPr>
        <w:pStyle w:val="Heading2"/>
      </w:pPr>
      <w:r>
        <w:rPr>
          <w:rFonts w:ascii="Calibri" w:cs="Calibri" w:eastAsia="Calibri" w:hAnsi="Calibri"/>
        </w:rPr>
        <w:t xml:space="preserve">A2 The stage label contradicts itself (P2)</w:t>
      </w:r>
    </w:p>
    <w:p>
      <w:pPr>
        <w:spacing w:after="100"/>
      </w:pPr>
      <w:r>
        <w:rPr>
          <w:rFonts w:ascii="Calibri" w:cs="Calibri" w:eastAsia="Calibri" w:hAnsi="Calibri"/>
        </w:rPr>
        <w:t xml:space="preserve">What we see. SSS4’s header says MATURE and Maintenance while 299 holds and every sweep row say “Re-Launch … objective is re-ranking”; its break-even is 31.2% in the header and 28.3% on the sweep rows. DSS4’s rows carry the same Re-Launch boilerplate on a Mature product.</w:t>
      </w:r>
    </w:p>
    <w:p>
      <w:pPr>
        <w:spacing w:after="100"/>
      </w:pPr>
      <w:r>
        <w:rPr>
          <w:rFonts w:ascii="Calibri" w:cs="Calibri" w:eastAsia="Calibri" w:hAnsi="Calibri"/>
        </w:rPr>
        <w:t xml:space="preserve">Why it matters. Rows are judged against the wrong objective, and a reviewer cannot tell which one the engine used.</w:t>
      </w:r>
    </w:p>
    <w:p>
      <w:pPr>
        <w:spacing w:after="100"/>
      </w:pPr>
      <w:r>
        <w:rPr>
          <w:rFonts w:ascii="Calibri" w:cs="Calibri" w:eastAsia="Calibri" w:hAnsi="Calibri"/>
        </w:rPr>
        <w:t xml:space="preserve">The fix. One stage, from one source, once per run. Every row inherits it; row text never restates it from a template.</w:t>
      </w:r>
    </w:p>
    <w:p>
      <w:pPr>
        <w:spacing w:after="100"/>
      </w:pPr>
      <w:r>
        <w:rPr>
          <w:rFonts w:ascii="Calibri" w:cs="Calibri" w:eastAsia="Calibri" w:hAnsi="Calibri"/>
        </w:rPr>
        <w:t xml:space="preserve">How we know it is fixed. Code check: no row names a stage or break-even different from the header.</w:t>
      </w:r>
    </w:p>
    <w:p>
      <w:pPr>
        <w:pStyle w:val="Heading2"/>
      </w:pPr>
      <w:r>
        <w:rPr>
          <w:rFonts w:ascii="Calibri" w:cs="Calibri" w:eastAsia="Calibri" w:hAnsi="Calibri"/>
        </w:rPr>
        <w:t xml:space="preserve">A3 The sales base is stale and the trend is not read (P1)</w:t>
      </w:r>
    </w:p>
    <w:p>
      <w:pPr>
        <w:spacing w:after="100"/>
      </w:pPr>
      <w:r>
        <w:rPr>
          <w:rFonts w:ascii="Calibri" w:cs="Calibri" w:eastAsia="Calibri" w:hAnsi="Calibri"/>
        </w:rPr>
        <w:t xml:space="preserve">What we see. SCS4 prices TACoS on the 28-day average ($2,633 a day) while weekly sales had fallen 45% in three weeks to $1,801 a day, so its “18.9% after” is about 32% on today’s base. DSS6 fell from $21,990 a week (3 August) to $4,383 (14 September); SSS4 from about $25,000 a week in March to $9,200; DSFS from about $11,000 to $6,000–7,000 after its August price moves. No run mentioned its trend.</w:t>
      </w:r>
    </w:p>
    <w:p>
      <w:pPr>
        <w:spacing w:after="100"/>
      </w:pPr>
      <w:r>
        <w:rPr>
          <w:rFonts w:ascii="Calibri" w:cs="Calibri" w:eastAsia="Calibri" w:hAnsi="Calibri"/>
        </w:rPr>
        <w:t xml:space="preserve">Why it matters. Every TACoS target, envelope and posture read is a ratio to sales. A stale base makes a push look affordable when it is not.</w:t>
      </w:r>
    </w:p>
    <w:p>
      <w:pPr>
        <w:spacing w:after="100"/>
      </w:pPr>
      <w:r>
        <w:rPr>
          <w:rFonts w:ascii="Calibri" w:cs="Calibri" w:eastAsia="Calibri" w:hAnsi="Calibri"/>
        </w:rPr>
        <w:t xml:space="preserve">The fix. Read total sales for the last complete week, the last four weeks and the 28-day average. If the last week is more than 20% below the 28-day figure, price on the last week and say so in the header. Print the weekly trend beside the posture.</w:t>
      </w:r>
    </w:p>
    <w:p>
      <w:pPr>
        <w:spacing w:after="100"/>
      </w:pPr>
      <w:r>
        <w:rPr>
          <w:rFonts w:ascii="Calibri" w:cs="Calibri" w:eastAsia="Calibri" w:hAnsi="Calibri"/>
        </w:rPr>
        <w:t xml:space="preserve">How we know it is fixed. The header shows the weekly sales trend; TACoS before and after is stated on the base actually used.</w:t>
      </w:r>
    </w:p>
    <w:p>
      <w:pPr>
        <w:pStyle w:val="Heading2"/>
      </w:pPr>
      <w:r>
        <w:rPr>
          <w:rFonts w:ascii="Calibri" w:cs="Calibri" w:eastAsia="Calibri" w:hAnsi="Calibri"/>
        </w:rPr>
        <w:t xml:space="preserve">A4 Causes outside PPC are invisible (P1)</w:t>
      </w:r>
    </w:p>
    <w:p>
      <w:pPr>
        <w:spacing w:after="100"/>
      </w:pPr>
      <w:r>
        <w:rPr>
          <w:rFonts w:ascii="Calibri" w:cs="Calibri" w:eastAsia="Calibri" w:hAnsi="Calibri"/>
        </w:rPr>
        <w:t xml:space="preserve">What we see. B6: ad clicks fell from about 350 to 114 a day between 26 August and 5 September with no logged decision. DSS6 ran a Best Deal every month from March to July and none since 16 August; that is its sales cliff. DSFS and SCS4 raised prices in August (+$1, +$5) just before sales fell; SSS4 and SCS4 changed main images (28 August, 2 September). Stock-outs drove the SSS4 black-term and DBS4 Full and Twin losses. In SSS4, 10 enabled campaigns spent nothing for 14 days after $100+ in 90 (the largest had 111 orders). DBS4’s 14-day reads sat inside a Best Deal. The SCS4 and DSFS briefs said no earlier run existed when one did; Command Center holds no logged decisions for SCS4.</w:t>
      </w:r>
    </w:p>
    <w:p>
      <w:pPr>
        <w:spacing w:after="100"/>
      </w:pPr>
      <w:r>
        <w:rPr>
          <w:rFonts w:ascii="Calibri" w:cs="Calibri" w:eastAsia="Calibri" w:hAnsi="Calibri"/>
        </w:rPr>
        <w:t xml:space="preserve">Why it matters. A run that cannot see the real cause answers with price: it cuts or climbs on a campaign whose problem is a deal gap, a price rise, a stock-out or a paused ad group. Grading needs to know what else changed.</w:t>
      </w:r>
    </w:p>
    <w:p>
      <w:pPr>
        <w:spacing w:after="100"/>
      </w:pPr>
      <w:r>
        <w:rPr>
          <w:rFonts w:ascii="Calibri" w:cs="Calibri" w:eastAsia="Calibri" w:hAnsi="Calibri"/>
        </w:rPr>
        <w:t xml:space="preserve">The fix. An events block in the brief: the deal calendar (last, next, dormant), listing and price changes, stock-out dates per child, console changes made outside the app, and the previous run with its review. A dark-campaign detector (enabled, spend in 90 days, none in 14) writes a “check the ad group” task before any price row. Deal days are excluded from the 14-day reads, or the window is marked as containing a deal. Every deployed decision is written to the decision log.</w:t>
      </w:r>
    </w:p>
    <w:p>
      <w:pPr>
        <w:spacing w:after="100"/>
      </w:pPr>
      <w:r>
        <w:rPr>
          <w:rFonts w:ascii="Calibri" w:cs="Calibri" w:eastAsia="Calibri" w:hAnsi="Calibri"/>
        </w:rPr>
        <w:t xml:space="preserve">How we know it is fixed. The brief’s events and previous-run sections are filled whenever data exists; dark campaigns appear as tasks, not priced rows.</w:t>
      </w:r>
    </w:p>
    <w:p>
      <w:pPr>
        <w:pStyle w:val="Heading1"/>
      </w:pPr>
      <w:r>
        <w:rPr>
          <w:rFonts w:ascii="Calibri" w:cs="Calibri" w:eastAsia="Calibri" w:hAnsi="Calibri"/>
        </w:rPr>
        <w:t xml:space="preserve">2. Inputs the engine prices from</w:t>
      </w:r>
    </w:p>
    <w:p>
      <w:pPr>
        <w:pStyle w:val="Heading2"/>
      </w:pPr>
      <w:r>
        <w:rPr>
          <w:rFonts w:ascii="Calibri" w:cs="Calibri" w:eastAsia="Calibri" w:hAnsi="Calibri"/>
        </w:rPr>
        <w:t xml:space="preserve">I1 Contribution is one product figure, and the wrong one (P0)</w:t>
      </w:r>
    </w:p>
    <w:p>
      <w:pPr>
        <w:spacing w:after="100"/>
      </w:pPr>
      <w:r>
        <w:rPr>
          <w:rFonts w:ascii="Calibri" w:cs="Calibri" w:eastAsia="Calibri" w:hAnsi="Calibri"/>
        </w:rPr>
        <w:t xml:space="preserve">What we see. SCS4 priced every row on $30.37 per unit (break-even ACoS 39.1%, “profitability” source) and wrote “$28–$29.50 contribution per order” on its PRICES lines. Command Center’s landed-cost contribution is $26.53 on King White, $20.55 on Queen Graphite and $13.45 on Twin Graphite (blended $20.42, break-even 30.9%). Queen ceilings were overstated by up to ~60%, Twin by ~110%; the run’s “ACoS 31.4% inside a 39.1% break-even” is over break-even on the Command Center figure. B6 priced on the advertised child’s contribution ($26.46 average) and did not have this problem.</w:t>
      </w:r>
    </w:p>
    <w:p>
      <w:pPr>
        <w:spacing w:after="100"/>
      </w:pPr>
      <w:r>
        <w:rPr>
          <w:rFonts w:ascii="Calibri" w:cs="Calibri" w:eastAsia="Calibri" w:hAnsi="Calibri"/>
        </w:rPr>
        <w:t xml:space="preserve">Why it matters. Logic doc §2: “If the contribution is wrong, every price is wrong. Each bid traces back to that contribution. Any open question on landed cost is flagged by name on the rows it touches.”</w:t>
      </w:r>
    </w:p>
    <w:p>
      <w:pPr>
        <w:spacing w:after="100"/>
      </w:pPr>
      <w:r>
        <w:rPr>
          <w:rFonts w:ascii="Calibri" w:cs="Calibri" w:eastAsia="Calibri" w:hAnsi="Calibri"/>
        </w:rPr>
        <w:t xml:space="preserve">The fix. Read contribution per serving child (price − referral − fulfilment − landed cost) from one source of record. Compare it with every other source the engine can see; if two differ by more than 10% for a child that carries spend, run with the lower figure and write the difference by name on every row it touches. Never use a blended product figure for a per-child ceiling.</w:t>
      </w:r>
    </w:p>
    <w:p>
      <w:pPr>
        <w:spacing w:after="100"/>
      </w:pPr>
      <w:r>
        <w:rPr>
          <w:rFonts w:ascii="Calibri" w:cs="Calibri" w:eastAsia="Calibri" w:hAnsi="Calibri"/>
        </w:rPr>
        <w:t xml:space="preserve">How we know it is fixed. Every PRICES line names the child and its contribution; the run header lists any contribution source conflict; no row uses the blended figure.</w:t>
      </w:r>
    </w:p>
    <w:p>
      <w:pPr>
        <w:pStyle w:val="Heading2"/>
      </w:pPr>
      <w:r>
        <w:rPr>
          <w:rFonts w:ascii="Calibri" w:cs="Calibri" w:eastAsia="Calibri" w:hAnsi="Calibri"/>
        </w:rPr>
        <w:t xml:space="preserve">I4 One window for every question (P1)</w:t>
      </w:r>
    </w:p>
    <w:p>
      <w:pPr>
        <w:spacing w:after="100"/>
      </w:pPr>
      <w:r>
        <w:rPr>
          <w:rFonts w:ascii="Calibri" w:cs="Calibri" w:eastAsia="Calibri" w:hAnsi="Calibri"/>
        </w:rPr>
        <w:t xml:space="preserve">What we see. B6: every price input was 90 days. SCS4: budget eligibility read one day of the pack (“$20.38 of $20.00 = 102%” on “cooling sheets”) while the 7-day use was 50%; 7 of 9 budget raises rested on that.</w:t>
      </w:r>
    </w:p>
    <w:p>
      <w:pPr>
        <w:spacing w:after="100"/>
      </w:pPr>
      <w:r>
        <w:rPr>
          <w:rFonts w:ascii="Calibri" w:cs="Calibri" w:eastAsia="Calibri" w:hAnsi="Calibri"/>
        </w:rPr>
        <w:t xml:space="preserve">Why it matters. Logic doc §3/§12 and DBS6: conversion needs sample (90 days); where clicks land is recent (14 days); budget and “is it serving” are the last 3–7 days.</w:t>
      </w:r>
    </w:p>
    <w:p>
      <w:pPr>
        <w:spacing w:after="100"/>
      </w:pPr>
      <w:r>
        <w:rPr>
          <w:rFonts w:ascii="Calibri" w:cs="Calibri" w:eastAsia="Calibri" w:hAnsi="Calibri"/>
        </w:rPr>
        <w:t xml:space="preserve">The fix. Fix the window per question: conversion by placement 90 days; placement mix 14 days; delivery 8 days against the 31 before; budget use and serving 7 and 3 days; deal days as their own window. Each rationale states the window beside every figure.</w:t>
      </w:r>
    </w:p>
    <w:p>
      <w:pPr>
        <w:spacing w:after="100"/>
      </w:pPr>
      <w:r>
        <w:rPr>
          <w:rFonts w:ascii="Calibri" w:cs="Calibri" w:eastAsia="Calibri" w:hAnsi="Calibri"/>
        </w:rPr>
        <w:t xml:space="preserve">How we know it is fixed. Budget raise rows cite 7-day utilisation; mix rows cite 14-day clicks; ceiling rows cite 90-day placement clicks and orders.</w:t>
      </w:r>
    </w:p>
    <w:p>
      <w:pPr>
        <w:pStyle w:val="Heading2"/>
      </w:pPr>
      <w:r>
        <w:rPr>
          <w:rFonts w:ascii="Calibri" w:cs="Calibri" w:eastAsia="Calibri" w:hAnsi="Calibri"/>
        </w:rPr>
        <w:t xml:space="preserve">I5 Placement is estimated at keyword grain (P1)</w:t>
      </w:r>
    </w:p>
    <w:p>
      <w:pPr>
        <w:spacing w:after="100"/>
      </w:pPr>
      <w:r>
        <w:rPr>
          <w:rFonts w:ascii="Calibri" w:cs="Calibri" w:eastAsia="Calibri" w:hAnsi="Calibri"/>
        </w:rPr>
        <w:t xml:space="preserve">What we see. B6: the engine’s placement figures are a keyword-level estimate — on 33 changed campaigns they differed from Amazon’s placement report by more than 20%.</w:t>
      </w:r>
    </w:p>
    <w:p>
      <w:pPr>
        <w:spacing w:after="100"/>
      </w:pPr>
      <w:r>
        <w:rPr>
          <w:rFonts w:ascii="Calibri" w:cs="Calibri" w:eastAsia="Calibri" w:hAnsi="Calibri"/>
        </w:rPr>
        <w:t xml:space="preserve">Why it matters. Logic doc §16 Table 2: placement per campaign per placement, never a roll-up — “the modifier is the lever”, and it lives on the campaign.</w:t>
      </w:r>
    </w:p>
    <w:p>
      <w:pPr>
        <w:spacing w:after="100"/>
      </w:pPr>
      <w:r>
        <w:rPr>
          <w:rFonts w:ascii="Calibri" w:cs="Calibri" w:eastAsia="Calibri" w:hAnsi="Calibri"/>
        </w:rPr>
        <w:t xml:space="preserve">The fix. Read placement from Amazon’s campaign placement report (clicks, orders, spend, CPC per placement). Keyword-level placement is shown only as an estimate with its band, never priced from.</w:t>
      </w:r>
    </w:p>
    <w:p>
      <w:pPr>
        <w:spacing w:after="100"/>
      </w:pPr>
      <w:r>
        <w:rPr>
          <w:rFonts w:ascii="Calibri" w:cs="Calibri" w:eastAsia="Calibri" w:hAnsi="Calibri"/>
        </w:rPr>
        <w:t xml:space="preserve">How we know it is fixed. Every mix and ceiling figure matches the campaign placement report to the click.</w:t>
      </w:r>
    </w:p>
    <w:p>
      <w:pPr>
        <w:pStyle w:val="Heading2"/>
      </w:pPr>
      <w:r>
        <w:rPr>
          <w:rFonts w:ascii="Calibri" w:cs="Calibri" w:eastAsia="Calibri" w:hAnsi="Calibri"/>
        </w:rPr>
        <w:t xml:space="preserve">I6 Top-of-search impression share is not read as a signal (P0)</w:t>
      </w:r>
    </w:p>
    <w:p>
      <w:pPr>
        <w:spacing w:after="100"/>
      </w:pPr>
      <w:r>
        <w:rPr>
          <w:rFonts w:ascii="Calibri" w:cs="Calibri" w:eastAsia="Calibri" w:hAnsi="Calibri"/>
        </w:rPr>
        <w:t xml:space="preserve">What we see. B6 and SCS4 both quote impression share in prose and never act on it. SCS4 head campaigns sit at 1.5–3.8%; B6’s median in-focus target was 7.5%. Neither B6 nor SCS4 graded a push on whether share rose.</w:t>
      </w:r>
    </w:p>
    <w:p>
      <w:pPr>
        <w:spacing w:after="100"/>
      </w:pPr>
      <w:r>
        <w:rPr>
          <w:rFonts w:ascii="Calibri" w:cs="Calibri" w:eastAsia="Calibri" w:hAnsi="Calibri"/>
        </w:rPr>
        <w:t xml:space="preserve">Why it matters. Logic doc §5, §6, §9: impression share tells you whether the bid clears the auction; it stops a climb (share high → the demand is not there) and it is what a funding step is graded on.</w:t>
      </w:r>
    </w:p>
    <w:p>
      <w:pPr>
        <w:spacing w:after="100"/>
      </w:pPr>
      <w:r>
        <w:rPr>
          <w:rFonts w:ascii="Calibri" w:cs="Calibri" w:eastAsia="Calibri" w:hAnsi="Calibri"/>
        </w:rPr>
        <w:t xml:space="preserve">The fix. Read top-of-search impression share per target and per campaign, 30 days and 8 days, beside the effective bid. Use it in three places: the delivery-gap test (share ≥ 30–40% → re-base the requirement, no price), the reachability test (delivered ÷ share), and the grade of every price step.</w:t>
      </w:r>
    </w:p>
    <w:p>
      <w:pPr>
        <w:spacing w:after="100"/>
      </w:pPr>
      <w:r>
        <w:rPr>
          <w:rFonts w:ascii="Calibri" w:cs="Calibri" w:eastAsia="Calibri" w:hAnsi="Calibri"/>
        </w:rPr>
        <w:t xml:space="preserve">How we know it is fixed. Every ranking row carries share now and share after the last step; every price step has a share-based falsifier.</w:t>
      </w:r>
    </w:p>
    <w:p>
      <w:pPr>
        <w:pStyle w:val="Heading2"/>
      </w:pPr>
      <w:r>
        <w:rPr>
          <w:rFonts w:ascii="Calibri" w:cs="Calibri" w:eastAsia="Calibri" w:hAnsi="Calibri"/>
        </w:rPr>
        <w:t xml:space="preserve">I7 Campaigns advertising the product are missing from the export (P1)</w:t>
      </w:r>
    </w:p>
    <w:p>
      <w:pPr>
        <w:spacing w:after="100"/>
      </w:pPr>
      <w:r>
        <w:rPr>
          <w:rFonts w:ascii="Calibri" w:cs="Calibri" w:eastAsia="Calibri" w:hAnsi="Calibri"/>
        </w:rPr>
        <w:t xml:space="preserve">What we see. SCS4: 19 campaigns advertising the product ($161 in 14 days) are absent from the audit’s campaign list — 9 re-tagged exacts and 10 PAT conquest campaigns — though the run writes decisions on some of them. Across the reviews, 187 rows in five runs write on campaigns the export’s campaign list does not carry (DBS6 80, DSS4 50, SSS4 25, DBS4 18, SCS4 14); six SSS4 campaigns ($499 and 24+ orders in 14 days) are not in the export at all.</w:t>
      </w:r>
    </w:p>
    <w:p>
      <w:pPr>
        <w:spacing w:after="100"/>
      </w:pPr>
      <w:r>
        <w:rPr>
          <w:rFonts w:ascii="Calibri" w:cs="Calibri" w:eastAsia="Calibri" w:hAnsi="Calibri"/>
        </w:rPr>
        <w:t xml:space="preserve">Why it matters. The export promises “every campaign advertising the product”; a row whose inputs are not in the file cannot be recomputed or reviewed.</w:t>
      </w:r>
    </w:p>
    <w:p>
      <w:pPr>
        <w:spacing w:after="100"/>
      </w:pPr>
      <w:r>
        <w:rPr>
          <w:rFonts w:ascii="Calibri" w:cs="Calibri" w:eastAsia="Calibri" w:hAnsi="Calibri"/>
        </w:rPr>
        <w:t xml:space="preserve">The fix. Build the campaign list from the placement report’s campaign set (every campaign with the product’s ASIN as an ad), not from the objective registry.</w:t>
      </w:r>
    </w:p>
    <w:p>
      <w:pPr>
        <w:spacing w:after="100"/>
      </w:pPr>
      <w:r>
        <w:rPr>
          <w:rFonts w:ascii="Calibri" w:cs="Calibri" w:eastAsia="Calibri" w:hAnsi="Calibri"/>
        </w:rPr>
        <w:t xml:space="preserve">How we know it is fixed. Campaign count in the export equals Command Center’s count for the same window.</w:t>
      </w:r>
    </w:p>
    <w:p>
      <w:pPr>
        <w:pStyle w:val="Heading2"/>
      </w:pPr>
      <w:r>
        <w:rPr>
          <w:rFonts w:ascii="Calibri" w:cs="Calibri" w:eastAsia="Calibri" w:hAnsi="Calibri"/>
        </w:rPr>
        <w:t xml:space="preserve">I8 Live values are not re-read before export (P1)</w:t>
      </w:r>
    </w:p>
    <w:p>
      <w:pPr>
        <w:spacing w:after="100"/>
      </w:pPr>
      <w:r>
        <w:rPr>
          <w:rFonts w:ascii="Calibri" w:cs="Calibri" w:eastAsia="Calibri" w:hAnsi="Calibri"/>
        </w:rPr>
        <w:t xml:space="preserve">What we see. B6: 2 rows were overtaken by changes deployed on 22 September, after the audit, and would have written over a newer value.</w:t>
      </w:r>
    </w:p>
    <w:p>
      <w:pPr>
        <w:spacing w:after="100"/>
      </w:pPr>
      <w:r>
        <w:rPr>
          <w:rFonts w:ascii="Calibri" w:cs="Calibri" w:eastAsia="Calibri" w:hAnsi="Calibri"/>
        </w:rPr>
        <w:t xml:space="preserve">Why it matters. A write must start from the value that is live when it loads.</w:t>
      </w:r>
    </w:p>
    <w:p>
      <w:pPr>
        <w:spacing w:after="100"/>
      </w:pPr>
      <w:r>
        <w:rPr>
          <w:rFonts w:ascii="Calibri" w:cs="Calibri" w:eastAsia="Calibri" w:hAnsi="Calibri"/>
        </w:rPr>
        <w:t xml:space="preserve">The fix. Re-read every changed field on the morning of the write; drop or re-solve any row whose live value differs from current_at_audit.</w:t>
      </w:r>
    </w:p>
    <w:p>
      <w:pPr>
        <w:spacing w:after="100"/>
      </w:pPr>
      <w:r>
        <w:rPr>
          <w:rFonts w:ascii="Calibri" w:cs="Calibri" w:eastAsia="Calibri" w:hAnsi="Calibri"/>
        </w:rPr>
        <w:t xml:space="preserve">How we know it is fixed. Export log lists rows re-solved or dropped for drift; none loads on a stale “from”.</w:t>
      </w:r>
    </w:p>
    <w:p>
      <w:pPr>
        <w:pStyle w:val="Heading2"/>
      </w:pPr>
      <w:r>
        <w:rPr>
          <w:rFonts w:ascii="Calibri" w:cs="Calibri" w:eastAsia="Calibri" w:hAnsi="Calibri"/>
        </w:rPr>
        <w:t xml:space="preserve">I10 Syntax library gaps put terms in the wrong group (P1)</w:t>
      </w:r>
    </w:p>
    <w:p>
      <w:pPr>
        <w:spacing w:after="100"/>
      </w:pPr>
      <w:r>
        <w:rPr>
          <w:rFonts w:ascii="Calibri" w:cs="Calibri" w:eastAsia="Calibri" w:hAnsi="Calibri"/>
        </w:rPr>
        <w:t xml:space="preserve">What we see. SCS4: “cool sheets king” and “cool king sheets” (King intent, converting 13.8% at the top) sit in no group and were tapered as out of focus; “cal king cooling sheets” sits in Cooling|King and was re-pointed to a King child. Across the reviews: SSS4 pauses four brand terms (“sleep sanctuary satin”…) in its brand-defence campaign as generic, because the brand list carries Sleephoria but not Sleep Sanctuary; the colour logic reads “light blue” as “blue” and moves “green” to a 3-piece Twin (DSS4); white terms fold onto striped white (DSS6).</w:t>
      </w:r>
    </w:p>
    <w:p>
      <w:pPr>
        <w:spacing w:after="100"/>
      </w:pPr>
      <w:r>
        <w:rPr>
          <w:rFonts w:ascii="Calibri" w:cs="Calibri" w:eastAsia="Calibri" w:hAnsi="Calibri"/>
        </w:rPr>
        <w:t xml:space="preserve">Why it matters. Focus is decided by group; a term filed in the wrong group gets the wrong price and the wrong child.</w:t>
      </w:r>
    </w:p>
    <w:p>
      <w:pPr>
        <w:spacing w:after="100"/>
      </w:pPr>
      <w:r>
        <w:rPr>
          <w:rFonts w:ascii="Calibri" w:cs="Calibri" w:eastAsia="Calibri" w:hAnsi="Calibri"/>
        </w:rPr>
        <w:t xml:space="preserve">The fix. Map size synonyms (cal king, california king, cali king) and root synonyms (cool, cold, cooling) before grouping; report unfiled terms that carry spend as a run finding. Keep one dictionary per brand for brand names, size synonyms, colour names and patterns; brand terms are never paused as generic.</w:t>
      </w:r>
    </w:p>
    <w:p>
      <w:pPr>
        <w:spacing w:after="100"/>
      </w:pPr>
      <w:r>
        <w:rPr>
          <w:rFonts w:ascii="Calibri" w:cs="Calibri" w:eastAsia="Calibri" w:hAnsi="Calibri"/>
        </w:rPr>
        <w:t xml:space="preserve">How we know it is fixed. Unfiled terms with spend = 0; no Cal King term in a King group.</w:t>
      </w:r>
    </w:p>
    <w:p>
      <w:pPr>
        <w:pStyle w:val="Heading2"/>
      </w:pPr>
      <w:r>
        <w:rPr>
          <w:rFonts w:ascii="Calibri" w:cs="Calibri" w:eastAsia="Calibri" w:hAnsi="Calibri"/>
        </w:rPr>
        <w:t xml:space="preserve">I11 In-focus terms are not in the rank tracker (P1)</w:t>
      </w:r>
    </w:p>
    <w:p>
      <w:pPr>
        <w:spacing w:after="100"/>
      </w:pPr>
      <w:r>
        <w:rPr>
          <w:rFonts w:ascii="Calibri" w:cs="Calibri" w:eastAsia="Calibri" w:hAnsi="Calibri"/>
        </w:rPr>
        <w:t xml:space="preserve">What we see. SCS4: 25 of 86 enabled in-focus campaigns have no rank on file; their plan terms are untracked, so they can never earn a push.</w:t>
      </w:r>
    </w:p>
    <w:p>
      <w:pPr>
        <w:spacing w:after="100"/>
      </w:pPr>
      <w:r>
        <w:rPr>
          <w:rFonts w:ascii="Calibri" w:cs="Calibri" w:eastAsia="Calibri" w:hAnsi="Calibri"/>
        </w:rPr>
        <w:t xml:space="preserve">Why it matters. Logic doc §6: a term with no rank on file cannot carry a push; it waits at its ceiling until a read exists.</w:t>
      </w:r>
    </w:p>
    <w:p>
      <w:pPr>
        <w:spacing w:after="100"/>
      </w:pPr>
      <w:r>
        <w:rPr>
          <w:rFonts w:ascii="Calibri" w:cs="Calibri" w:eastAsia="Calibri" w:hAnsi="Calibri"/>
        </w:rPr>
        <w:t xml:space="preserve">The fix. Every term the plan targets and every in-focus exact keyword is added to the tracker automatically when the plan or campaign is created.</w:t>
      </w:r>
    </w:p>
    <w:p>
      <w:pPr>
        <w:spacing w:after="100"/>
      </w:pPr>
      <w:r>
        <w:rPr>
          <w:rFonts w:ascii="Calibri" w:cs="Calibri" w:eastAsia="Calibri" w:hAnsi="Calibri"/>
        </w:rPr>
        <w:t xml:space="preserve">How we know it is fixed. No in-focus exact keyword without a tracker entry.</w:t>
      </w:r>
    </w:p>
    <w:p>
      <w:pPr>
        <w:pStyle w:val="Heading1"/>
      </w:pPr>
      <w:r>
        <w:rPr>
          <w:rFonts w:ascii="Calibri" w:cs="Calibri" w:eastAsia="Calibri" w:hAnsi="Calibri"/>
        </w:rPr>
        <w:t xml:space="preserve">3. Rank and freezes</w:t>
      </w:r>
    </w:p>
    <w:p>
      <w:pPr>
        <w:pStyle w:val="Heading2"/>
      </w:pPr>
      <w:r>
        <w:rPr>
          <w:rFonts w:ascii="Calibri" w:cs="Calibri" w:eastAsia="Calibri" w:hAnsi="Calibri"/>
        </w:rPr>
        <w:t xml:space="preserve">I2 Rank is read from one day’s crawl (P0)</w:t>
      </w:r>
    </w:p>
    <w:p>
      <w:pPr>
        <w:spacing w:after="100"/>
      </w:pPr>
      <w:r>
        <w:rPr>
          <w:rFonts w:ascii="Calibri" w:cs="Calibri" w:eastAsia="Calibri" w:hAnsi="Calibri"/>
        </w:rPr>
        <w:t xml:space="preserve">What we see. SCS4 froze four campaigns as “rank collapses”: “cal king cooling sheets” #5 → #129 (7-day median 5 → 5.5, flat), “king sheet set cooling” #58 → #93 (7-day median 127 → 67, improved). The engine’s head-term rank (“cooling sheets” 22) differs from the 7-day median (17.5). In B6 one day’s reading on “bamboo sheets” moved between 26 and 38 in a week. Across the reviews, 46 freezes in six runs; 17 show a loss on the 7-day median (SSS4 0 of 3, DSS4 0 of 4, DSS6 5 of 19, DBS4 7 of 12, DBS6 4 of 4, SCS4 1 of 4). SCS4 took a one-day #58 between #115 and #77 as its start point. A false freeze also stops correct rows: DSS6 held six sound cuts behind false freezes.</w:t>
      </w:r>
    </w:p>
    <w:p>
      <w:pPr>
        <w:spacing w:after="100"/>
      </w:pPr>
      <w:r>
        <w:rPr>
          <w:rFonts w:ascii="Calibri" w:cs="Calibri" w:eastAsia="Calibri" w:hAnsi="Calibri"/>
        </w:rPr>
        <w:t xml:space="preserve">Why it matters. Logic doc §13: rank is a lagging, noisy signal; click share is the first alarm and rank the confirming read. A freeze on a single-day read stops a push for nothing.</w:t>
      </w:r>
    </w:p>
    <w:p>
      <w:pPr>
        <w:spacing w:after="100"/>
      </w:pPr>
      <w:r>
        <w:rPr>
          <w:rFonts w:ascii="Calibri" w:cs="Calibri" w:eastAsia="Calibri" w:hAnsi="Calibri"/>
        </w:rPr>
        <w:t xml:space="preserve">The fix. Use the tracker’s 7-day median of ranked days for sizing, claims, freezes and grading. Unranked days are excluded, not counted as a rank. A “collapse” needs a 10+ position loss on the 7-day median against the 7-day median 30 days earlier. A “collapse” is 20+ positions against the 7-day median 30 days earlier, or a step: the last-3-day median 20+ worse than the week before (this is what caught the SCS4 Cal King drop two days old).</w:t>
      </w:r>
    </w:p>
    <w:p>
      <w:pPr>
        <w:spacing w:after="100"/>
      </w:pPr>
      <w:r>
        <w:rPr>
          <w:rFonts w:ascii="Calibri" w:cs="Calibri" w:eastAsia="Calibri" w:hAnsi="Calibri"/>
        </w:rPr>
        <w:t xml:space="preserve">How we know it is fixed. No rank figure in a rationale is a single-day value; every collapse row shows both 7-day medians and their dates.</w:t>
      </w:r>
    </w:p>
    <w:p>
      <w:pPr>
        <w:pStyle w:val="Heading2"/>
      </w:pPr>
      <w:r>
        <w:rPr>
          <w:rFonts w:ascii="Calibri" w:cs="Calibri" w:eastAsia="Calibri" w:hAnsi="Calibri"/>
        </w:rPr>
        <w:t xml:space="preserve">I3 “30 days ago” is not 30 days ago (P0)</w:t>
      </w:r>
    </w:p>
    <w:p>
      <w:pPr>
        <w:spacing w:after="100"/>
      </w:pPr>
      <w:r>
        <w:rPr>
          <w:rFonts w:ascii="Calibri" w:cs="Calibri" w:eastAsia="Calibri" w:hAnsi="Calibri"/>
        </w:rPr>
        <w:t xml:space="preserve">What we see. SCS4 froze “deep pocket king sheets cooling” on #47 dated 2026-04-01 and “queen bed sheet set cooling” on #35 dated 2026-03-28, both labelled “lost in 30 days”. DSS4 (19 March), DSS6 (20 March) and SCS4 (28 March, 1 April) all compare against “30 days ago” dates on terms that have not ranked since spring.</w:t>
      </w:r>
    </w:p>
    <w:p>
      <w:pPr>
        <w:spacing w:after="100"/>
      </w:pPr>
      <w:r>
        <w:rPr>
          <w:rFonts w:ascii="Calibri" w:cs="Calibri" w:eastAsia="Calibri" w:hAnsi="Calibri"/>
        </w:rPr>
        <w:t xml:space="preserve">Why it matters. A comparison against a date six months back is not a 30-day comparison; it froze two in-focus campaigns.</w:t>
      </w:r>
    </w:p>
    <w:p>
      <w:pPr>
        <w:spacing w:after="100"/>
      </w:pPr>
      <w:r>
        <w:rPr>
          <w:rFonts w:ascii="Calibri" w:cs="Calibri" w:eastAsia="Calibri" w:hAnsi="Calibri"/>
        </w:rPr>
        <w:t xml:space="preserve">The fix. The comparison point must sit inside 30 ± 3 days of the audit date; if the tracker has no read there, the row says “no 30-day read” and nothing is frozen.</w:t>
      </w:r>
    </w:p>
    <w:p>
      <w:pPr>
        <w:spacing w:after="100"/>
      </w:pPr>
      <w:r>
        <w:rPr>
          <w:rFonts w:ascii="Calibri" w:cs="Calibri" w:eastAsia="Calibri" w:hAnsi="Calibri"/>
        </w:rPr>
        <w:t xml:space="preserve">How we know it is fixed. Code check: every date quoted as “30 days ago” is within 27–33 days of the audit date.</w:t>
      </w:r>
    </w:p>
    <w:p>
      <w:pPr>
        <w:pStyle w:val="Heading2"/>
      </w:pPr>
      <w:r>
        <w:rPr>
          <w:rFonts w:ascii="Calibri" w:cs="Calibri" w:eastAsia="Calibri" w:hAnsi="Calibri"/>
        </w:rPr>
        <w:t xml:space="preserve">I12 Real rank losses caused by stock are missed or read as price (P1)</w:t>
      </w:r>
    </w:p>
    <w:p>
      <w:pPr>
        <w:spacing w:after="100"/>
      </w:pPr>
      <w:r>
        <w:rPr>
          <w:rFonts w:ascii="Calibri" w:cs="Calibri" w:eastAsia="Calibri" w:hAnsi="Calibri"/>
        </w:rPr>
        <w:t xml:space="preserve">What we see. In SSS4 “black satin sheets” went from about 31 to 60 and then 120 in two days as the black children sold out; the run marks it “not pushed” and says nothing. DBS4’s Full and Twin losses follow their white heroes reaching 0 units. The bamboo generic terms fell from single digits to 42–71 over the year as heroes ran out.</w:t>
      </w:r>
    </w:p>
    <w:p>
      <w:pPr>
        <w:spacing w:after="100"/>
      </w:pPr>
      <w:r>
        <w:rPr>
          <w:rFonts w:ascii="Calibri" w:cs="Calibri" w:eastAsia="Calibri" w:hAnsi="Calibri"/>
        </w:rPr>
        <w:t xml:space="preserve">Why it matters. A lever cannot fix a stock-out. A price move on it wastes money; ignoring it loses the recovery.</w:t>
      </w:r>
    </w:p>
    <w:p>
      <w:pPr>
        <w:spacing w:after="100"/>
      </w:pPr>
      <w:r>
        <w:rPr>
          <w:rFonts w:ascii="Calibri" w:cs="Calibri" w:eastAsia="Calibri" w:hAnsi="Calibri"/>
        </w:rPr>
        <w:t xml:space="preserve">The fix. Every rank read checks the serving child’s stock history over the same weeks first. A stock-caused loss becomes a recovery case, stood up the day stock lands (SOP-24 P11), not a freeze or a price move.</w:t>
      </w:r>
    </w:p>
    <w:p>
      <w:pPr>
        <w:spacing w:after="100"/>
      </w:pPr>
      <w:r>
        <w:rPr>
          <w:rFonts w:ascii="Calibri" w:cs="Calibri" w:eastAsia="Calibri" w:hAnsi="Calibri"/>
        </w:rPr>
        <w:t xml:space="preserve">How we know it is fixed. Loss rows name the child’s stock state across the window; stock-caused losses appear as recovery cases.</w:t>
      </w:r>
    </w:p>
    <w:p>
      <w:pPr>
        <w:pStyle w:val="Heading2"/>
      </w:pPr>
      <w:r>
        <w:rPr>
          <w:rFonts w:ascii="Calibri" w:cs="Calibri" w:eastAsia="Calibri" w:hAnsi="Calibri"/>
        </w:rPr>
        <w:t xml:space="preserve">I13 Levers are moved inside the run’s own freezes (P1)</w:t>
      </w:r>
    </w:p>
    <w:p>
      <w:pPr>
        <w:spacing w:after="100"/>
      </w:pPr>
      <w:r>
        <w:rPr>
          <w:rFonts w:ascii="Calibri" w:cs="Calibri" w:eastAsia="Calibri" w:hAnsi="Calibri"/>
        </w:rPr>
        <w:t xml:space="preserve">What we see. DSS6 writes nine cuts inside its own freezes; SSS4 writes one (seq 148).</w:t>
      </w:r>
    </w:p>
    <w:p>
      <w:pPr>
        <w:spacing w:after="100"/>
      </w:pPr>
      <w:r>
        <w:rPr>
          <w:rFonts w:ascii="Calibri" w:cs="Calibri" w:eastAsia="Calibri" w:hAnsi="Calibri"/>
        </w:rPr>
        <w:t xml:space="preserve">Why it matters. A freeze means no lever moves until the cause is named.</w:t>
      </w:r>
    </w:p>
    <w:p>
      <w:pPr>
        <w:spacing w:after="100"/>
      </w:pPr>
      <w:r>
        <w:rPr>
          <w:rFonts w:ascii="Calibri" w:cs="Calibri" w:eastAsia="Calibri" w:hAnsi="Calibri"/>
        </w:rPr>
        <w:t xml:space="preserve">The fix. A freeze blocks every lever row on that campaign in the same run, by construction.</w:t>
      </w:r>
    </w:p>
    <w:p>
      <w:pPr>
        <w:spacing w:after="100"/>
      </w:pPr>
      <w:r>
        <w:rPr>
          <w:rFonts w:ascii="Calibri" w:cs="Calibri" w:eastAsia="Calibri" w:hAnsi="Calibri"/>
        </w:rPr>
        <w:t xml:space="preserve">How we know it is fixed. Zero lever rows on a campaign frozen in the same run.</w:t>
      </w:r>
    </w:p>
    <w:p>
      <w:pPr>
        <w:pStyle w:val="Heading1"/>
      </w:pPr>
      <w:r>
        <w:rPr>
          <w:rFonts w:ascii="Calibri" w:cs="Calibri" w:eastAsia="Calibri" w:hAnsi="Calibri"/>
        </w:rPr>
        <w:t xml:space="preserve">4. Stock and the advertised child</w:t>
      </w:r>
    </w:p>
    <w:p>
      <w:pPr>
        <w:pStyle w:val="Heading2"/>
      </w:pPr>
      <w:r>
        <w:rPr>
          <w:rFonts w:ascii="Calibri" w:cs="Calibri" w:eastAsia="Calibri" w:hAnsi="Calibri"/>
        </w:rPr>
        <w:t xml:space="preserve">S1 Child swaps do not load (P0)</w:t>
      </w:r>
    </w:p>
    <w:p>
      <w:pPr>
        <w:spacing w:after="100"/>
      </w:pPr>
      <w:r>
        <w:rPr>
          <w:rFonts w:ascii="Calibri" w:cs="Calibri" w:eastAsia="Calibri" w:hAnsi="Calibri"/>
        </w:rPr>
        <w:t xml:space="preserve">What we see. SCS4: all 55 swaps carry “the swap is staged and SKIPS at apply until one exists (open item 2026-09-06)” — the loader has no product-ad roster. The King push stays on KING-GRAPHITE (31 units, 14 days of supply, 141 orders in 90 days) after the run loads. Across the reviews, all 1,007 swaps staged in the eight runs skip at apply; 279 are due on stock. A person reading “passed” on the rest may load harmful ones by hand (see S7).</w:t>
      </w:r>
    </w:p>
    <w:p>
      <w:pPr>
        <w:spacing w:after="100"/>
      </w:pPr>
      <w:r>
        <w:rPr>
          <w:rFonts w:ascii="Calibri" w:cs="Calibri" w:eastAsia="Calibri" w:hAnsi="Calibri"/>
        </w:rPr>
        <w:t xml:space="preserve">Why it matters. Logic doc §12: “The serving child cannot ship … void every read above.” A push on a child that runs out rents the position.</w:t>
      </w:r>
    </w:p>
    <w:p>
      <w:pPr>
        <w:spacing w:after="100"/>
      </w:pPr>
      <w:r>
        <w:rPr>
          <w:rFonts w:ascii="Calibri" w:cs="Calibri" w:eastAsia="Calibri" w:hAnsi="Calibri"/>
        </w:rPr>
        <w:t xml:space="preserve">The fix. Give the loader a product-ad roster; until then every swap becomes a same-day task with an owner and a due time, and every price step on that campaign waits for the swap. Every swap that is not due is marked “do not load”, not “passed”.</w:t>
      </w:r>
    </w:p>
    <w:p>
      <w:pPr>
        <w:spacing w:after="100"/>
      </w:pPr>
      <w:r>
        <w:rPr>
          <w:rFonts w:ascii="Calibri" w:cs="Calibri" w:eastAsia="Calibri" w:hAnsi="Calibri"/>
        </w:rPr>
        <w:t xml:space="preserve">How we know it is fixed. After load, advertised child = serving child on every in-focus campaign (verified from the ads report).</w:t>
      </w:r>
    </w:p>
    <w:p>
      <w:pPr>
        <w:pStyle w:val="Heading2"/>
      </w:pPr>
      <w:r>
        <w:rPr>
          <w:rFonts w:ascii="Calibri" w:cs="Calibri" w:eastAsia="Calibri" w:hAnsi="Calibri"/>
        </w:rPr>
        <w:t xml:space="preserve">S7 The hero rule moves traffic off best sellers that still have stock (P0)</w:t>
      </w:r>
    </w:p>
    <w:p>
      <w:pPr>
        <w:spacing w:after="100"/>
      </w:pPr>
      <w:r>
        <w:rPr>
          <w:rFonts w:ascii="Calibri" w:cs="Calibri" w:eastAsia="Calibri" w:hAnsi="Calibri"/>
        </w:rPr>
        <w:t xml:space="preserve">What we see. DSS4: 86 campaigns ($2,077 and 147 orders in 14 days) move off Queen Black (1,915 units, 95 days, 14.15% CVR on 25,226 paid clicks) onto Stone Grey, which has 18 paid clicks and 1 order. DSS6: 83 move off Queen Black (208 units, 258 inbound, 84 days) and King Black (693 units, 401 days) onto white children with 6 and 30 units and no sales. SSS4: 28 move off Grey King (257 units, 110 days, 17.63% CVR) onto White King (8.50%). SCS4: Twin campaigns move off Twin Graphite (64 days, 14.0%) onto Twin White (9.0%, 12 units, nothing inbound). The stored reviews passed most of these as “safe” because the target had room. Moving off a best seller is not wrong in itself: when it is out or at risk the move is right, as with SCS4’s King Graphite (31 units, 15 days) → King White and DBS4’s Queen White (22 days, next stock in 33) → Queen Olive.</w:t>
      </w:r>
    </w:p>
    <w:p>
      <w:pPr>
        <w:spacing w:after="100"/>
      </w:pPr>
      <w:r>
        <w:rPr>
          <w:rFonts w:ascii="Calibri" w:cs="Calibri" w:eastAsia="Calibri" w:hAnsi="Calibri"/>
        </w:rPr>
        <w:t xml:space="preserve">Why it matters. Room is not the test. A swap by rule takes a converting campaign off its record and puts it on a child with none. Loaded as written, the DSS4 Queen move alone would cost more than the whole run saves.</w:t>
      </w:r>
    </w:p>
    <w:p>
      <w:pPr>
        <w:spacing w:after="100"/>
      </w:pPr>
      <w:r>
        <w:rPr>
          <w:rFonts w:ascii="Calibri" w:cs="Calibri" w:eastAsia="Calibri" w:hAnsi="Calibri"/>
        </w:rPr>
        <w:t xml:space="preserve">The fix. A swap needs a reason: the source is out or at risk on the planner, or the target is plainly the stronger seller (at least 2 a day and 1.5 times the source) and keeps 30 days once the moved traffic lands. Otherwise the campaign stays. Where the engine wants one serving child per size, it picks that child by sales and conversion on the planner, not by colour rule.</w:t>
      </w:r>
    </w:p>
    <w:p>
      <w:pPr>
        <w:spacing w:after="100"/>
      </w:pPr>
      <w:r>
        <w:rPr>
          <w:rFonts w:ascii="Calibri" w:cs="Calibri" w:eastAsia="Calibri" w:hAnsi="Calibri"/>
        </w:rPr>
        <w:t xml:space="preserve">How we know it is fixed. Zero swaps off a child with 30+ days of stock onto a slower child. Each swap row names its reason (stock or stronger seller) with the figures.</w:t>
      </w:r>
    </w:p>
    <w:p>
      <w:pPr>
        <w:pStyle w:val="Heading2"/>
      </w:pPr>
      <w:r>
        <w:rPr>
          <w:rFonts w:ascii="Calibri" w:cs="Calibri" w:eastAsia="Calibri" w:hAnsi="Calibri"/>
        </w:rPr>
        <w:t xml:space="preserve">S3 Cover is read on the hero, not the child the size pushes on (P0)</w:t>
      </w:r>
    </w:p>
    <w:p>
      <w:pPr>
        <w:spacing w:after="100"/>
      </w:pPr>
      <w:r>
        <w:rPr>
          <w:rFonts w:ascii="Calibri" w:cs="Calibri" w:eastAsia="Calibri" w:hAnsi="Calibri"/>
        </w:rPr>
        <w:t xml:space="preserve">What we see. SCS4 declined to build “cooling bed sheets” (plan’s second term, 307 clicks a week) because the white Queen hero is under the horizon — while every Queen push runs on Graphite (486 units). Across the reviews the gap is wider than the hero. DSS4’s catalogue sizes 19 of its 124 SKUs; the other 105 hold 12,687 units and sell 134 a day, so every stock check reads 5% of the stock, and the King “hero” is Rosewood with 0 units while King Black holds 1,158. Products carry two SKU families per colour and size, so ten “colour out of stock” pauses hit colours in stock (271 red King units, 1,063 grey King) in both DSS4 runs. Undated inbound is counted as cover; dated arrivals are ignored.</w:t>
      </w:r>
    </w:p>
    <w:p>
      <w:pPr>
        <w:spacing w:after="100"/>
      </w:pPr>
      <w:r>
        <w:rPr>
          <w:rFonts w:ascii="Calibri" w:cs="Calibri" w:eastAsia="Calibri" w:hAnsi="Calibri"/>
        </w:rPr>
        <w:t xml:space="preserve">Why it matters. The stock condition is about the child that serves the push.</w:t>
      </w:r>
    </w:p>
    <w:p>
      <w:pPr>
        <w:spacing w:after="100"/>
      </w:pPr>
      <w:r>
        <w:rPr>
          <w:rFonts w:ascii="Calibri" w:cs="Calibri" w:eastAsia="Calibri" w:hAnsi="Calibri"/>
        </w:rPr>
        <w:t xml:space="preserve">The fix. Every stock gate reads the serving child for the size. Keep one SKU master with size, pack and colour for every SKU, older families included, and use the inventory planner (FBA, reserved, inbound, velocity, days left, running-out flag) for every child. A colour is out only when every SKU of that colour and size is out. Undated inbound is not cover when nothing lands inside 45 days; with a dated arrival, a child is at risk if its days left end before it.</w:t>
      </w:r>
    </w:p>
    <w:p>
      <w:pPr>
        <w:spacing w:after="100"/>
      </w:pPr>
      <w:r>
        <w:rPr>
          <w:rFonts w:ascii="Calibri" w:cs="Calibri" w:eastAsia="Calibri" w:hAnsi="Calibri"/>
        </w:rPr>
        <w:t xml:space="preserve">How we know it is fixed. No build declined on hero cover when a serving child has room.</w:t>
      </w:r>
    </w:p>
    <w:p>
      <w:pPr>
        <w:pStyle w:val="Heading2"/>
      </w:pPr>
      <w:r>
        <w:rPr>
          <w:rFonts w:ascii="Calibri" w:cs="Calibri" w:eastAsia="Calibri" w:hAnsi="Calibri"/>
        </w:rPr>
        <w:t xml:space="preserve">S8 Too much moves, or the wrong campaigns stay (P1)</w:t>
      </w:r>
    </w:p>
    <w:p>
      <w:pPr>
        <w:spacing w:after="100"/>
      </w:pPr>
      <w:r>
        <w:rPr>
          <w:rFonts w:ascii="Calibri" w:cs="Calibri" w:eastAsia="Calibri" w:hAnsi="Calibri"/>
        </w:rPr>
        <w:t xml:space="preserve">What we see. DBS6 moves all 78 Queen White campaigns to Olive because the push pace runs White dry six days before 1,002 units land. Only 28 of them carry the push; at today’s pace White keeps 57 days, past the arrival, and the other 50 hold the converting base (one broad has 349 orders at 10.3% ACoS). DBS4 does the opposite: it moves 32 small Queen campaigns and leaves the two largest ($605 and $303 in 14 days) on the at-risk Queen White.</w:t>
      </w:r>
    </w:p>
    <w:p>
      <w:pPr>
        <w:spacing w:after="100"/>
      </w:pPr>
      <w:r>
        <w:rPr>
          <w:rFonts w:ascii="Calibri" w:cs="Calibri" w:eastAsia="Calibri" w:hAnsi="Calibri"/>
        </w:rPr>
        <w:t xml:space="preserve">Why it matters. A stock gap comes from specific traffic. Moving everything spends conversion for nothing; moving the small ones leaves the problem in place.</w:t>
      </w:r>
    </w:p>
    <w:p>
      <w:pPr>
        <w:spacing w:after="100"/>
      </w:pPr>
      <w:r>
        <w:rPr>
          <w:rFonts w:ascii="Calibri" w:cs="Calibri" w:eastAsia="Calibri" w:hAnsi="Calibri"/>
        </w:rPr>
        <w:t xml:space="preserve">The fix. Size the move to the traffic that creates the gap: compute cover at today’s pace and at the push pace, and move only the pushed campaigns if only the push breaks it. Handle campaigns in spend order, so the largest on an at-risk child are always covered.</w:t>
      </w:r>
    </w:p>
    <w:p>
      <w:pPr>
        <w:spacing w:after="100"/>
      </w:pPr>
      <w:r>
        <w:rPr>
          <w:rFonts w:ascii="Calibri" w:cs="Calibri" w:eastAsia="Calibri" w:hAnsi="Calibri"/>
        </w:rPr>
        <w:t xml:space="preserve">How we know it is fixed. Every at-risk child’s largest campaigns appear in the swap rows; moves are limited to the pushed set when today’s pace clears the arrival.</w:t>
      </w:r>
    </w:p>
    <w:p>
      <w:pPr>
        <w:pStyle w:val="Heading2"/>
      </w:pPr>
      <w:r>
        <w:rPr>
          <w:rFonts w:ascii="Calibri" w:cs="Calibri" w:eastAsia="Calibri" w:hAnsi="Calibri"/>
        </w:rPr>
        <w:t xml:space="preserve">S9 Campaigns on sold-out children get no row (P0)</w:t>
      </w:r>
    </w:p>
    <w:p>
      <w:pPr>
        <w:spacing w:after="100"/>
      </w:pPr>
      <w:r>
        <w:rPr>
          <w:rFonts w:ascii="Calibri" w:cs="Calibri" w:eastAsia="Calibri" w:hAnsi="Calibri"/>
        </w:rPr>
        <w:t xml:space="preserve">What we see. 75 enabled campaigns across seven runs advertise a child that is out or under 14 days, and the run writes neither a swap nor a pause for them: SSS4 25 ($253 in 14 days), DSFS 11, DSS4 12 in each of its two runs, DSS6 7, DBS4 4, SCS4 4. The largest was DSS6’s own-page defence on Rosewood Queen: 31 orders in 14 days on 12 units.</w:t>
      </w:r>
    </w:p>
    <w:p>
      <w:pPr>
        <w:spacing w:after="100"/>
      </w:pPr>
      <w:r>
        <w:rPr>
          <w:rFonts w:ascii="Calibri" w:cs="Calibri" w:eastAsia="Calibri" w:hAnsi="Calibri"/>
        </w:rPr>
        <w:t xml:space="preserve">Why it matters. These campaigns keep spending on an ad that cannot sell, or are about to lose their best child.</w:t>
      </w:r>
    </w:p>
    <w:p>
      <w:pPr>
        <w:spacing w:after="100"/>
      </w:pPr>
      <w:r>
        <w:rPr>
          <w:rFonts w:ascii="Calibri" w:cs="Calibri" w:eastAsia="Calibri" w:hAnsi="Calibri"/>
        </w:rPr>
        <w:t xml:space="preserve">The fix. Sweep every enabled campaign against the planner. Each one on an out or at-risk child gets a swap row (to the planner’s best same-size, same-colour child) or a pause row; liquidation campaigns get a closure row with the LTSF owner.</w:t>
      </w:r>
    </w:p>
    <w:p>
      <w:pPr>
        <w:spacing w:after="100"/>
      </w:pPr>
      <w:r>
        <w:rPr>
          <w:rFonts w:ascii="Calibri" w:cs="Calibri" w:eastAsia="Calibri" w:hAnsi="Calibri"/>
        </w:rPr>
        <w:t xml:space="preserve">How we know it is fixed. Zero enabled campaigns on an out child without a row.</w:t>
      </w:r>
    </w:p>
    <w:p>
      <w:pPr>
        <w:pStyle w:val="Heading2"/>
      </w:pPr>
      <w:r>
        <w:rPr>
          <w:rFonts w:ascii="Calibri" w:cs="Calibri" w:eastAsia="Calibri" w:hAnsi="Calibri"/>
        </w:rPr>
        <w:t xml:space="preserve">S4 Swaps contradict each other or cross sizes (P0)</w:t>
      </w:r>
    </w:p>
    <w:p>
      <w:pPr>
        <w:spacing w:after="100"/>
      </w:pPr>
      <w:r>
        <w:rPr>
          <w:rFonts w:ascii="Calibri" w:cs="Calibri" w:eastAsia="Calibri" w:hAnsi="Calibri"/>
        </w:rPr>
        <w:t xml:space="preserve">What we see. SCS4: Twin rows swap in both directions (two onto Graphite on conversion, four onto White by the hero rule); the Cal King campaign is re-pointed to KING-WHITE (a different size). The review held the Cal King row twice. Across the reviews, cross-size swaps appear in five runs (SSS4 7, DSFS 3, DSS4 10, DBS4 3, SCS4). The reverse case is missed: King terms that advertise a Queen child (SCS4 6, DBS4 7) are real mismatches, written as ordinary swaps or parked for a person.</w:t>
      </w:r>
    </w:p>
    <w:p>
      <w:pPr>
        <w:spacing w:after="100"/>
      </w:pPr>
      <w:r>
        <w:rPr>
          <w:rFonts w:ascii="Calibri" w:cs="Calibri" w:eastAsia="Calibri" w:hAnsi="Calibri"/>
        </w:rPr>
        <w:t xml:space="preserve">Why it matters. A keyword naming a size stays on that size; one size, one serving child per run.</w:t>
      </w:r>
    </w:p>
    <w:p>
      <w:pPr>
        <w:spacing w:after="100"/>
      </w:pPr>
      <w:r>
        <w:rPr>
          <w:rFonts w:ascii="Calibri" w:cs="Calibri" w:eastAsia="Calibri" w:hAnsi="Calibri"/>
        </w:rPr>
        <w:t xml:space="preserve">The fix. Resolve one serving child per size per run and apply it to every campaign of that size; refuse a swap across sizes. A cross-size move is allowed only to fix a size mismatch (the keyword names the target’s size), and then it is a priority task.</w:t>
      </w:r>
    </w:p>
    <w:p>
      <w:pPr>
        <w:spacing w:after="100"/>
      </w:pPr>
      <w:r>
        <w:rPr>
          <w:rFonts w:ascii="Calibri" w:cs="Calibri" w:eastAsia="Calibri" w:hAnsi="Calibri"/>
        </w:rPr>
        <w:t xml:space="preserve">How we know it is fixed. Per size, all swaps land on the same child; zero cross-size swaps.</w:t>
      </w:r>
    </w:p>
    <w:p>
      <w:pPr>
        <w:pStyle w:val="Heading2"/>
      </w:pPr>
      <w:r>
        <w:rPr>
          <w:rFonts w:ascii="Calibri" w:cs="Calibri" w:eastAsia="Calibri" w:hAnsi="Calibri"/>
        </w:rPr>
        <w:t xml:space="preserve">S2 Renames stamp a child the ad does not serve (P1)</w:t>
      </w:r>
    </w:p>
    <w:p>
      <w:pPr>
        <w:spacing w:after="100"/>
      </w:pPr>
      <w:r>
        <w:rPr>
          <w:rFonts w:ascii="Calibri" w:cs="Calibri" w:eastAsia="Calibri" w:hAnsi="Calibri"/>
        </w:rPr>
        <w:t xml:space="preserve">What we see. SCS4: 179 renames write “…-SL-COOLING-SHEET-KING-WHITE” into names while the ads still serve Graphite. Across the reviews, 686 of 2,054 renames name a child the ad will not serve; the stored reviews passed all 2,054. Some change the term or size: “queen white satin sheets” becomes “Twin Satin Sheets … RED-TWIN” (SSS4).</w:t>
      </w:r>
    </w:p>
    <w:p>
      <w:pPr>
        <w:spacing w:after="100"/>
      </w:pPr>
      <w:r>
        <w:rPr>
          <w:rFonts w:ascii="Calibri" w:cs="Calibri" w:eastAsia="Calibri" w:hAnsi="Calibri"/>
        </w:rPr>
        <w:t xml:space="preserve">Why it matters. A name that states the wrong child misleads every later read.</w:t>
      </w:r>
    </w:p>
    <w:p>
      <w:pPr>
        <w:spacing w:after="100"/>
      </w:pPr>
      <w:r>
        <w:rPr>
          <w:rFonts w:ascii="Calibri" w:cs="Calibri" w:eastAsia="Calibri" w:hAnsi="Calibri"/>
        </w:rPr>
        <w:t xml:space="preserve">The fix. Load renames only after the swap they depend on has landed. A rename never changes the keyword or size in the name.</w:t>
      </w:r>
    </w:p>
    <w:p>
      <w:pPr>
        <w:spacing w:after="100"/>
      </w:pPr>
      <w:r>
        <w:rPr>
          <w:rFonts w:ascii="Calibri" w:cs="Calibri" w:eastAsia="Calibri" w:hAnsi="Calibri"/>
        </w:rPr>
        <w:t xml:space="preserve">How we know it is fixed. No campaign name names a child it does not advertise.</w:t>
      </w:r>
    </w:p>
    <w:p>
      <w:pPr>
        <w:pStyle w:val="Heading2"/>
      </w:pPr>
      <w:r>
        <w:rPr>
          <w:rFonts w:ascii="Calibri" w:cs="Calibri" w:eastAsia="Calibri" w:hAnsi="Calibri"/>
        </w:rPr>
        <w:t xml:space="preserve">S5 Builds and pushes on a child without stock (P0)</w:t>
      </w:r>
    </w:p>
    <w:p>
      <w:pPr>
        <w:spacing w:after="100"/>
      </w:pPr>
      <w:r>
        <w:rPr>
          <w:rFonts w:ascii="Calibri" w:cs="Calibri" w:eastAsia="Calibri" w:hAnsi="Calibri"/>
        </w:rPr>
        <w:t xml:space="preserve">What we see. SCS4: six Twin builds and two Twin brand-format builds on TWIN-WHITE (13 units, nothing inbound); SB, SBV and SD builds on QUEEN-WHITE (89 units, under horizon). The engine’s room read did not count its own builds. Across the reviews: the SSS4 Brands headline features White Queen at 0 units, the DSFS display defence Queen White at 0, two DSS4 builds King Rosewood at 0, seven DSS6 builds White Queen (6 units, no sales), eight SCS4 builds Twin White (12 units). In DSFS, DSS4 and DSS6 the builds held on the previous run came back unchanged.</w:t>
      </w:r>
    </w:p>
    <w:p>
      <w:pPr>
        <w:spacing w:after="100"/>
      </w:pPr>
      <w:r>
        <w:rPr>
          <w:rFonts w:ascii="Calibri" w:cs="Calibri" w:eastAsia="Calibri" w:hAnsi="Calibri"/>
        </w:rPr>
        <w:t xml:space="preserve">Why it matters. Logic doc §6: stock to sustain it after — a position taken and lost to a stockout was rented.</w:t>
      </w:r>
    </w:p>
    <w:p>
      <w:pPr>
        <w:spacing w:after="100"/>
      </w:pPr>
      <w:r>
        <w:rPr>
          <w:rFonts w:ascii="Calibri" w:cs="Calibri" w:eastAsia="Calibri" w:hAnsi="Calibri"/>
        </w:rPr>
        <w:t xml:space="preserve">The fix. Count the run’s own builds and steps in the cover test; route builds to the serving child. A build held by review is not re-proposed until an input it was held on has changed, and the row names that input.</w:t>
      </w:r>
    </w:p>
    <w:p>
      <w:pPr>
        <w:spacing w:after="100"/>
      </w:pPr>
      <w:r>
        <w:rPr>
          <w:rFonts w:ascii="Calibri" w:cs="Calibri" w:eastAsia="Calibri" w:hAnsi="Calibri"/>
        </w:rPr>
        <w:t xml:space="preserve">How we know it is fixed. Every build names a child whose cover at the push pace clears the horizon including the run’s own builds.</w:t>
      </w:r>
    </w:p>
    <w:p>
      <w:pPr>
        <w:pStyle w:val="Heading2"/>
      </w:pPr>
      <w:r>
        <w:rPr>
          <w:rFonts w:ascii="Calibri" w:cs="Calibri" w:eastAsia="Calibri" w:hAnsi="Calibri"/>
        </w:rPr>
        <w:t xml:space="preserve">S6 The tracker may read a different child from the ad (P2)</w:t>
      </w:r>
    </w:p>
    <w:p>
      <w:pPr>
        <w:spacing w:after="100"/>
      </w:pPr>
      <w:r>
        <w:rPr>
          <w:rFonts w:ascii="Calibri" w:cs="Calibri" w:eastAsia="Calibri" w:hAnsi="Calibri"/>
        </w:rPr>
        <w:t xml:space="preserve">What we see. B6 and SCS4 both move ads between colours; the tracker’s child is not checked.</w:t>
      </w:r>
    </w:p>
    <w:p>
      <w:pPr>
        <w:spacing w:after="100"/>
      </w:pPr>
      <w:r>
        <w:rPr>
          <w:rFonts w:ascii="Calibri" w:cs="Calibri" w:eastAsia="Calibri" w:hAnsi="Calibri"/>
        </w:rPr>
        <w:t xml:space="preserve">Why it matters. A push graded on a child the tracker does not watch reads as a miss that is not one.</w:t>
      </w:r>
    </w:p>
    <w:p>
      <w:pPr>
        <w:spacing w:after="100"/>
      </w:pPr>
      <w:r>
        <w:rPr>
          <w:rFonts w:ascii="Calibri" w:cs="Calibri" w:eastAsia="Calibri" w:hAnsi="Calibri"/>
        </w:rPr>
        <w:t xml:space="preserve">The fix. Record the tracked child per term; grade on the child sales land on.</w:t>
      </w:r>
    </w:p>
    <w:p>
      <w:pPr>
        <w:spacing w:after="100"/>
      </w:pPr>
      <w:r>
        <w:rPr>
          <w:rFonts w:ascii="Calibri" w:cs="Calibri" w:eastAsia="Calibri" w:hAnsi="Calibri"/>
        </w:rPr>
        <w:t xml:space="preserve">How we know it is fixed. Each graded rank claim names the tracked child.</w:t>
      </w:r>
    </w:p>
    <w:p>
      <w:pPr>
        <w:pStyle w:val="Heading1"/>
      </w:pPr>
      <w:r>
        <w:rPr>
          <w:rFonts w:ascii="Calibri" w:cs="Calibri" w:eastAsia="Calibri" w:hAnsi="Calibri"/>
        </w:rPr>
        <w:t xml:space="preserve">5. How the engine prices a row</w:t>
      </w:r>
    </w:p>
    <w:p>
      <w:pPr>
        <w:pStyle w:val="Heading2"/>
      </w:pPr>
      <w:r>
        <w:rPr>
          <w:rFonts w:ascii="Calibri" w:cs="Calibri" w:eastAsia="Calibri" w:hAnsi="Calibri"/>
        </w:rPr>
        <w:t xml:space="preserve">P1 The market bound is circular (P0)</w:t>
      </w:r>
    </w:p>
    <w:p>
      <w:pPr>
        <w:spacing w:after="100"/>
      </w:pPr>
      <w:r>
        <w:rPr>
          <w:rFonts w:ascii="Calibri" w:cs="Calibri" w:eastAsia="Calibri" w:hAnsi="Calibri"/>
        </w:rPr>
        <w:t xml:space="preserve">What we see. B6 and SCS4 both stop climbs at “top of search clears at $X on this campaign’s own top-of-search CPC + 15%” (or the group’s own CPC). That is what we paid at 2–8% impression share, not what wins the slot. SCS4 parked 29 campaigns as “not in the auction” against this bound.</w:t>
      </w:r>
    </w:p>
    <w:p>
      <w:pPr>
        <w:spacing w:after="100"/>
      </w:pPr>
      <w:r>
        <w:rPr>
          <w:rFonts w:ascii="Calibri" w:cs="Calibri" w:eastAsia="Calibri" w:hAnsi="Calibri"/>
        </w:rPr>
        <w:t xml:space="preserve">Why it matters. Logic doc §6 and §8: the bound is what the position clears at for that term plus a tolerance; “a wide gap is a reason to pay more, never a reason to pay more than the position costs”.</w:t>
      </w:r>
    </w:p>
    <w:p>
      <w:pPr>
        <w:spacing w:after="100"/>
      </w:pPr>
      <w:r>
        <w:rPr>
          <w:rFonts w:ascii="Calibri" w:cs="Calibri" w:eastAsia="Calibri" w:hAnsi="Calibri"/>
        </w:rPr>
        <w:t xml:space="preserve">The fix. Replace it with the logic document’s five bounds in order: base from the serving child; modifier ≤ 900%; market bound from what campaigns holding 30%+ top-of-search share pay (per term when measured, account reference otherwise, named as an estimate); per-unit bound (contribution); flat backstop. The binding bound is named on the row.</w:t>
      </w:r>
    </w:p>
    <w:p>
      <w:pPr>
        <w:spacing w:after="100"/>
      </w:pPr>
      <w:r>
        <w:rPr>
          <w:rFonts w:ascii="Calibri" w:cs="Calibri" w:eastAsia="Calibri" w:hAnsi="Calibri"/>
        </w:rPr>
        <w:t xml:space="preserve">How we know it is fixed. No rationale derives a bound from the campaign’s own CPC; every capped row names which of the five bounds bound it.</w:t>
      </w:r>
    </w:p>
    <w:p>
      <w:pPr>
        <w:pStyle w:val="Heading2"/>
      </w:pPr>
      <w:r>
        <w:rPr>
          <w:rFonts w:ascii="Calibri" w:cs="Calibri" w:eastAsia="Calibri" w:hAnsi="Calibri"/>
        </w:rPr>
        <w:t xml:space="preserve">P2 No per-campaign, per-placement ceiling (P0)</w:t>
      </w:r>
    </w:p>
    <w:p>
      <w:pPr>
        <w:spacing w:after="100"/>
      </w:pPr>
      <w:r>
        <w:rPr>
          <w:rFonts w:ascii="Calibri" w:cs="Calibri" w:eastAsia="Calibri" w:hAnsi="Calibri"/>
        </w:rPr>
        <w:t xml:space="preserve">What we see. SCS4 prices rows on “the declared plan’s price”, a lane blend or a borrowed group rate; long-tail Queen rows sit at $2.84–$3.17 against a $2.12 ceiling with no premium case.</w:t>
      </w:r>
    </w:p>
    <w:p>
      <w:pPr>
        <w:spacing w:after="100"/>
      </w:pPr>
      <w:r>
        <w:rPr>
          <w:rFonts w:ascii="Calibri" w:cs="Calibri" w:eastAsia="Calibri" w:hAnsi="Calibri"/>
        </w:rPr>
        <w:t xml:space="preserve">Why it matters. Logic doc §3: every campaign gets its own ceiling at every placement — contribution × that placement’s rate; under 15 clicks the child’s rate, 15–49 blended by click count, 50+ its own; 15+ with no orders stays on the child’s rate.</w:t>
      </w:r>
    </w:p>
    <w:p>
      <w:pPr>
        <w:spacing w:after="100"/>
      </w:pPr>
      <w:r>
        <w:rPr>
          <w:rFonts w:ascii="Calibri" w:cs="Calibri" w:eastAsia="Calibri" w:hAnsi="Calibri"/>
        </w:rPr>
        <w:t xml:space="preserve">The fix. Compute and print, for every campaign: ceilings at top of search, rest of search and product pages, the rate each was computed at, its basis (child / blend weight / own) and the clicks and orders behind it.</w:t>
      </w:r>
    </w:p>
    <w:p>
      <w:pPr>
        <w:spacing w:after="100"/>
      </w:pPr>
      <w:r>
        <w:rPr>
          <w:rFonts w:ascii="Calibri" w:cs="Calibri" w:eastAsia="Calibri" w:hAnsi="Calibri"/>
        </w:rPr>
        <w:t xml:space="preserve">How we know it is fixed. Table 1 (per child) and a per-campaign ceiling block exist in every export.</w:t>
      </w:r>
    </w:p>
    <w:p>
      <w:pPr>
        <w:pStyle w:val="Heading2"/>
      </w:pPr>
      <w:r>
        <w:rPr>
          <w:rFonts w:ascii="Calibri" w:cs="Calibri" w:eastAsia="Calibri" w:hAnsi="Calibri"/>
        </w:rPr>
        <w:t xml:space="preserve">P3 Premiums without the five properties; holds without a reason (P0)</w:t>
      </w:r>
    </w:p>
    <w:p>
      <w:pPr>
        <w:spacing w:after="100"/>
      </w:pPr>
      <w:r>
        <w:rPr>
          <w:rFonts w:ascii="Calibri" w:cs="Calibri" w:eastAsia="Calibri" w:hAnsi="Calibri"/>
        </w:rPr>
        <w:t xml:space="preserve">What we see. SCS4 raised prices above the ceiling on rows with no rank on file and no requirement (“thin in-focus push”), and held others as “inventory not there” when share was 9.7%. B6 held thin in-focus rows “for review”.</w:t>
      </w:r>
    </w:p>
    <w:p>
      <w:pPr>
        <w:spacing w:after="100"/>
      </w:pPr>
      <w:r>
        <w:rPr>
          <w:rFonts w:ascii="Calibri" w:cs="Calibri" w:eastAsia="Calibri" w:hAnsi="Calibri"/>
        </w:rPr>
        <w:t xml:space="preserve">Why it matters. Logic doc §11: a push must be Sized, Dated, Ceilinged, Predicted and Funded; miss one and the row keeps its Ranking objective but is priced at its ceiling with the reason named.</w:t>
      </w:r>
    </w:p>
    <w:p>
      <w:pPr>
        <w:spacing w:after="100"/>
      </w:pPr>
      <w:r>
        <w:rPr>
          <w:rFonts w:ascii="Calibri" w:cs="Calibri" w:eastAsia="Calibri" w:hAnsi="Calibri"/>
        </w:rPr>
        <w:t xml:space="preserve">The fix. Before any price above the ceiling, test the five properties and write the result on the row. Fail → price at the ceiling (climb to it or descend to it), reason named.</w:t>
      </w:r>
    </w:p>
    <w:p>
      <w:pPr>
        <w:spacing w:after="100"/>
      </w:pPr>
      <w:r>
        <w:rPr>
          <w:rFonts w:ascii="Calibri" w:cs="Calibri" w:eastAsia="Calibri" w:hAnsi="Calibri"/>
        </w:rPr>
        <w:t xml:space="preserve">How we know it is fixed. Every row priced above its ceiling shows five “pass” properties; every other ranking row shows which one failed.</w:t>
      </w:r>
    </w:p>
    <w:p>
      <w:pPr>
        <w:pStyle w:val="Heading2"/>
      </w:pPr>
      <w:r>
        <w:rPr>
          <w:rFonts w:ascii="Calibri" w:cs="Calibri" w:eastAsia="Calibri" w:hAnsi="Calibri"/>
        </w:rPr>
        <w:t xml:space="preserve">P4 The four conditions for a wide gap are not tested (P1)</w:t>
      </w:r>
    </w:p>
    <w:p>
      <w:pPr>
        <w:spacing w:after="100"/>
      </w:pPr>
      <w:r>
        <w:rPr>
          <w:rFonts w:ascii="Calibri" w:cs="Calibri" w:eastAsia="Calibri" w:hAnsi="Calibri"/>
        </w:rPr>
        <w:t xml:space="preserve">What we see. Neither B6 nor SCS4 tests click-through and conversion at the top against the market on the term before sizing a premium. SCS4’s generic Cooling group converts 7.5% at the top against a 9.6% bar and was pushed like King and Queen.</w:t>
      </w:r>
    </w:p>
    <w:p>
      <w:pPr>
        <w:spacing w:after="100"/>
      </w:pPr>
      <w:r>
        <w:rPr>
          <w:rFonts w:ascii="Calibri" w:cs="Calibri" w:eastAsia="Calibri" w:hAnsi="Calibri"/>
        </w:rPr>
        <w:t xml:space="preserve">Why it matters. Logic doc §6: velocity in the window, CTR above market, CVR above market, stock after — all four, or the term takes maintenance at its ceiling.</w:t>
      </w:r>
    </w:p>
    <w:p>
      <w:pPr>
        <w:spacing w:after="100"/>
      </w:pPr>
      <w:r>
        <w:rPr>
          <w:rFonts w:ascii="Calibri" w:cs="Calibri" w:eastAsia="Calibri" w:hAnsi="Calibri"/>
        </w:rPr>
        <w:t xml:space="preserve">The fix. Evaluate the four on the term (campaign placement read, 15+ clicks / 300+ impressions) or the group when the term is thin; write each on the row.</w:t>
      </w:r>
    </w:p>
    <w:p>
      <w:pPr>
        <w:spacing w:after="100"/>
      </w:pPr>
      <w:r>
        <w:rPr>
          <w:rFonts w:ascii="Calibri" w:cs="Calibri" w:eastAsia="Calibri" w:hAnsi="Calibri"/>
        </w:rPr>
        <w:t xml:space="preserve">How we know it is fixed. Premium rows carry four condition results with their sources.</w:t>
      </w:r>
    </w:p>
    <w:p>
      <w:pPr>
        <w:pStyle w:val="Heading2"/>
      </w:pPr>
      <w:r>
        <w:rPr>
          <w:rFonts w:ascii="Calibri" w:cs="Calibri" w:eastAsia="Calibri" w:hAnsi="Calibri"/>
        </w:rPr>
        <w:t xml:space="preserve">P5 The distribution fix is written without the price step it needs (P0)</w:t>
      </w:r>
    </w:p>
    <w:p>
      <w:pPr>
        <w:spacing w:after="100"/>
      </w:pPr>
      <w:r>
        <w:rPr>
          <w:rFonts w:ascii="Calibri" w:cs="Calibri" w:eastAsia="Calibri" w:hAnsi="Calibri"/>
        </w:rPr>
        <w:t xml:space="preserve">What we see. SCS4: on 11 in-focus campaigns the run cut the base and held the top-of-search price “to the cent” even where its own text said “COMBINED WRITE allowed … top of search delivers 45% of its plan clicks”. B6: the 70/20 check printed “fails” beside a reduction instead of stopping it.</w:t>
      </w:r>
    </w:p>
    <w:p>
      <w:pPr>
        <w:spacing w:after="100"/>
      </w:pPr>
      <w:r>
        <w:rPr>
          <w:rFonts w:ascii="Calibri" w:cs="Calibri" w:eastAsia="Calibri" w:hAnsi="Calibri"/>
        </w:rPr>
        <w:t xml:space="preserve">Why it matters. Logic doc §9: where product pages are over 20% and top of search is short, the combined write moves both; the base step is graded on product-page share, the price step on top-of-search clicks.</w:t>
      </w:r>
    </w:p>
    <w:p>
      <w:pPr>
        <w:spacing w:after="100"/>
      </w:pPr>
      <w:r>
        <w:rPr>
          <w:rFonts w:ascii="Calibri" w:cs="Calibri" w:eastAsia="Calibri" w:hAnsi="Calibri"/>
        </w:rPr>
        <w:t xml:space="preserve">The fix. When both conditions are live, write both in one row with two predictions. Make the 70/20 check a gate, not a label.</w:t>
      </w:r>
    </w:p>
    <w:p>
      <w:pPr>
        <w:spacing w:after="100"/>
      </w:pPr>
      <w:r>
        <w:rPr>
          <w:rFonts w:ascii="Calibri" w:cs="Calibri" w:eastAsia="Calibri" w:hAnsi="Calibri"/>
        </w:rPr>
        <w:t xml:space="preserve">How we know it is fixed. No in-focus row with product pages &gt; 20% and delivery &lt; 70% holds its price.</w:t>
      </w:r>
    </w:p>
    <w:p>
      <w:pPr>
        <w:pStyle w:val="Heading2"/>
      </w:pPr>
      <w:r>
        <w:rPr>
          <w:rFonts w:ascii="Calibri" w:cs="Calibri" w:eastAsia="Calibri" w:hAnsi="Calibri"/>
        </w:rPr>
        <w:t xml:space="preserve">P6 Step size is not tied to the delivery gap or to what the last step bought (P0)</w:t>
      </w:r>
    </w:p>
    <w:p>
      <w:pPr>
        <w:spacing w:after="100"/>
      </w:pPr>
      <w:r>
        <w:rPr>
          <w:rFonts w:ascii="Calibri" w:cs="Calibri" w:eastAsia="Calibri" w:hAnsi="Calibri"/>
        </w:rPr>
        <w:t xml:space="preserve">What we see. SCS4 claims “top-of-search clicks 1.32 → 32 a week (×24)” on a +14% step while its own book says steps that size bought ×1.26. B6’s graded hit rate over 90 days was 6.1% (10 of 163).</w:t>
      </w:r>
    </w:p>
    <w:p>
      <w:pPr>
        <w:spacing w:after="100"/>
      </w:pPr>
      <w:r>
        <w:rPr>
          <w:rFonts w:ascii="Calibri" w:cs="Calibri" w:eastAsia="Calibri" w:hAnsi="Calibri"/>
        </w:rPr>
        <w:t xml:space="preserve">Why it matters. Logic doc §10: every figure is a cap; the step is sized from the campaign — delivery, where clicks land, what the last step returned; “a step that produced nothing is a finding”.</w:t>
      </w:r>
    </w:p>
    <w:p>
      <w:pPr>
        <w:spacing w:after="100"/>
      </w:pPr>
      <w:r>
        <w:rPr>
          <w:rFonts w:ascii="Calibri" w:cs="Calibri" w:eastAsia="Calibri" w:hAnsi="Calibri"/>
        </w:rPr>
        <w:t xml:space="preserve">The fix. Size price steps by the delivery gap (+30% under 30% delivered, +20% at 30–70%, +10% over 70%, none at requirement), halve when share did not rise after the last step, and predict what the step can buy from the response book — the plan’s requirement is the destination, not the prediction.</w:t>
      </w:r>
    </w:p>
    <w:p>
      <w:pPr>
        <w:spacing w:after="100"/>
      </w:pPr>
      <w:r>
        <w:rPr>
          <w:rFonts w:ascii="Calibri" w:cs="Calibri" w:eastAsia="Calibri" w:hAnsi="Calibri"/>
        </w:rPr>
        <w:t xml:space="preserve">How we know it is fixed. Predictions sit within the book’s range for the step size; hit rate is reported per run.</w:t>
      </w:r>
    </w:p>
    <w:p>
      <w:pPr>
        <w:pStyle w:val="Heading2"/>
      </w:pPr>
      <w:r>
        <w:rPr>
          <w:rFonts w:ascii="Calibri" w:cs="Calibri" w:eastAsia="Calibri" w:hAnsi="Calibri"/>
        </w:rPr>
        <w:t xml:space="preserve">P7 Prices come down as a residue, on a ladder, or on pushes that never ran (P0)</w:t>
      </w:r>
    </w:p>
    <w:p>
      <w:pPr>
        <w:spacing w:after="100"/>
      </w:pPr>
      <w:r>
        <w:rPr>
          <w:rFonts w:ascii="Calibri" w:cs="Calibri" w:eastAsia="Calibri" w:hAnsi="Calibri"/>
        </w:rPr>
        <w:t xml:space="preserve">What we see. SCS4 tapers out-of-focus rows 10% a run below their ceiling (including a King term converting 13.8%), cut an in-focus row 146% → 75% to a lane-blend “break-even” and cut two others. B6 cut and held rows that had not received their clicks.</w:t>
      </w:r>
    </w:p>
    <w:p>
      <w:pPr>
        <w:spacing w:after="100"/>
      </w:pPr>
      <w:r>
        <w:rPr>
          <w:rFonts w:ascii="Calibri" w:cs="Calibri" w:eastAsia="Calibri" w:hAnsi="Calibri"/>
        </w:rPr>
        <w:t xml:space="preserve">Why it matters. Logic doc §9 and §14: a price that comes down lands on a named point; a funded push is not cut until it has delivered 70% of its required clicks with product pages under 20%.</w:t>
      </w:r>
    </w:p>
    <w:p>
      <w:pPr>
        <w:spacing w:after="100"/>
      </w:pPr>
      <w:r>
        <w:rPr>
          <w:rFonts w:ascii="Calibri" w:cs="Calibri" w:eastAsia="Calibri" w:hAnsi="Calibri"/>
        </w:rPr>
        <w:t xml:space="preserve">The fix. Descents go to the ceiling in one named step; out of focus holds inside its ceiling; the cut-back gate blocks any top-of-search cut on a push under 70% delivery (verdicts: continue, fix delivery, stop on the dated loss ceiling).</w:t>
      </w:r>
    </w:p>
    <w:p>
      <w:pPr>
        <w:spacing w:after="100"/>
      </w:pPr>
      <w:r>
        <w:rPr>
          <w:rFonts w:ascii="Calibri" w:cs="Calibri" w:eastAsia="Calibri" w:hAnsi="Calibri"/>
        </w:rPr>
        <w:t xml:space="preserve">How we know it is fixed. No descent row lacks a named landing point; no cut on a push below 70% delivery.</w:t>
      </w:r>
    </w:p>
    <w:p>
      <w:pPr>
        <w:pStyle w:val="Heading2"/>
      </w:pPr>
      <w:r>
        <w:rPr>
          <w:rFonts w:ascii="Calibri" w:cs="Calibri" w:eastAsia="Calibri" w:hAnsi="Calibri"/>
        </w:rPr>
        <w:t xml:space="preserve">P8 Base cut on rows that are not delivering (P1)</w:t>
      </w:r>
    </w:p>
    <w:p>
      <w:pPr>
        <w:spacing w:after="100"/>
      </w:pPr>
      <w:r>
        <w:rPr>
          <w:rFonts w:ascii="Calibri" w:cs="Calibri" w:eastAsia="Calibri" w:hAnsi="Calibri"/>
        </w:rPr>
        <w:t xml:space="preserve">What we see. B6: base cuts on rows with no recent clicks. SCS4 holds the base on thin rows correctly but still ships price cuts on them.</w:t>
      </w:r>
    </w:p>
    <w:p>
      <w:pPr>
        <w:spacing w:after="100"/>
      </w:pPr>
      <w:r>
        <w:rPr>
          <w:rFonts w:ascii="Calibri" w:cs="Calibri" w:eastAsia="Calibri" w:hAnsi="Calibri"/>
        </w:rPr>
        <w:t xml:space="preserve">Why it matters. Logic doc §12: “Campaign on, no clicks arriving — hold the base, push the modifier only.”</w:t>
      </w:r>
    </w:p>
    <w:p>
      <w:pPr>
        <w:spacing w:after="100"/>
      </w:pPr>
      <w:r>
        <w:rPr>
          <w:rFonts w:ascii="Calibri" w:cs="Calibri" w:eastAsia="Calibri" w:hAnsi="Calibri"/>
        </w:rPr>
        <w:t xml:space="preserve">The fix. Under 15 clicks in 14 days: the base holds; only the top-of-search price moves.</w:t>
      </w:r>
    </w:p>
    <w:p>
      <w:pPr>
        <w:spacing w:after="100"/>
      </w:pPr>
      <w:r>
        <w:rPr>
          <w:rFonts w:ascii="Calibri" w:cs="Calibri" w:eastAsia="Calibri" w:hAnsi="Calibri"/>
        </w:rPr>
        <w:t xml:space="preserve">How we know it is fixed. No base cut on a row with &lt; 15 clicks in 14 days.</w:t>
      </w:r>
    </w:p>
    <w:p>
      <w:pPr>
        <w:pStyle w:val="Heading2"/>
      </w:pPr>
      <w:r>
        <w:rPr>
          <w:rFonts w:ascii="Calibri" w:cs="Calibri" w:eastAsia="Calibri" w:hAnsi="Calibri"/>
        </w:rPr>
        <w:t xml:space="preserve">P9 Rest-of-search modifier cut when it has earned its lift (P2)</w:t>
      </w:r>
    </w:p>
    <w:p>
      <w:pPr>
        <w:spacing w:after="100"/>
      </w:pPr>
      <w:r>
        <w:rPr>
          <w:rFonts w:ascii="Calibri" w:cs="Calibri" w:eastAsia="Calibri" w:hAnsi="Calibri"/>
        </w:rPr>
        <w:t xml:space="preserve">What we see. SCS4 cut “cooling bed sheets king” rest of search 25% → 0% as a “leak” while rest of search had 22 clicks and 3 orders (13.6%) against no orders on 14 product-page clicks.</w:t>
      </w:r>
    </w:p>
    <w:p>
      <w:pPr>
        <w:spacing w:after="100"/>
      </w:pPr>
      <w:r>
        <w:rPr>
          <w:rFonts w:ascii="Calibri" w:cs="Calibri" w:eastAsia="Calibri" w:hAnsi="Calibri"/>
        </w:rPr>
        <w:t xml:space="preserve">Why it matters. Logic doc §8: rest of search sits at zero until it earns a lift — 15+ clicks converting at or above the product-page rate — a switch, not a blend.</w:t>
      </w:r>
    </w:p>
    <w:p>
      <w:pPr>
        <w:spacing w:after="100"/>
      </w:pPr>
      <w:r>
        <w:rPr>
          <w:rFonts w:ascii="Calibri" w:cs="Calibri" w:eastAsia="Calibri" w:hAnsi="Calibri"/>
        </w:rPr>
        <w:t xml:space="preserve">The fix. Apply the earned-lift switch before any rest-of-search cut.</w:t>
      </w:r>
    </w:p>
    <w:p>
      <w:pPr>
        <w:spacing w:after="100"/>
      </w:pPr>
      <w:r>
        <w:rPr>
          <w:rFonts w:ascii="Calibri" w:cs="Calibri" w:eastAsia="Calibri" w:hAnsi="Calibri"/>
        </w:rPr>
        <w:t xml:space="preserve">How we know it is fixed. No rest-of-search cut on a row that meets the switch.</w:t>
      </w:r>
    </w:p>
    <w:p>
      <w:pPr>
        <w:pStyle w:val="Heading2"/>
      </w:pPr>
      <w:r>
        <w:rPr>
          <w:rFonts w:ascii="Calibri" w:cs="Calibri" w:eastAsia="Calibri" w:hAnsi="Calibri"/>
        </w:rPr>
        <w:t xml:space="preserve">P10 The 900% wall is not handled (P1)</w:t>
      </w:r>
    </w:p>
    <w:p>
      <w:pPr>
        <w:spacing w:after="100"/>
      </w:pPr>
      <w:r>
        <w:rPr>
          <w:rFonts w:ascii="Calibri" w:cs="Calibri" w:eastAsia="Calibri" w:hAnsi="Calibri"/>
        </w:rPr>
        <w:t xml:space="preserve">What we see. B6: rows left at 400–860% after the 11 September round; steps that would pass 900% were not re-solved onto the base.</w:t>
      </w:r>
    </w:p>
    <w:p>
      <w:pPr>
        <w:spacing w:after="100"/>
      </w:pPr>
      <w:r>
        <w:rPr>
          <w:rFonts w:ascii="Calibri" w:cs="Calibri" w:eastAsia="Calibri" w:hAnsi="Calibri"/>
        </w:rPr>
        <w:t xml:space="preserve">Why it matters. Logic doc §10: at the wall the only remaining way to lift the top-of-search price is the base, stated as a trade.</w:t>
      </w:r>
    </w:p>
    <w:p>
      <w:pPr>
        <w:spacing w:after="100"/>
      </w:pPr>
      <w:r>
        <w:rPr>
          <w:rFonts w:ascii="Calibri" w:cs="Calibri" w:eastAsia="Calibri" w:hAnsi="Calibri"/>
        </w:rPr>
        <w:t xml:space="preserve">The fix. If a step needs more than 900%, the base carries the rest (base = price ÷ 10) and the row states the product-page trade.</w:t>
      </w:r>
    </w:p>
    <w:p>
      <w:pPr>
        <w:spacing w:after="100"/>
      </w:pPr>
      <w:r>
        <w:rPr>
          <w:rFonts w:ascii="Calibri" w:cs="Calibri" w:eastAsia="Calibri" w:hAnsi="Calibri"/>
        </w:rPr>
        <w:t xml:space="preserve">How we know it is fixed. No modifier above 900%; every wall row states the trade.</w:t>
      </w:r>
    </w:p>
    <w:p>
      <w:pPr>
        <w:pStyle w:val="Heading2"/>
      </w:pPr>
      <w:r>
        <w:rPr>
          <w:rFonts w:ascii="Calibri" w:cs="Calibri" w:eastAsia="Calibri" w:hAnsi="Calibri"/>
        </w:rPr>
        <w:t xml:space="preserve">P11 Rows state a percentage, not two prices and a loss (P1)</w:t>
      </w:r>
    </w:p>
    <w:p>
      <w:pPr>
        <w:spacing w:after="100"/>
      </w:pPr>
      <w:r>
        <w:rPr>
          <w:rFonts w:ascii="Calibri" w:cs="Calibri" w:eastAsia="Calibri" w:hAnsi="Calibri"/>
        </w:rPr>
        <w:t xml:space="preserve">What we see. SCS4 rows state a modifier change and a cost per order computed on the wrong contribution; B6 rows lacked the loss per order at the new price.</w:t>
      </w:r>
    </w:p>
    <w:p>
      <w:pPr>
        <w:spacing w:after="100"/>
      </w:pPr>
      <w:r>
        <w:rPr>
          <w:rFonts w:ascii="Calibri" w:cs="Calibri" w:eastAsia="Calibri" w:hAnsi="Calibri"/>
        </w:rPr>
        <w:t xml:space="preserve">Why it matters. Logic doc §5 and §6: every modifier row states both prices and the multiple; every priced row states the loss per order, at this write and at the destination.</w:t>
      </w:r>
    </w:p>
    <w:p>
      <w:pPr>
        <w:spacing w:after="100"/>
      </w:pPr>
      <w:r>
        <w:rPr>
          <w:rFonts w:ascii="Calibri" w:cs="Calibri" w:eastAsia="Calibri" w:hAnsi="Calibri"/>
        </w:rPr>
        <w:t xml:space="preserve">The fix. Standard PRICES line: “Top of search $A against $B on product pages, R to one; a top-of-search order costs $C at X% (basis) — a loss of $L against $K contribution; destination $D (bound).”</w:t>
      </w:r>
    </w:p>
    <w:p>
      <w:pPr>
        <w:spacing w:after="100"/>
      </w:pPr>
      <w:r>
        <w:rPr>
          <w:rFonts w:ascii="Calibri" w:cs="Calibri" w:eastAsia="Calibri" w:hAnsi="Calibri"/>
        </w:rPr>
        <w:t xml:space="preserve">How we know it is fixed. Code check: every tos/bid row has the PRICES line with all fields.</w:t>
      </w:r>
    </w:p>
    <w:p>
      <w:pPr>
        <w:pStyle w:val="Heading2"/>
      </w:pPr>
      <w:r>
        <w:rPr>
          <w:rFonts w:ascii="Calibri" w:cs="Calibri" w:eastAsia="Calibri" w:hAnsi="Calibri"/>
        </w:rPr>
        <w:t xml:space="preserve">P12 Requirements are inflated, unreachable or unfunded without saying so (P0)</w:t>
      </w:r>
    </w:p>
    <w:p>
      <w:pPr>
        <w:spacing w:after="100"/>
      </w:pPr>
      <w:r>
        <w:rPr>
          <w:rFonts w:ascii="Calibri" w:cs="Calibri" w:eastAsia="Calibri" w:hAnsi="Calibri"/>
        </w:rPr>
        <w:t xml:space="preserve">What we see. SCS4: a one-a-day unit floor lifts 30 long-tail requirements above the plan’s own units (“paid 42 exceeds the plan’s total 5”). The head term asks 1,352 clicks a week; winning every auction at its 1.52% share would buy about 800. The 60 in-focus requirements total 3,935 clicks a week against 195 delivered; buying them would cost about $2,070 a day. B6: $1,050 a day to buy its plan. Neither B6 nor SCS4 states the shortfall as a decision.</w:t>
      </w:r>
    </w:p>
    <w:p>
      <w:pPr>
        <w:spacing w:after="100"/>
      </w:pPr>
      <w:r>
        <w:rPr>
          <w:rFonts w:ascii="Calibri" w:cs="Calibri" w:eastAsia="Calibri" w:hAnsi="Calibri"/>
        </w:rPr>
        <w:t xml:space="preserve">Why it matters. Logic doc §7 and §11: required clicks = units at the target rank ÷ top-of-search conversion; a push that cannot be funded is stated as a shortfall and becomes a decision — fund it or hold it with the number named.</w:t>
      </w:r>
    </w:p>
    <w:p>
      <w:pPr>
        <w:spacing w:after="100"/>
      </w:pPr>
      <w:r>
        <w:rPr>
          <w:rFonts w:ascii="Calibri" w:cs="Calibri" w:eastAsia="Calibri" w:hAnsi="Calibri"/>
        </w:rPr>
        <w:t xml:space="preserve">The fix. Use the plan’s own units (no artificial floor); compute reachability (delivered ÷ share) and grade unreachable requirements on share; sum the cost of the requirement at this write’s prices against the envelope and print the shortfall.</w:t>
      </w:r>
    </w:p>
    <w:p>
      <w:pPr>
        <w:spacing w:after="100"/>
      </w:pPr>
      <w:r>
        <w:rPr>
          <w:rFonts w:ascii="Calibri" w:cs="Calibri" w:eastAsia="Calibri" w:hAnsi="Calibri"/>
        </w:rPr>
        <w:t xml:space="preserve">How we know it is fixed. Run header shows requirement, delivered, reachable, envelope and shortfall; no floor-inflated requirement.</w:t>
      </w:r>
    </w:p>
    <w:p>
      <w:pPr>
        <w:pStyle w:val="Heading2"/>
      </w:pPr>
      <w:r>
        <w:rPr>
          <w:rFonts w:ascii="Calibri" w:cs="Calibri" w:eastAsia="Calibri" w:hAnsi="Calibri"/>
        </w:rPr>
        <w:t xml:space="preserve">P13 Budget moves on the wrong evidence (P0)</w:t>
      </w:r>
    </w:p>
    <w:p>
      <w:pPr>
        <w:spacing w:after="100"/>
      </w:pPr>
      <w:r>
        <w:rPr>
          <w:rFonts w:ascii="Calibri" w:cs="Calibri" w:eastAsia="Calibri" w:hAnsi="Calibri"/>
        </w:rPr>
        <w:t xml:space="preserve">What we see. SCS4: 9 budget raises — 4 on campaigns using 43–69% of budget over 7 days, 2 on paused campaigns, 1 on an out-of-focus campaign. B6: 5 raises on campaigns using 0–44%.</w:t>
      </w:r>
    </w:p>
    <w:p>
      <w:pPr>
        <w:spacing w:after="100"/>
      </w:pPr>
      <w:r>
        <w:rPr>
          <w:rFonts w:ascii="Calibri" w:cs="Calibri" w:eastAsia="Calibri" w:hAnsi="Calibri"/>
        </w:rPr>
        <w:t xml:space="preserve">Why it matters. Logic doc §12: budget exhausted → raise the budget, price holds; budget intact and share low → price is the lever.</w:t>
      </w:r>
    </w:p>
    <w:p>
      <w:pPr>
        <w:spacing w:after="100"/>
      </w:pPr>
      <w:r>
        <w:rPr>
          <w:rFonts w:ascii="Calibri" w:cs="Calibri" w:eastAsia="Calibri" w:hAnsi="Calibri"/>
        </w:rPr>
        <w:t xml:space="preserve">The fix. +30% only where 7-day use ≥ 80%; never on paused or out-of-focus campaigns; when raised, the price holds that write.</w:t>
      </w:r>
    </w:p>
    <w:p>
      <w:pPr>
        <w:spacing w:after="100"/>
      </w:pPr>
      <w:r>
        <w:rPr>
          <w:rFonts w:ascii="Calibri" w:cs="Calibri" w:eastAsia="Calibri" w:hAnsi="Calibri"/>
        </w:rPr>
        <w:t xml:space="preserve">How we know it is fixed. Every budget raise cites 7-day use ≥ 80% and an enabled, in-focus campaign.</w:t>
      </w:r>
    </w:p>
    <w:p>
      <w:pPr>
        <w:pStyle w:val="Heading2"/>
      </w:pPr>
      <w:r>
        <w:rPr>
          <w:rFonts w:ascii="Calibri" w:cs="Calibri" w:eastAsia="Calibri" w:hAnsi="Calibri"/>
        </w:rPr>
        <w:t xml:space="preserve">P14 No envelope, so no push is ever “Funded” (P0)</w:t>
      </w:r>
    </w:p>
    <w:p>
      <w:pPr>
        <w:spacing w:after="100"/>
      </w:pPr>
      <w:r>
        <w:rPr>
          <w:rFonts w:ascii="Calibri" w:cs="Calibri" w:eastAsia="Calibri" w:hAnsi="Calibri"/>
        </w:rPr>
        <w:t xml:space="preserve">What we see. Neither engine run sets an envelope; the SCS4 outcome jumps spend $246 → $802 a day and the review cuts it to $577 by removing held moves. B6’s envelope ($619 a day) came from an operator ruling, not the engine.</w:t>
      </w:r>
    </w:p>
    <w:p>
      <w:pPr>
        <w:spacing w:after="100"/>
      </w:pPr>
      <w:r>
        <w:rPr>
          <w:rFonts w:ascii="Calibri" w:cs="Calibri" w:eastAsia="Calibri" w:hAnsi="Calibri"/>
        </w:rPr>
        <w:t xml:space="preserve">Why it matters. Logic doc §11: Funded — the envelope carries it, against the day’s headroom.</w:t>
      </w:r>
    </w:p>
    <w:p>
      <w:pPr>
        <w:spacing w:after="100"/>
      </w:pPr>
      <w:r>
        <w:rPr>
          <w:rFonts w:ascii="Calibri" w:cs="Calibri" w:eastAsia="Calibri" w:hAnsi="Calibri"/>
        </w:rPr>
        <w:t xml:space="preserve">The fix. Every run proposes an envelope (today’s in-focus spend + the cost of this write’s steps at the book’s response), states it against the product plan, and stops rows when it is spent.</w:t>
      </w:r>
    </w:p>
    <w:p>
      <w:pPr>
        <w:spacing w:after="100"/>
      </w:pPr>
      <w:r>
        <w:rPr>
          <w:rFonts w:ascii="Calibri" w:cs="Calibri" w:eastAsia="Calibri" w:hAnsi="Calibri"/>
        </w:rPr>
        <w:t xml:space="preserve">How we know it is fixed. Envelope and its daily burn are in the run header; rows beyond it are marked unfunded.</w:t>
      </w:r>
    </w:p>
    <w:p>
      <w:pPr>
        <w:pStyle w:val="Heading1"/>
      </w:pPr>
      <w:r>
        <w:rPr>
          <w:rFonts w:ascii="Calibri" w:cs="Calibri" w:eastAsia="Calibri" w:hAnsi="Calibri"/>
        </w:rPr>
        <w:t xml:space="preserve">6. Campaign state, structure and ownership</w:t>
      </w:r>
    </w:p>
    <w:p>
      <w:pPr>
        <w:pStyle w:val="Heading2"/>
      </w:pPr>
      <w:r>
        <w:rPr>
          <w:rFonts w:ascii="Calibri" w:cs="Calibri" w:eastAsia="Calibri" w:hAnsi="Calibri"/>
        </w:rPr>
        <w:t xml:space="preserve">T1 Writes on paused campaigns (P0)</w:t>
      </w:r>
    </w:p>
    <w:p>
      <w:pPr>
        <w:spacing w:after="100"/>
      </w:pPr>
      <w:r>
        <w:rPr>
          <w:rFonts w:ascii="Calibri" w:cs="Calibri" w:eastAsia="Calibri" w:hAnsi="Calibri"/>
        </w:rPr>
        <w:t xml:space="preserve">What we see. SCS4: 15 writes on paused campaigns (11 top-of-search raises, 2 budgets, 2 bids); the review held 14. They booked $152.89 a day, 44 orders and 351 top-of-search clicks a week into the outcome that cannot happen — about 28% of the spend delta. Across the reviews, 68 rows in seven of the eight runs (SSS4 8, DSFS 7, DSS4 12 and 2, DBS4 18, DBS6 6, SCS4 15); the stored reviews passed 49. The engine’s own check matches target names, not campaign status, which is why it misses them.</w:t>
      </w:r>
    </w:p>
    <w:p>
      <w:pPr>
        <w:spacing w:after="100"/>
      </w:pPr>
      <w:r>
        <w:rPr>
          <w:rFonts w:ascii="Calibri" w:cs="Calibri" w:eastAsia="Calibri" w:hAnsi="Calibri"/>
        </w:rPr>
        <w:t xml:space="preserve">Why it matters. A paused campaign cannot serve at any price.</w:t>
      </w:r>
    </w:p>
    <w:p>
      <w:pPr>
        <w:spacing w:after="100"/>
      </w:pPr>
      <w:r>
        <w:rPr>
          <w:rFonts w:ascii="Calibri" w:cs="Calibri" w:eastAsia="Calibri" w:hAnsi="Calibri"/>
        </w:rPr>
        <w:t xml:space="preserve">The fix. No price, bid or budget write on a paused campaign; the row becomes a re-enable-or-drop decision. Fix the check to read campaign status.</w:t>
      </w:r>
    </w:p>
    <w:p>
      <w:pPr>
        <w:spacing w:after="100"/>
      </w:pPr>
      <w:r>
        <w:rPr>
          <w:rFonts w:ascii="Calibri" w:cs="Calibri" w:eastAsia="Calibri" w:hAnsi="Calibri"/>
        </w:rPr>
        <w:t xml:space="preserve">How we know it is fixed. Zero writes on paused campaigns; outcome excludes them.</w:t>
      </w:r>
    </w:p>
    <w:p>
      <w:pPr>
        <w:pStyle w:val="Heading2"/>
      </w:pPr>
      <w:r>
        <w:rPr>
          <w:rFonts w:ascii="Calibri" w:cs="Calibri" w:eastAsia="Calibri" w:hAnsi="Calibri"/>
        </w:rPr>
        <w:t xml:space="preserve">T2 A paused campaign takes a plan term out of ranking without a decision (P0)</w:t>
      </w:r>
    </w:p>
    <w:p>
      <w:pPr>
        <w:spacing w:after="100"/>
      </w:pPr>
      <w:r>
        <w:rPr>
          <w:rFonts w:ascii="Calibri" w:cs="Calibri" w:eastAsia="Calibri" w:hAnsi="Calibri"/>
        </w:rPr>
        <w:t xml:space="preserve">What we see. SCS4: “cooling bed sheets” (307 clicks a week, SV 12,715) and “twin cooling sheets” (341 clicks, 26 orders in 90 days) have their only exact paused. B6: two in-focus campaigns whose only keyword was paused.</w:t>
      </w:r>
    </w:p>
    <w:p>
      <w:pPr>
        <w:spacing w:after="100"/>
      </w:pPr>
      <w:r>
        <w:rPr>
          <w:rFonts w:ascii="Calibri" w:cs="Calibri" w:eastAsia="Calibri" w:hAnsi="Calibri"/>
        </w:rPr>
        <w:t xml:space="preserve">Why it matters. DBS6 A.7: re-enable at the last serving values and price it, or take the term out of focus and say why.</w:t>
      </w:r>
    </w:p>
    <w:p>
      <w:pPr>
        <w:spacing w:after="100"/>
      </w:pPr>
      <w:r>
        <w:rPr>
          <w:rFonts w:ascii="Calibri" w:cs="Calibri" w:eastAsia="Calibri" w:hAnsi="Calibri"/>
        </w:rPr>
        <w:t xml:space="preserve">The fix. For every plan term, check that an enabled exact carries it; if not, write a decision row (re-enable with values, or out of focus with a reason).</w:t>
      </w:r>
    </w:p>
    <w:p>
      <w:pPr>
        <w:spacing w:after="100"/>
      </w:pPr>
      <w:r>
        <w:rPr>
          <w:rFonts w:ascii="Calibri" w:cs="Calibri" w:eastAsia="Calibri" w:hAnsi="Calibri"/>
        </w:rPr>
        <w:t xml:space="preserve">How we know it is fixed. No plan term without an enabled exact or a dated decision.</w:t>
      </w:r>
    </w:p>
    <w:p>
      <w:pPr>
        <w:pStyle w:val="Heading2"/>
      </w:pPr>
      <w:r>
        <w:rPr>
          <w:rFonts w:ascii="Calibri" w:cs="Calibri" w:eastAsia="Calibri" w:hAnsi="Calibri"/>
        </w:rPr>
        <w:t xml:space="preserve">T3 Duplicate builds instead of re-enabling campaigns with history (P1)</w:t>
      </w:r>
    </w:p>
    <w:p>
      <w:pPr>
        <w:spacing w:after="100"/>
      </w:pPr>
      <w:r>
        <w:rPr>
          <w:rFonts w:ascii="Calibri" w:cs="Calibri" w:eastAsia="Calibri" w:hAnsi="Calibri"/>
        </w:rPr>
        <w:t xml:space="preserve">What we see. SCS4 builds new exacts on “king sheets cooling”, “cooling king sheets”, “cooling sheets king size deep pocket” and “king sheets deep pocket cooling” and leaves the paused exacts (with their clicks, orders and tracker links) paused.</w:t>
      </w:r>
    </w:p>
    <w:p>
      <w:pPr>
        <w:spacing w:after="100"/>
      </w:pPr>
      <w:r>
        <w:rPr>
          <w:rFonts w:ascii="Calibri" w:cs="Calibri" w:eastAsia="Calibri" w:hAnsi="Calibri"/>
        </w:rPr>
        <w:t xml:space="preserve">Why it matters. A new campaign starts with no record; the old one carries the evidence the price should be built on.</w:t>
      </w:r>
    </w:p>
    <w:p>
      <w:pPr>
        <w:spacing w:after="100"/>
      </w:pPr>
      <w:r>
        <w:rPr>
          <w:rFonts w:ascii="Calibri" w:cs="Calibri" w:eastAsia="Calibri" w:hAnsi="Calibri"/>
        </w:rPr>
        <w:t xml:space="preserve">The fix. Where a paused exact carries the term, re-enable it instead of building.</w:t>
      </w:r>
    </w:p>
    <w:p>
      <w:pPr>
        <w:spacing w:after="100"/>
      </w:pPr>
      <w:r>
        <w:rPr>
          <w:rFonts w:ascii="Calibri" w:cs="Calibri" w:eastAsia="Calibri" w:hAnsi="Calibri"/>
        </w:rPr>
        <w:t xml:space="preserve">How we know it is fixed. No build duplicates a paused exact on the same term.</w:t>
      </w:r>
    </w:p>
    <w:p>
      <w:pPr>
        <w:pStyle w:val="Heading2"/>
      </w:pPr>
      <w:r>
        <w:rPr>
          <w:rFonts w:ascii="Calibri" w:cs="Calibri" w:eastAsia="Calibri" w:hAnsi="Calibri"/>
        </w:rPr>
        <w:t xml:space="preserve">T4 Rows parked for a person to “re-price or pause” (P0)</w:t>
      </w:r>
    </w:p>
    <w:p>
      <w:pPr>
        <w:spacing w:after="100"/>
      </w:pPr>
      <w:r>
        <w:rPr>
          <w:rFonts w:ascii="Calibri" w:cs="Calibri" w:eastAsia="Calibri" w:hAnsi="Calibri"/>
        </w:rPr>
        <w:t xml:space="preserve">What we see. SCS4: 29 STRUCTURE rows “NOT IN THE AUCTION — RE-PRICE … or pause”, 6 of them on campaigns already paused. B6 held rows “for review”. Across the reviews: 25 DSS6 rows, 28 SCS4 structure rows, 3 in SSS4 and 2 in DBS4; the stored reviews held some and passed identical others. In a code red the re-price branch is barred anyway.</w:t>
      </w:r>
    </w:p>
    <w:p>
      <w:pPr>
        <w:spacing w:after="100"/>
      </w:pPr>
      <w:r>
        <w:rPr>
          <w:rFonts w:ascii="Calibri" w:cs="Calibri" w:eastAsia="Calibri" w:hAnsi="Calibri"/>
        </w:rPr>
        <w:t xml:space="preserve">Why it matters. Logic doc §12: on, no clicks → hold the base, push the modifier; the re-price is the write.</w:t>
      </w:r>
    </w:p>
    <w:p>
      <w:pPr>
        <w:spacing w:after="100"/>
      </w:pPr>
      <w:r>
        <w:rPr>
          <w:rFonts w:ascii="Calibri" w:cs="Calibri" w:eastAsia="Calibri" w:hAnsi="Calibri"/>
        </w:rPr>
        <w:t xml:space="preserve">The fix. Price every enabled row by its rule in the same run; a STRUCTURE row is only for real structure (create, fold, remove).</w:t>
      </w:r>
    </w:p>
    <w:p>
      <w:pPr>
        <w:spacing w:after="100"/>
      </w:pPr>
      <w:r>
        <w:rPr>
          <w:rFonts w:ascii="Calibri" w:cs="Calibri" w:eastAsia="Calibri" w:hAnsi="Calibri"/>
        </w:rPr>
        <w:t xml:space="preserve">How we know it is fixed. Zero “re-price or pause” rows.</w:t>
      </w:r>
    </w:p>
    <w:p>
      <w:pPr>
        <w:pStyle w:val="Heading2"/>
      </w:pPr>
      <w:r>
        <w:rPr>
          <w:rFonts w:ascii="Calibri" w:cs="Calibri" w:eastAsia="Calibri" w:hAnsi="Calibri"/>
        </w:rPr>
        <w:t xml:space="preserve">T5 Rows are priced in the same run they are re-tagged (P2)</w:t>
      </w:r>
    </w:p>
    <w:p>
      <w:pPr>
        <w:spacing w:after="100"/>
      </w:pPr>
      <w:r>
        <w:rPr>
          <w:rFonts w:ascii="Calibri" w:cs="Calibri" w:eastAsia="Calibri" w:hAnsi="Calibri"/>
        </w:rPr>
        <w:t xml:space="preserve">What we see. SCS4: 14 bid and top-of-search moves on re-tagged campaigns whose own READ line says “the sweep prices nothing on it; the lane decides it on the next run”.</w:t>
      </w:r>
    </w:p>
    <w:p>
      <w:pPr>
        <w:spacing w:after="100"/>
      </w:pPr>
      <w:r>
        <w:rPr>
          <w:rFonts w:ascii="Calibri" w:cs="Calibri" w:eastAsia="Calibri" w:hAnsi="Calibri"/>
        </w:rPr>
        <w:t xml:space="preserve">Why it matters. The objective is the lens the next run reads the campaign under.</w:t>
      </w:r>
    </w:p>
    <w:p>
      <w:pPr>
        <w:spacing w:after="100"/>
      </w:pPr>
      <w:r>
        <w:rPr>
          <w:rFonts w:ascii="Calibri" w:cs="Calibri" w:eastAsia="Calibri" w:hAnsi="Calibri"/>
        </w:rPr>
        <w:t xml:space="preserve">The fix. A retag row carries no price move; the lane prices the campaign next run.</w:t>
      </w:r>
    </w:p>
    <w:p>
      <w:pPr>
        <w:spacing w:after="100"/>
      </w:pPr>
      <w:r>
        <w:rPr>
          <w:rFonts w:ascii="Calibri" w:cs="Calibri" w:eastAsia="Calibri" w:hAnsi="Calibri"/>
        </w:rPr>
        <w:t xml:space="preserve">How we know it is fixed. No tos/bid row on a campaign re-tagged in the same run.</w:t>
      </w:r>
    </w:p>
    <w:p>
      <w:pPr>
        <w:pStyle w:val="Heading2"/>
      </w:pPr>
      <w:r>
        <w:rPr>
          <w:rFonts w:ascii="Calibri" w:cs="Calibri" w:eastAsia="Calibri" w:hAnsi="Calibri"/>
        </w:rPr>
        <w:t xml:space="preserve">T6 Sibling listings bid the same terms unknowingly (P1)</w:t>
      </w:r>
    </w:p>
    <w:p>
      <w:pPr>
        <w:spacing w:after="100"/>
      </w:pPr>
      <w:r>
        <w:rPr>
          <w:rFonts w:ascii="Calibri" w:cs="Calibri" w:eastAsia="Calibri" w:hAnsi="Calibri"/>
        </w:rPr>
        <w:t xml:space="preserve">What we see. B6: the 4-piece bids 1,242 of B6’s search terms (87% of B6’s keyword spend). SCS4: 6 terms declined for “ownership” — 5 owned by sibling products, 1 by SCS4’s own campaign misread as a sibling. Across the reviews it is a family problem: SSS4, DSFS, DSS4 and DSS6 all price the sheet-set roots. DSS4 ranks 5–7 on them, DSS6 38–68, DSFS around 50; DSFS spent $9,022 of its $14,038 ranking spend on sheet-set terms at 66% ACoS though it sells a fitted sheet. Each run trims 10% and stays in the auction against its sibling. This is the largest saving across the satin runs.</w:t>
      </w:r>
    </w:p>
    <w:p>
      <w:pPr>
        <w:spacing w:after="100"/>
      </w:pPr>
      <w:r>
        <w:rPr>
          <w:rFonts w:ascii="Calibri" w:cs="Calibri" w:eastAsia="Calibri" w:hAnsi="Calibri"/>
        </w:rPr>
        <w:t xml:space="preserve">Why it matters. Two listings in one auction inflate each other’s CPC and split the read.</w:t>
      </w:r>
    </w:p>
    <w:p>
      <w:pPr>
        <w:spacing w:after="100"/>
      </w:pPr>
      <w:r>
        <w:rPr>
          <w:rFonts w:ascii="Calibri" w:cs="Calibri" w:eastAsia="Calibri" w:hAnsi="Calibri"/>
        </w:rPr>
        <w:t xml:space="preserve">The fix. Before writing a bid, check whether another brand ASIN bids the keyword; carry one owner per shared term in the plan; never treat the product’s own campaign as a sibling. Before any run prices a shared root it looks up the family owner (SOP-33: margin × root CVR × depth); non-owners hold it at defend-at-floor or wall it.</w:t>
      </w:r>
    </w:p>
    <w:p>
      <w:pPr>
        <w:spacing w:after="100"/>
      </w:pPr>
      <w:r>
        <w:rPr>
          <w:rFonts w:ascii="Calibri" w:cs="Calibri" w:eastAsia="Calibri" w:hAnsi="Calibri"/>
        </w:rPr>
        <w:t xml:space="preserve">How we know it is fixed. Shared-term report in every run; owner column populated.</w:t>
      </w:r>
    </w:p>
    <w:p>
      <w:pPr>
        <w:pStyle w:val="Heading2"/>
      </w:pPr>
      <w:r>
        <w:rPr>
          <w:rFonts w:ascii="Calibri" w:cs="Calibri" w:eastAsia="Calibri" w:hAnsi="Calibri"/>
        </w:rPr>
        <w:t xml:space="preserve">T7 Non-SP builds have no path (P1)</w:t>
      </w:r>
    </w:p>
    <w:p>
      <w:pPr>
        <w:spacing w:after="100"/>
      </w:pPr>
      <w:r>
        <w:rPr>
          <w:rFonts w:ascii="Calibri" w:cs="Calibri" w:eastAsia="Calibri" w:hAnsi="Calibri"/>
        </w:rPr>
        <w:t xml:space="preserve">What we see. B6: 4 builds the loader cannot write (SB, SBV, SD, PAT) marked PAUSED for a person. SCS4: 7 brand-format builds with the creative gate UNCHECKED, flagged by two reviews in a row.</w:t>
      </w:r>
    </w:p>
    <w:p>
      <w:pPr>
        <w:spacing w:after="100"/>
      </w:pPr>
      <w:r>
        <w:rPr>
          <w:rFonts w:ascii="Calibri" w:cs="Calibri" w:eastAsia="Calibri" w:hAnsi="Calibri"/>
        </w:rPr>
        <w:t xml:space="preserve">Why it matters. A build nobody owns does not happen.</w:t>
      </w:r>
    </w:p>
    <w:p>
      <w:pPr>
        <w:spacing w:after="100"/>
      </w:pPr>
      <w:r>
        <w:rPr>
          <w:rFonts w:ascii="Calibri" w:cs="Calibri" w:eastAsia="Calibri" w:hAnsi="Calibri"/>
        </w:rPr>
        <w:t xml:space="preserve">The fix. Every non-SP build creates a task with an owner, a due date and the creative it needs; its budget is sized to a readable click count.</w:t>
      </w:r>
    </w:p>
    <w:p>
      <w:pPr>
        <w:spacing w:after="100"/>
      </w:pPr>
      <w:r>
        <w:rPr>
          <w:rFonts w:ascii="Calibri" w:cs="Calibri" w:eastAsia="Calibri" w:hAnsi="Calibri"/>
        </w:rPr>
        <w:t xml:space="preserve">How we know it is fixed. Each non-SP build has an owner and a date; builds carried unbuilt across two runs are escalated.</w:t>
      </w:r>
    </w:p>
    <w:p>
      <w:pPr>
        <w:pStyle w:val="Heading2"/>
      </w:pPr>
      <w:r>
        <w:rPr>
          <w:rFonts w:ascii="Calibri" w:cs="Calibri" w:eastAsia="Calibri" w:hAnsi="Calibri"/>
        </w:rPr>
        <w:t xml:space="preserve">T8 Rules that cancel each other (P0)</w:t>
      </w:r>
    </w:p>
    <w:p>
      <w:pPr>
        <w:spacing w:after="100"/>
      </w:pPr>
      <w:r>
        <w:rPr>
          <w:rFonts w:ascii="Calibri" w:cs="Calibri" w:eastAsia="Calibri" w:hAnsi="Calibri"/>
        </w:rPr>
        <w:t xml:space="preserve">What we see. On five DSS4 terms the campaign fold pauses one copy as the duplicate while the target contest pauses the term in the other copy; both ship and the term has no live instance (“silk sheets full size” would lose a campaign with 15 orders in 14 days). SSS4 folds the live campaign into one that spent $0 in 14 days. DSS6 folds King broads into a survivor on a child with 0 units.</w:t>
      </w:r>
    </w:p>
    <w:p>
      <w:pPr>
        <w:spacing w:after="100"/>
      </w:pPr>
      <w:r>
        <w:rPr>
          <w:rFonts w:ascii="Calibri" w:cs="Calibri" w:eastAsia="Calibri" w:hAnsi="Calibri"/>
        </w:rPr>
        <w:t xml:space="preserve">Why it matters. Each rule is right alone; together they switch off a selling term.</w:t>
      </w:r>
    </w:p>
    <w:p>
      <w:pPr>
        <w:spacing w:after="100"/>
      </w:pPr>
      <w:r>
        <w:rPr>
          <w:rFonts w:ascii="Calibri" w:cs="Calibri" w:eastAsia="Calibri" w:hAnsi="Calibri"/>
        </w:rPr>
        <w:t xml:space="preserve">The fix. Resolve every row that touches one term together, under one invariant: at least one live, serving instance remains. Choose the survivor on the last 14 days’ orders and whether it serves, not on 90-day totals.</w:t>
      </w:r>
    </w:p>
    <w:p>
      <w:pPr>
        <w:spacing w:after="100"/>
      </w:pPr>
      <w:r>
        <w:rPr>
          <w:rFonts w:ascii="Calibri" w:cs="Calibri" w:eastAsia="Calibri" w:hAnsi="Calibri"/>
        </w:rPr>
        <w:t xml:space="preserve">How we know it is fixed. No term loses its last live instance in a run.</w:t>
      </w:r>
    </w:p>
    <w:p>
      <w:pPr>
        <w:pStyle w:val="Heading2"/>
      </w:pPr>
      <w:r>
        <w:rPr>
          <w:rFonts w:ascii="Calibri" w:cs="Calibri" w:eastAsia="Calibri" w:hAnsi="Calibri"/>
        </w:rPr>
        <w:t xml:space="preserve">T9 Blanket sweep cuts with no target read (P2)</w:t>
      </w:r>
    </w:p>
    <w:p>
      <w:pPr>
        <w:spacing w:after="100"/>
      </w:pPr>
      <w:r>
        <w:rPr>
          <w:rFonts w:ascii="Calibri" w:cs="Calibri" w:eastAsia="Calibri" w:hAnsi="Calibri"/>
        </w:rPr>
        <w:t xml:space="preserve">What we see. SSS4 cuts every target bid 10% in four discovery campaigns (64 in one, 180 rows in all). None of the targets carries a state or a read, and each prediction is the tautology “realised CPC falls”.</w:t>
      </w:r>
    </w:p>
    <w:p>
      <w:pPr>
        <w:spacing w:after="100"/>
      </w:pPr>
      <w:r>
        <w:rPr>
          <w:rFonts w:ascii="Calibri" w:cs="Calibri" w:eastAsia="Calibri" w:hAnsi="Calibri"/>
        </w:rPr>
        <w:t xml:space="preserve">Why it matters. Discovery is graded on cost per discovered converter (SOP-14). A flat cut punishes the targets that find buyers with those that waste.</w:t>
      </w:r>
    </w:p>
    <w:p>
      <w:pPr>
        <w:spacing w:after="100"/>
      </w:pPr>
      <w:r>
        <w:rPr>
          <w:rFonts w:ascii="Calibri" w:cs="Calibri" w:eastAsia="Calibri" w:hAnsi="Calibri"/>
        </w:rPr>
        <w:t xml:space="preserve">The fix. Read each served term: negate the worst, cut the bids that carry the waste, and predict on cost per discovered converter.</w:t>
      </w:r>
    </w:p>
    <w:p>
      <w:pPr>
        <w:spacing w:after="100"/>
      </w:pPr>
      <w:r>
        <w:rPr>
          <w:rFonts w:ascii="Calibri" w:cs="Calibri" w:eastAsia="Calibri" w:hAnsi="Calibri"/>
        </w:rPr>
        <w:t xml:space="preserve">How we know it is fixed. Discovery rows name the terms and targets they act on and their read.</w:t>
      </w:r>
    </w:p>
    <w:p>
      <w:pPr>
        <w:pStyle w:val="Heading2"/>
      </w:pPr>
      <w:r>
        <w:rPr>
          <w:rFonts w:ascii="Calibri" w:cs="Calibri" w:eastAsia="Calibri" w:hAnsi="Calibri"/>
        </w:rPr>
        <w:t xml:space="preserve">T10 Liquidation handled by the wrong rule (P2)</w:t>
      </w:r>
    </w:p>
    <w:p>
      <w:pPr>
        <w:spacing w:after="100"/>
      </w:pPr>
      <w:r>
        <w:rPr>
          <w:rFonts w:ascii="Calibri" w:cs="Calibri" w:eastAsia="Calibri" w:hAnsi="Calibri"/>
        </w:rPr>
        <w:t xml:space="preserve">What we see. SSS4 pauses nine LTSF campaigns as “the duplicate instance”. SSS4, DSFS, DSS6 and DBS4 add steering walls to LTSF campaigns without checking for LTSF-tagged units. The DBS4 run walls a DBS6 liquidation campaign.</w:t>
      </w:r>
    </w:p>
    <w:p>
      <w:pPr>
        <w:spacing w:after="100"/>
      </w:pPr>
      <w:r>
        <w:rPr>
          <w:rFonts w:ascii="Calibri" w:cs="Calibri" w:eastAsia="Calibri" w:hAnsi="Calibri"/>
        </w:rPr>
        <w:t xml:space="preserve">Why it matters. An LTSF closure needs its closure record and owner (SOP-27 P14); walls on a liquidation campaign move its traffic away from units that must sell; a run should write only on its own product.</w:t>
      </w:r>
    </w:p>
    <w:p>
      <w:pPr>
        <w:spacing w:after="100"/>
      </w:pPr>
      <w:r>
        <w:rPr>
          <w:rFonts w:ascii="Calibri" w:cs="Calibri" w:eastAsia="Calibri" w:hAnsi="Calibri"/>
        </w:rPr>
        <w:t xml:space="preserve">The fix. LTSF campaigns are handled only by LTSF rules and routed to the LTSF owner. A run writes only on campaigns that advertise its product.</w:t>
      </w:r>
    </w:p>
    <w:p>
      <w:pPr>
        <w:spacing w:after="100"/>
      </w:pPr>
      <w:r>
        <w:rPr>
          <w:rFonts w:ascii="Calibri" w:cs="Calibri" w:eastAsia="Calibri" w:hAnsi="Calibri"/>
        </w:rPr>
        <w:t xml:space="preserve">How we know it is fixed. No LTSF row without the owner’s record; no row on another product’s campaign.</w:t>
      </w:r>
    </w:p>
    <w:p>
      <w:pPr>
        <w:pStyle w:val="Heading1"/>
      </w:pPr>
      <w:r>
        <w:rPr>
          <w:rFonts w:ascii="Calibri" w:cs="Calibri" w:eastAsia="Calibri" w:hAnsi="Calibri"/>
        </w:rPr>
        <w:t xml:space="preserve">7. Export, predictions, grading and review</w:t>
      </w:r>
    </w:p>
    <w:p>
      <w:pPr>
        <w:pStyle w:val="Heading2"/>
      </w:pPr>
      <w:r>
        <w:rPr>
          <w:rFonts w:ascii="Calibri" w:cs="Calibri" w:eastAsia="Calibri" w:hAnsi="Calibri"/>
        </w:rPr>
        <w:t xml:space="preserve">E1 Withheld rows export as changes (P0)</w:t>
      </w:r>
    </w:p>
    <w:p>
      <w:pPr>
        <w:spacing w:after="100"/>
      </w:pPr>
      <w:r>
        <w:rPr>
          <w:rFonts w:ascii="Calibri" w:cs="Calibri" w:eastAsia="Calibri" w:hAnsi="Calibri"/>
        </w:rPr>
        <w:t xml:space="preserve">What we see. B6: 12 rows say “change → HOLD” in their own text and export as changes. SCS4: 15 more (seq 59, 64, 325, 341, 372, 387, 407, 453, 513, 518, 698, 713, 728, 733, 743) — all passed by the review. Across the reviews, 64 cut rows in six runs claim rank IMPROVES while their own mechanism predicts fewer clicks (SCS4 27, DSS6 10, SSS4 9, DSS4 9, DBS6 8, DBS4 1). Six SSS4 rows say the top-of-search price “CLIMBS” or “HOLDS to the cent” while the written values cut it 29–33%. In DSFS and DSS4 the base half of a pair ships while the modifier half is held, so the price falls when the text says it holds.</w:t>
      </w:r>
    </w:p>
    <w:p>
      <w:pPr>
        <w:spacing w:after="100"/>
      </w:pPr>
      <w:r>
        <w:rPr>
          <w:rFonts w:ascii="Calibri" w:cs="Calibri" w:eastAsia="Calibri" w:hAnsi="Calibri"/>
        </w:rPr>
        <w:t xml:space="preserve">Why it matters. The gate’s verdict is the decision.</w:t>
      </w:r>
    </w:p>
    <w:p>
      <w:pPr>
        <w:spacing w:after="100"/>
      </w:pPr>
      <w:r>
        <w:rPr>
          <w:rFonts w:ascii="Calibri" w:cs="Calibri" w:eastAsia="Calibri" w:hAnsi="Calibri"/>
        </w:rPr>
        <w:t xml:space="preserve">The fix. Carry the gate’s verdict into the export; a row whose rationale says HOLD cannot have verdict “change”. A cut claims nothing about rank; a base-and-modifier pair ships or holds whole; the price is recomputed from the written values and any row whose text differs is refused.</w:t>
      </w:r>
    </w:p>
    <w:p>
      <w:pPr>
        <w:spacing w:after="100"/>
      </w:pPr>
      <w:r>
        <w:rPr>
          <w:rFonts w:ascii="Calibri" w:cs="Calibri" w:eastAsia="Calibri" w:hAnsi="Calibri"/>
        </w:rPr>
        <w:t xml:space="preserve">How we know it is fixed. Code check: text/verdict agreement on every row.</w:t>
      </w:r>
    </w:p>
    <w:p>
      <w:pPr>
        <w:pStyle w:val="Heading2"/>
      </w:pPr>
      <w:r>
        <w:rPr>
          <w:rFonts w:ascii="Calibri" w:cs="Calibri" w:eastAsia="Calibri" w:hAnsi="Calibri"/>
        </w:rPr>
        <w:t xml:space="preserve">E2 No-op, duplicate and overtaken rows (P1)</w:t>
      </w:r>
    </w:p>
    <w:p>
      <w:pPr>
        <w:spacing w:after="100"/>
      </w:pPr>
      <w:r>
        <w:rPr>
          <w:rFonts w:ascii="Calibri" w:cs="Calibri" w:eastAsia="Calibri" w:hAnsi="Calibri"/>
        </w:rPr>
        <w:t xml:space="preserve">What we see. B6: 3 no-op rows (pause what is paused, write today’s value) and 1 duplicate keyword write; 2 overtaken by live changes.</w:t>
      </w:r>
    </w:p>
    <w:p>
      <w:pPr>
        <w:spacing w:after="100"/>
      </w:pPr>
      <w:r>
        <w:rPr>
          <w:rFonts w:ascii="Calibri" w:cs="Calibri" w:eastAsia="Calibri" w:hAnsi="Calibri"/>
        </w:rPr>
        <w:t xml:space="preserve">Why it matters. A no-op row costs a review and hides real changes.</w:t>
      </w:r>
    </w:p>
    <w:p>
      <w:pPr>
        <w:spacing w:after="100"/>
      </w:pPr>
      <w:r>
        <w:rPr>
          <w:rFonts w:ascii="Calibri" w:cs="Calibri" w:eastAsia="Calibri" w:hAnsi="Calibri"/>
        </w:rPr>
        <w:t xml:space="preserve">The fix. Drop no-ops and duplicates at export; re-solve overtaken rows (I8).</w:t>
      </w:r>
    </w:p>
    <w:p>
      <w:pPr>
        <w:spacing w:after="100"/>
      </w:pPr>
      <w:r>
        <w:rPr>
          <w:rFonts w:ascii="Calibri" w:cs="Calibri" w:eastAsia="Calibri" w:hAnsi="Calibri"/>
        </w:rPr>
        <w:t xml:space="preserve">How we know it is fixed. Zero rows where suggested = live value.</w:t>
      </w:r>
    </w:p>
    <w:p>
      <w:pPr>
        <w:pStyle w:val="Heading2"/>
      </w:pPr>
      <w:r>
        <w:rPr>
          <w:rFonts w:ascii="Calibri" w:cs="Calibri" w:eastAsia="Calibri" w:hAnsi="Calibri"/>
        </w:rPr>
        <w:t xml:space="preserve">E3 The outcome is booked on moves that cannot happen (P0)</w:t>
      </w:r>
    </w:p>
    <w:p>
      <w:pPr>
        <w:spacing w:after="100"/>
      </w:pPr>
      <w:r>
        <w:rPr>
          <w:rFonts w:ascii="Calibri" w:cs="Calibri" w:eastAsia="Calibri" w:hAnsi="Calibri"/>
        </w:rPr>
        <w:t xml:space="preserve">What we see. SCS4: the outcome counts the paused-campaign raises and the full plan requirement as delivered clicks (top-of-search clicks 42.6 → 1,250.6 a week). Across the reviews, in every maintenance run the whole gain came from new campaigns assumed to take 15 top-of-search clicks and about 2 orders a week from day one; removing those and the paused bookings turns each into a cut (table below). Non-SP builds are unpriced (DSS4 $46.88 a day); swaps are never priced.</w:t>
      </w:r>
    </w:p>
    <w:p>
      <w:pPr>
        <w:spacing w:after="100"/>
      </w:pPr>
      <w:r>
        <w:rPr>
          <w:rFonts w:ascii="Calibri" w:cs="Calibri" w:eastAsia="Calibri" w:hAnsi="Calibri"/>
        </w:rPr>
        <w:t xml:space="preserve">Why it matters. The outcome is what the run’s writes can buy.</w:t>
      </w:r>
    </w:p>
    <w:p>
      <w:pPr>
        <w:spacing w:after="100"/>
      </w:pPr>
      <w:r>
        <w:rPr>
          <w:rFonts w:ascii="Calibri" w:cs="Calibri" w:eastAsia="Calibri" w:hAnsi="Calibri"/>
        </w:rPr>
        <w:t xml:space="preserve">The fix. Book the outcome from the book’s response to each step on enabled campaigns only; show the requirement separately. Price new campaigns from the account’s launch history, not a fixed 15 clicks; list swaps and non-SP builds as “not priced” with the spend at risk.</w:t>
      </w:r>
    </w:p>
    <w:p>
      <w:pPr>
        <w:spacing w:after="100"/>
      </w:pPr>
      <w:r>
        <w:rPr>
          <w:rFonts w:ascii="Calibri" w:cs="Calibri" w:eastAsia="Calibri" w:hAnsi="Calibri"/>
        </w:rPr>
        <w:t xml:space="preserve">How we know it is fixed. Outcome delta reconciles to the sum of enabled-row predictions.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300"/>
        <w:gridCol w:w="3000"/>
        <w:gridCol w:w="2600"/>
        <w:gridCol w:w="3072"/>
      </w:tblGrid>
      <w:tr>
        <w:trPr>
          <w:cantSplit/>
          <w:tblHeader/>
        </w:trPr>
        <w:tc>
          <w:tcPr>
            <w:tcW w:type="dxa" w:w="1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Run</w:t>
            </w:r>
          </w:p>
        </w:tc>
        <w:tc>
          <w:tcPr>
            <w:tcW w:type="dxa" w:w="3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Engine: spend a day, TOS clicks and orders a week</w:t>
            </w:r>
          </w:p>
        </w:tc>
        <w:tc>
          <w:tcPr>
            <w:tcW w:type="dxa" w:w="26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After our holds</w:t>
            </w:r>
          </w:p>
        </w:tc>
        <w:tc>
          <w:tcPr>
            <w:tcW w:type="dxa" w:w="30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Where the gain came from</w:t>
            </w:r>
          </w:p>
        </w:tc>
      </w:tr>
      <w:tr>
        <w:trPr>
          <w:cantSplit/>
          <w:tblHeader w:val="false"/>
        </w:trPr>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SSS4</w:t>
            </w:r>
          </w:p>
        </w:tc>
        <w:tc>
          <w:tcPr>
            <w:tcW w:type="dxa" w:w="3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−$3.62; +89.8 clicks, +17.4 orders</w:t>
            </w:r>
          </w:p>
        </w:tc>
        <w:tc>
          <w:tcPr>
            <w:tcW w:type="dxa" w:w="2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−$29.87; −22 clicks, −3.9 orders</w:t>
            </w:r>
          </w:p>
        </w:tc>
        <w:tc>
          <w:tcPr>
            <w:tcW w:type="dxa" w:w="30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Nine new campaigns at 15 clicks a week from day one</w:t>
            </w:r>
          </w:p>
        </w:tc>
      </w:tr>
      <w:tr>
        <w:trPr>
          <w:cantSplit/>
          <w:tblHeader w:val="false"/>
        </w:trPr>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DSFS</w:t>
            </w:r>
          </w:p>
        </w:tc>
        <w:tc>
          <w:tcPr>
            <w:tcW w:type="dxa" w:w="3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+$19.59; +60, +13.6</w:t>
            </w:r>
          </w:p>
        </w:tc>
        <w:tc>
          <w:tcPr>
            <w:tcW w:type="dxa" w:w="2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−$0.55</w:t>
            </w:r>
          </w:p>
        </w:tc>
        <w:tc>
          <w:tcPr>
            <w:tcW w:type="dxa" w:w="30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Five builds</w:t>
            </w:r>
          </w:p>
        </w:tc>
      </w:tr>
      <w:tr>
        <w:trPr>
          <w:cantSplit/>
          <w:tblHeader w:val="false"/>
        </w:trPr>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DSS4 22 Sep</w:t>
            </w:r>
          </w:p>
        </w:tc>
        <w:tc>
          <w:tcPr>
            <w:tcW w:type="dxa" w:w="3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−$13.84; +96, +17.5</w:t>
            </w:r>
          </w:p>
        </w:tc>
        <w:tc>
          <w:tcPr>
            <w:tcW w:type="dxa" w:w="2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−$77.31; −141, −29.5</w:t>
            </w:r>
          </w:p>
        </w:tc>
        <w:tc>
          <w:tcPr>
            <w:tcW w:type="dxa" w:w="30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Creates and one raise</w:t>
            </w:r>
          </w:p>
        </w:tc>
      </w:tr>
      <w:tr>
        <w:trPr>
          <w:cantSplit/>
          <w:tblHeader w:val="false"/>
        </w:trPr>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DSS4 24 Sep</w:t>
            </w:r>
          </w:p>
        </w:tc>
        <w:tc>
          <w:tcPr>
            <w:tcW w:type="dxa" w:w="3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+$13.34; +174, +32.8</w:t>
            </w:r>
          </w:p>
        </w:tc>
        <w:tc>
          <w:tcPr>
            <w:tcW w:type="dxa" w:w="2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−$57.40; −55, −13.9</w:t>
            </w:r>
          </w:p>
        </w:tc>
        <w:tc>
          <w:tcPr>
            <w:tcW w:type="dxa" w:w="30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14 new campaigns</w:t>
            </w:r>
          </w:p>
        </w:tc>
      </w:tr>
      <w:tr>
        <w:trPr>
          <w:cantSplit/>
          <w:tblHeader w:val="false"/>
        </w:trPr>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DSS6</w:t>
            </w:r>
          </w:p>
        </w:tc>
        <w:tc>
          <w:tcPr>
            <w:tcW w:type="dxa" w:w="3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+$57.45; +153, +19.1</w:t>
            </w:r>
          </w:p>
        </w:tc>
        <w:tc>
          <w:tcPr>
            <w:tcW w:type="dxa" w:w="2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−$3.82; −13, −1.8</w:t>
            </w:r>
          </w:p>
        </w:tc>
        <w:tc>
          <w:tcPr>
            <w:tcW w:type="dxa" w:w="30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 new campaigns at 1.89 orders a week each</w:t>
            </w:r>
          </w:p>
        </w:tc>
      </w:tr>
      <w:tr>
        <w:trPr>
          <w:cantSplit/>
          <w:tblHeader w:val="false"/>
        </w:trPr>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DBS4</w:t>
            </w:r>
          </w:p>
        </w:tc>
        <w:tc>
          <w:tcPr>
            <w:tcW w:type="dxa" w:w="3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+$287.22; +298, +39.8</w:t>
            </w:r>
          </w:p>
        </w:tc>
        <w:tc>
          <w:tcPr>
            <w:tcW w:type="dxa" w:w="2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+$194.40; +270, +37.5</w:t>
            </w:r>
          </w:p>
        </w:tc>
        <w:tc>
          <w:tcPr>
            <w:tcW w:type="dxa" w:w="30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Raises on thin reads, paused writes</w:t>
            </w:r>
          </w:p>
        </w:tc>
      </w:tr>
      <w:tr>
        <w:trPr>
          <w:cantSplit/>
          <w:tblHeader w:val="false"/>
        </w:trPr>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DBS6</w:t>
            </w:r>
          </w:p>
        </w:tc>
        <w:tc>
          <w:tcPr>
            <w:tcW w:type="dxa" w:w="3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+$731.95; +768, +166.3</w:t>
            </w:r>
          </w:p>
        </w:tc>
        <w:tc>
          <w:tcPr>
            <w:tcW w:type="dxa" w:w="2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+$581.81; +676, +148.1</w:t>
            </w:r>
          </w:p>
        </w:tc>
        <w:tc>
          <w:tcPr>
            <w:tcW w:type="dxa" w:w="30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The push; rank claims hit 6.1% of the time</w:t>
            </w:r>
          </w:p>
        </w:tc>
      </w:tr>
      <w:tr>
        <w:trPr>
          <w:cantSplit/>
          <w:tblHeader w:val="false"/>
        </w:trPr>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SCS4</w:t>
            </w:r>
          </w:p>
        </w:tc>
        <w:tc>
          <w:tcPr>
            <w:tcW w:type="dxa" w:w="3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+$555.62; +1,208, +157.5</w:t>
            </w:r>
          </w:p>
        </w:tc>
        <w:tc>
          <w:tcPr>
            <w:tcW w:type="dxa" w:w="2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+$337.06; +743, +100.0</w:t>
            </w:r>
          </w:p>
        </w:tc>
        <w:tc>
          <w:tcPr>
            <w:tcW w:type="dxa" w:w="30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Paused-campaign raises ($152.89 a day), Twin builds</w:t>
            </w:r>
          </w:p>
        </w:tc>
      </w:tr>
    </w:tbl>
    <w:p>
      <w:pPr>
        <w:spacing w:after="80"/>
      </w:pPr>
    </w:p>
    <w:p>
      <w:pPr>
        <w:spacing w:after="120"/>
      </w:pPr>
      <w:r>
        <w:rPr>
          <w:rFonts w:ascii="Calibri" w:cs="Calibri" w:eastAsia="Calibri" w:hAnsi="Calibri"/>
          <w:i/>
          <w:iCs/>
          <w:color w:val="555555"/>
          <w:sz w:val="17"/>
          <w:szCs w:val="17"/>
        </w:rPr>
        <w:t xml:space="preserve">Source: each run’s outcome parts and the per-row verdicts in the review workbooks.</w:t>
      </w:r>
    </w:p>
    <w:p>
      <w:pPr>
        <w:pStyle w:val="Heading2"/>
      </w:pPr>
      <w:r>
        <w:rPr>
          <w:rFonts w:ascii="Calibri" w:cs="Calibri" w:eastAsia="Calibri" w:hAnsi="Calibri"/>
        </w:rPr>
        <w:t xml:space="preserve">E4 Predictions come from the plan, not the step (P0)</w:t>
      </w:r>
    </w:p>
    <w:p>
      <w:pPr>
        <w:spacing w:after="100"/>
      </w:pPr>
      <w:r>
        <w:rPr>
          <w:rFonts w:ascii="Calibri" w:cs="Calibri" w:eastAsia="Calibri" w:hAnsi="Calibri"/>
        </w:rPr>
        <w:t xml:space="preserve">What we see. SCS4 rows claim ×24 to ×82 clicks on +14–30% steps; the engine’s own “claim against the book” note says they will likely grade as misses. B6 hit rate 6.1%.</w:t>
      </w:r>
    </w:p>
    <w:p>
      <w:pPr>
        <w:spacing w:after="100"/>
      </w:pPr>
      <w:r>
        <w:rPr>
          <w:rFonts w:ascii="Calibri" w:cs="Calibri" w:eastAsia="Calibri" w:hAnsi="Calibri"/>
        </w:rPr>
        <w:t xml:space="preserve">Why it matters. Logic doc §11: Predicted — a written expectation the step can deliver, checked at a dated checkpoint.</w:t>
      </w:r>
    </w:p>
    <w:p>
      <w:pPr>
        <w:spacing w:after="100"/>
      </w:pPr>
      <w:r>
        <w:rPr>
          <w:rFonts w:ascii="Calibri" w:cs="Calibri" w:eastAsia="Calibri" w:hAnsi="Calibri"/>
        </w:rPr>
        <w:t xml:space="preserve">The fix. Predict from the response book for the step size (and the campaign’s own last read); keep the plan’s number as the destination.</w:t>
      </w:r>
    </w:p>
    <w:p>
      <w:pPr>
        <w:spacing w:after="100"/>
      </w:pPr>
      <w:r>
        <w:rPr>
          <w:rFonts w:ascii="Calibri" w:cs="Calibri" w:eastAsia="Calibri" w:hAnsi="Calibri"/>
        </w:rPr>
        <w:t xml:space="preserve">How we know it is fixed. Hit rate per run; predictions inside the book’s interval.</w:t>
      </w:r>
    </w:p>
    <w:p>
      <w:pPr>
        <w:pStyle w:val="Heading2"/>
      </w:pPr>
      <w:r>
        <w:rPr>
          <w:rFonts w:ascii="Calibri" w:cs="Calibri" w:eastAsia="Calibri" w:hAnsi="Calibri"/>
        </w:rPr>
        <w:t xml:space="preserve">E5 The last change is not graded before the next (P0)</w:t>
      </w:r>
    </w:p>
    <w:p>
      <w:pPr>
        <w:spacing w:after="100"/>
      </w:pPr>
      <w:r>
        <w:rPr>
          <w:rFonts w:ascii="Calibri" w:cs="Calibri" w:eastAsia="Calibri" w:hAnsi="Calibri"/>
        </w:rPr>
        <w:t xml:space="preserve">What we see. B6: 720 decisions since 7 September, none scored; the 11 September round cut ranking spend in half and top-of-search clicks by a quarter and was never graded as a rank loss. SCS4: 0 graded in 90 days, 0 tuner records. None of the eight reviewed runs cites the grade of the last change on its lever; builds and freezes held last run come back unchanged.</w:t>
      </w:r>
    </w:p>
    <w:p>
      <w:pPr>
        <w:spacing w:after="100"/>
      </w:pPr>
      <w:r>
        <w:rPr>
          <w:rFonts w:ascii="Calibri" w:cs="Calibri" w:eastAsia="Calibri" w:hAnsi="Calibri"/>
        </w:rPr>
        <w:t xml:space="preserve">Why it matters. Logic doc §15: read at the cycle, against the prediction each write carried; DBS6 C.1: a write whose predecessor went the wrong way is not repeated.</w:t>
      </w:r>
    </w:p>
    <w:p>
      <w:pPr>
        <w:spacing w:after="100"/>
      </w:pPr>
      <w:r>
        <w:rPr>
          <w:rFonts w:ascii="Calibri" w:cs="Calibri" w:eastAsia="Calibri" w:hAnsi="Calibri"/>
        </w:rPr>
        <w:t xml:space="preserve">The fix. Grade every change (3 days either side, like for like) before the next write on the same lever; grade rounds on top-of-search clicks and rank before ACoS; cite the grade on the next row.</w:t>
      </w:r>
    </w:p>
    <w:p>
      <w:pPr>
        <w:spacing w:after="100"/>
      </w:pPr>
      <w:r>
        <w:rPr>
          <w:rFonts w:ascii="Calibri" w:cs="Calibri" w:eastAsia="Calibri" w:hAnsi="Calibri"/>
        </w:rPr>
        <w:t xml:space="preserve">How we know it is fixed. Every row on a lever changed in the last 30 days cites that change’s grade.</w:t>
      </w:r>
    </w:p>
    <w:p>
      <w:pPr>
        <w:pStyle w:val="Heading2"/>
      </w:pPr>
      <w:r>
        <w:rPr>
          <w:rFonts w:ascii="Calibri" w:cs="Calibri" w:eastAsia="Calibri" w:hAnsi="Calibri"/>
        </w:rPr>
        <w:t xml:space="preserve">E6 The review agent checks consistency, not the pricing logic (P1)</w:t>
      </w:r>
    </w:p>
    <w:p>
      <w:pPr>
        <w:spacing w:after="100"/>
      </w:pPr>
      <w:r>
        <w:rPr>
          <w:rFonts w:ascii="Calibri" w:cs="Calibri" w:eastAsia="Calibri" w:hAnsi="Calibri"/>
        </w:rPr>
        <w:t xml:space="preserve">What we see. SCS4 review endorsed the run (438 pass, 31 held, 2 corrected) while every gap in this document stood; its code checks test bounds, parse, and a RISKS line — not ceilings, bounds, properties or the cut-back gate. Across the reviews, all eight stored reviews endorsed their runs. Their row-level work was often good, but the same misses recur: posture against the band (all five maintenance runs), swaps against stock and conversion (591 passed), freezes against the daily crawl (all six runs with freezes), writes on paused campaigns (49 of 68 passed) and renames (all 2,054 passed). They were inconsistent within a run: DSS6 held 8 of 51 identical Queen Black moves and passed 43; SSS4 caught the prose fault on seq 53 and passed six identical rows.</w:t>
      </w:r>
    </w:p>
    <w:p>
      <w:pPr>
        <w:spacing w:after="100"/>
      </w:pPr>
      <w:r>
        <w:rPr>
          <w:rFonts w:ascii="Calibri" w:cs="Calibri" w:eastAsia="Calibri" w:hAnsi="Calibri"/>
        </w:rPr>
        <w:t xml:space="preserve">Why it matters. A review that cannot see a wrong contribution or a circular bound endorses it.</w:t>
      </w:r>
    </w:p>
    <w:p>
      <w:pPr>
        <w:spacing w:after="100"/>
      </w:pPr>
      <w:r>
        <w:rPr>
          <w:rFonts w:ascii="Calibri" w:cs="Calibri" w:eastAsia="Calibri" w:hAnsi="Calibri"/>
        </w:rPr>
        <w:t xml:space="preserve">The fix. Add the conformance checks in section 10 to the code checks; the review asks the five questions against the logic document’s tables, not the engine’s own text. The review opens with a premise checklist before any row: posture against the band, the weekly sales trend, the planner stock of every advertised child, whether the moves the strategy depends on can load, the freezes on the 7-day median, and the family owner of shared roots. It groups identical rows and rules once per group, and reads the planner, rank crawl and weekly TACoS itself.</w:t>
      </w:r>
    </w:p>
    <w:p>
      <w:pPr>
        <w:spacing w:after="100"/>
      </w:pPr>
      <w:r>
        <w:rPr>
          <w:rFonts w:ascii="Calibri" w:cs="Calibri" w:eastAsia="Calibri" w:hAnsi="Calibri"/>
        </w:rPr>
        <w:t xml:space="preserve">How we know it is fixed. Conformance checks run on every row; a failure holds the row automatically.</w:t>
      </w:r>
    </w:p>
    <w:p>
      <w:pPr>
        <w:pStyle w:val="Heading2"/>
      </w:pPr>
      <w:r>
        <w:rPr>
          <w:rFonts w:ascii="Calibri" w:cs="Calibri" w:eastAsia="Calibri" w:hAnsi="Calibri"/>
        </w:rPr>
        <w:t xml:space="preserve">E7 Engine-check failures are not always named (P2)</w:t>
      </w:r>
    </w:p>
    <w:p>
      <w:pPr>
        <w:spacing w:after="100"/>
      </w:pPr>
      <w:r>
        <w:rPr>
          <w:rFonts w:ascii="Calibri" w:cs="Calibri" w:eastAsia="Calibri" w:hAnsi="Calibri"/>
        </w:rPr>
        <w:t xml:space="preserve">What we see. B6: 1 engine check failed and was not named. SCS4 named its failure (a campaign left on the RED Full hero with no swap row) but did not write the fix row.</w:t>
      </w:r>
    </w:p>
    <w:p>
      <w:pPr>
        <w:spacing w:after="100"/>
      </w:pPr>
      <w:r>
        <w:rPr>
          <w:rFonts w:ascii="Calibri" w:cs="Calibri" w:eastAsia="Calibri" w:hAnsi="Calibri"/>
        </w:rPr>
        <w:t xml:space="preserve">Why it matters. A failure that is not named cannot be confirmed before deploy.</w:t>
      </w:r>
    </w:p>
    <w:p>
      <w:pPr>
        <w:spacing w:after="100"/>
      </w:pPr>
      <w:r>
        <w:rPr>
          <w:rFonts w:ascii="Calibri" w:cs="Calibri" w:eastAsia="Calibri" w:hAnsi="Calibri"/>
        </w:rPr>
        <w:t xml:space="preserve">The fix. Every failed check names the rows and writes the corrective row it implies.</w:t>
      </w:r>
    </w:p>
    <w:p>
      <w:pPr>
        <w:spacing w:after="100"/>
      </w:pPr>
      <w:r>
        <w:rPr>
          <w:rFonts w:ascii="Calibri" w:cs="Calibri" w:eastAsia="Calibri" w:hAnsi="Calibri"/>
        </w:rPr>
        <w:t xml:space="preserve">How we know it is fixed. Zero unnamed failures; each failure has a linked fix row.</w:t>
      </w:r>
    </w:p>
    <w:p>
      <w:pPr>
        <w:pStyle w:val="Heading1"/>
      </w:pPr>
      <w:r>
        <w:rPr>
          <w:rFonts w:ascii="Calibri" w:cs="Calibri" w:eastAsia="Calibri" w:hAnsi="Calibri"/>
        </w:rPr>
        <w:t xml:space="preserve">8. Strategy reads and reporting</w:t>
      </w:r>
    </w:p>
    <w:p>
      <w:pPr>
        <w:pStyle w:val="Heading2"/>
      </w:pPr>
      <w:r>
        <w:rPr>
          <w:rFonts w:ascii="Calibri" w:cs="Calibri" w:eastAsia="Calibri" w:hAnsi="Calibri"/>
        </w:rPr>
        <w:t xml:space="preserve">R1 Traffic gap and performance gap are not told apart (P0)</w:t>
      </w:r>
    </w:p>
    <w:p>
      <w:pPr>
        <w:spacing w:after="100"/>
      </w:pPr>
      <w:r>
        <w:rPr>
          <w:rFonts w:ascii="Calibri" w:cs="Calibri" w:eastAsia="Calibri" w:hAnsi="Calibri"/>
        </w:rPr>
        <w:t xml:space="preserve">What we see. B6 and SCS4 both treat every shortfall as a price question. SCS4: King and Queen are traffic gaps; the generic Cooling group converts under the CVR bar at the top — a listing/offer finding.</w:t>
      </w:r>
    </w:p>
    <w:p>
      <w:pPr>
        <w:spacing w:after="100"/>
      </w:pPr>
      <w:r>
        <w:rPr>
          <w:rFonts w:ascii="Calibri" w:cs="Calibri" w:eastAsia="Calibri" w:hAnsi="Calibri"/>
        </w:rPr>
        <w:t xml:space="preserve">Why it matters. Logic doc §12: “Targets met, rank not improving, conversion at top poor — freeze bids at maintenance; diagnose price, reviews, child, contamination, creative, deal echo.”</w:t>
      </w:r>
    </w:p>
    <w:p>
      <w:pPr>
        <w:spacing w:after="100"/>
      </w:pPr>
      <w:r>
        <w:rPr>
          <w:rFonts w:ascii="Calibri" w:cs="Calibri" w:eastAsia="Calibri" w:hAnsi="Calibri"/>
        </w:rPr>
        <w:t xml:space="preserve">The fix. Classify every in-focus term and group each run: traffic gap / performance gap / both / not present / on track (bars: CTR 1.1× market with 300+ TOS impressions, CVR 3× market with 15+ TOS clicks; share &lt; 10%, &lt; 15 TOS clicks in 30 days or &lt; 70% of requirement = traffic).</w:t>
      </w:r>
    </w:p>
    <w:p>
      <w:pPr>
        <w:spacing w:after="100"/>
      </w:pPr>
      <w:r>
        <w:rPr>
          <w:rFonts w:ascii="Calibri" w:cs="Calibri" w:eastAsia="Calibri" w:hAnsi="Calibri"/>
        </w:rPr>
        <w:t xml:space="preserve">How we know it is fixed. Verdict table per group and main keyword in every run.</w:t>
      </w:r>
    </w:p>
    <w:p>
      <w:pPr>
        <w:pStyle w:val="Heading2"/>
      </w:pPr>
      <w:r>
        <w:rPr>
          <w:rFonts w:ascii="Calibri" w:cs="Calibri" w:eastAsia="Calibri" w:hAnsi="Calibri"/>
        </w:rPr>
        <w:t xml:space="preserve">R2 The placement goal is not reported where the leak sits (P1)</w:t>
      </w:r>
    </w:p>
    <w:p>
      <w:pPr>
        <w:spacing w:after="100"/>
      </w:pPr>
      <w:r>
        <w:rPr>
          <w:rFonts w:ascii="Calibri" w:cs="Calibri" w:eastAsia="Calibri" w:hAnsi="Calibri"/>
        </w:rPr>
        <w:t xml:space="preserve">What we see. SCS4: in-focus ranking campaigns land 27% of clicks on product pages; B6’s leak sat out of focus (47%). Neither B6 nor SCS4 reported the split.</w:t>
      </w:r>
    </w:p>
    <w:p>
      <w:pPr>
        <w:spacing w:after="100"/>
      </w:pPr>
      <w:r>
        <w:rPr>
          <w:rFonts w:ascii="Calibri" w:cs="Calibri" w:eastAsia="Calibri" w:hAnsi="Calibri"/>
        </w:rPr>
        <w:t xml:space="preserve">Why it matters. Logic doc §5: 70–90% of clicks at top of search, product pages ≤ 20% — always.</w:t>
      </w:r>
    </w:p>
    <w:p>
      <w:pPr>
        <w:spacing w:after="100"/>
      </w:pPr>
      <w:r>
        <w:rPr>
          <w:rFonts w:ascii="Calibri" w:cs="Calibri" w:eastAsia="Calibri" w:hAnsi="Calibri"/>
        </w:rPr>
        <w:t xml:space="preserve">The fix. Report the 14-day and 8-day mix by in-focus / out-of-focus every run.</w:t>
      </w:r>
    </w:p>
    <w:p>
      <w:pPr>
        <w:spacing w:after="100"/>
      </w:pPr>
      <w:r>
        <w:rPr>
          <w:rFonts w:ascii="Calibri" w:cs="Calibri" w:eastAsia="Calibri" w:hAnsi="Calibri"/>
        </w:rPr>
        <w:t xml:space="preserve">How we know it is fixed. “Where clicks land” table in every export.</w:t>
      </w:r>
    </w:p>
    <w:p>
      <w:pPr>
        <w:pStyle w:val="Heading2"/>
      </w:pPr>
      <w:r>
        <w:rPr>
          <w:rFonts w:ascii="Calibri" w:cs="Calibri" w:eastAsia="Calibri" w:hAnsi="Calibri"/>
        </w:rPr>
        <w:t xml:space="preserve">R3 No-deal runs have no velocity story (P1)</w:t>
      </w:r>
    </w:p>
    <w:p>
      <w:pPr>
        <w:spacing w:after="100"/>
      </w:pPr>
      <w:r>
        <w:rPr>
          <w:rFonts w:ascii="Calibri" w:cs="Calibri" w:eastAsia="Calibri" w:hAnsi="Calibri"/>
        </w:rPr>
        <w:t xml:space="preserve">What we see. B6 and SCS4 both had no deal (engine_read null); neither B6 nor SCS4 said so or bounded the push by money instead of a deal date.</w:t>
      </w:r>
    </w:p>
    <w:p>
      <w:pPr>
        <w:spacing w:after="100"/>
      </w:pPr>
      <w:r>
        <w:rPr>
          <w:rFonts w:ascii="Calibri" w:cs="Calibri" w:eastAsia="Calibri" w:hAnsi="Calibri"/>
        </w:rPr>
        <w:t xml:space="preserve">Why it matters. Logic doc §6: velocity in the window “usually means a deal, the budget to fund the clicks, and the stock”.</w:t>
      </w:r>
    </w:p>
    <w:p>
      <w:pPr>
        <w:spacing w:after="100"/>
      </w:pPr>
      <w:r>
        <w:rPr>
          <w:rFonts w:ascii="Calibri" w:cs="Calibri" w:eastAsia="Calibri" w:hAnsi="Calibri"/>
        </w:rPr>
        <w:t xml:space="preserve">The fix. State the deal read; without a deal, the envelope and the loss per order are the velocity condition.</w:t>
      </w:r>
    </w:p>
    <w:p>
      <w:pPr>
        <w:spacing w:after="100"/>
      </w:pPr>
      <w:r>
        <w:rPr>
          <w:rFonts w:ascii="Calibri" w:cs="Calibri" w:eastAsia="Calibri" w:hAnsi="Calibri"/>
        </w:rPr>
        <w:t xml:space="preserve">How we know it is fixed. Deal line and envelope in every run header.</w:t>
      </w:r>
    </w:p>
    <w:p>
      <w:pPr>
        <w:pStyle w:val="Heading2"/>
      </w:pPr>
      <w:r>
        <w:rPr>
          <w:rFonts w:ascii="Calibri" w:cs="Calibri" w:eastAsia="Calibri" w:hAnsi="Calibri"/>
        </w:rPr>
        <w:t xml:space="preserve">R4 Head terms are left on inherited prices after a build-out (P1)</w:t>
      </w:r>
    </w:p>
    <w:p>
      <w:pPr>
        <w:spacing w:after="100"/>
      </w:pPr>
      <w:r>
        <w:rPr>
          <w:rFonts w:ascii="Calibri" w:cs="Calibri" w:eastAsia="Calibri" w:hAnsi="Calibri"/>
        </w:rPr>
        <w:t xml:space="preserve">What we see. SCS4: “cooling sheets” is priced $2.60 at the top (1.52% share, rank 8 → 17.5) while long-tail exacts pay $2.84–$3.17 for 0–1 clicks a day.</w:t>
      </w:r>
    </w:p>
    <w:p>
      <w:pPr>
        <w:spacing w:after="100"/>
      </w:pPr>
      <w:r>
        <w:rPr>
          <w:rFonts w:ascii="Calibri" w:cs="Calibri" w:eastAsia="Calibri" w:hAnsi="Calibri"/>
        </w:rPr>
        <w:t xml:space="preserve">Why it matters. The plan’s head terms carry most of the requirement.</w:t>
      </w:r>
    </w:p>
    <w:p>
      <w:pPr>
        <w:spacing w:after="100"/>
      </w:pPr>
      <w:r>
        <w:rPr>
          <w:rFonts w:ascii="Calibri" w:cs="Calibri" w:eastAsia="Calibri" w:hAnsi="Calibri"/>
        </w:rPr>
        <w:t xml:space="preserve">The fix. Rank in-focus rows by requirement and price the head terms first; flag any head term priced below the lane’s long-tail median.</w:t>
      </w:r>
    </w:p>
    <w:p>
      <w:pPr>
        <w:spacing w:after="100"/>
      </w:pPr>
      <w:r>
        <w:rPr>
          <w:rFonts w:ascii="Calibri" w:cs="Calibri" w:eastAsia="Calibri" w:hAnsi="Calibri"/>
        </w:rPr>
        <w:t xml:space="preserve">How we know it is fixed. Head-term section at the top of every run.</w:t>
      </w:r>
    </w:p>
    <w:p>
      <w:pPr>
        <w:pStyle w:val="Heading2"/>
      </w:pPr>
      <w:r>
        <w:rPr>
          <w:rFonts w:ascii="Calibri" w:cs="Calibri" w:eastAsia="Calibri" w:hAnsi="Calibri"/>
        </w:rPr>
        <w:t xml:space="preserve">R5 Competitor reads are thin (P2)</w:t>
      </w:r>
    </w:p>
    <w:p>
      <w:pPr>
        <w:spacing w:after="100"/>
      </w:pPr>
      <w:r>
        <w:rPr>
          <w:rFonts w:ascii="Calibri" w:cs="Calibri" w:eastAsia="Calibri" w:hAnsi="Calibri"/>
        </w:rPr>
        <w:t xml:space="preserve">What we see. SCS4: 7 of 40 target terms have no reference rival; coupon and lightning-deal frequency is not scraped; the product’s own price changes are not read against rank.</w:t>
      </w:r>
    </w:p>
    <w:p>
      <w:pPr>
        <w:spacing w:after="100"/>
      </w:pPr>
      <w:r>
        <w:rPr>
          <w:rFonts w:ascii="Calibri" w:cs="Calibri" w:eastAsia="Calibri" w:hAnsi="Calibri"/>
        </w:rPr>
        <w:t xml:space="preserve">Why it matters. Logic doc §12: diagnose our price vs market, rating and reviews before blaming the bid.</w:t>
      </w:r>
    </w:p>
    <w:p>
      <w:pPr>
        <w:spacing w:after="100"/>
      </w:pPr>
      <w:r>
        <w:rPr>
          <w:rFonts w:ascii="Calibri" w:cs="Calibri" w:eastAsia="Calibri" w:hAnsi="Calibri"/>
        </w:rPr>
        <w:t xml:space="preserve">The fix. Carry each rival’s price, discount and reviews beside the term it references; mark unmeasured as unmeasured; add coupon/lightning-deal detection; read own price events against rank.</w:t>
      </w:r>
    </w:p>
    <w:p>
      <w:pPr>
        <w:spacing w:after="100"/>
      </w:pPr>
      <w:r>
        <w:rPr>
          <w:rFonts w:ascii="Calibri" w:cs="Calibri" w:eastAsia="Calibri" w:hAnsi="Calibri"/>
        </w:rPr>
        <w:t xml:space="preserve">How we know it is fixed. Reference rival coverage reported per run.</w:t>
      </w:r>
    </w:p>
    <w:p>
      <w:pPr>
        <w:pStyle w:val="Heading1"/>
      </w:pPr>
      <w:r>
        <w:rPr>
          <w:rFonts w:ascii="Calibri" w:cs="Calibri" w:eastAsia="Calibri" w:hAnsi="Calibri"/>
        </w:rPr>
        <w:t xml:space="preserve">9. The order the engine should decide in</w:t>
      </w:r>
    </w:p>
    <w:p>
      <w:pPr>
        <w:spacing w:after="100"/>
      </w:pPr>
      <w:r>
        <w:rPr>
          <w:rFonts w:ascii="Calibri" w:cs="Calibri" w:eastAsia="Calibri" w:hAnsi="Calibri"/>
        </w:rPr>
        <w:t xml:space="preserve">Most of these gaps share one cause: the engine writes rows first and reads the product last, or never. Each step below can stop or constrain the ones after it, and each row writes which step decided it.</w:t>
      </w:r>
    </w:p>
    <w:p>
      <w:pPr>
        <w:pStyle w:val="ListParagraph"/>
        <w:numPr>
          <w:ilvl w:val="0"/>
          <w:numId w:val="2"/>
        </w:numPr>
        <w:spacing w:after="60"/>
      </w:pPr>
      <w:r>
        <w:rPr>
          <w:rFonts w:ascii="Calibri" w:cs="Calibri" w:eastAsia="Calibri" w:hAnsi="Calibri"/>
        </w:rPr>
        <w:t xml:space="preserve">1. Product: posture from weekly TACoS against the stage band; the sales trend; events (deals, price, listing, stock-outs, changes outside the app); the previous run and its grades; the family owner of every shared root. (A1–A4, T6)</w:t>
      </w:r>
    </w:p>
    <w:p>
      <w:pPr>
        <w:pStyle w:val="ListParagraph"/>
        <w:numPr>
          <w:ilvl w:val="0"/>
          <w:numId w:val="2"/>
        </w:numPr>
        <w:spacing w:after="60"/>
      </w:pPr>
      <w:r>
        <w:rPr>
          <w:rFonts w:ascii="Calibri" w:cs="Calibri" w:eastAsia="Calibri" w:hAnsi="Calibri"/>
        </w:rPr>
        <w:t xml:space="preserve">2. Stock: every child from the planner through the SKU master; out, at risk or in stock, with dated arrivals. (S3)</w:t>
      </w:r>
    </w:p>
    <w:p>
      <w:pPr>
        <w:pStyle w:val="ListParagraph"/>
        <w:numPr>
          <w:ilvl w:val="0"/>
          <w:numId w:val="2"/>
        </w:numPr>
        <w:spacing w:after="60"/>
      </w:pPr>
      <w:r>
        <w:rPr>
          <w:rFonts w:ascii="Calibri" w:cs="Calibri" w:eastAsia="Calibri" w:hAnsi="Calibri"/>
        </w:rPr>
        <w:t xml:space="preserve">3. Serving child per size: chosen on sales and conversion among children with cover; swaps only where the source must move or the target is plainly stronger; size fixes first; moves sized to the traffic that causes the gap. (S1, S4, S7, S8)</w:t>
      </w:r>
    </w:p>
    <w:p>
      <w:pPr>
        <w:pStyle w:val="ListParagraph"/>
        <w:numPr>
          <w:ilvl w:val="0"/>
          <w:numId w:val="2"/>
        </w:numPr>
        <w:spacing w:after="60"/>
      </w:pPr>
      <w:r>
        <w:rPr>
          <w:rFonts w:ascii="Calibri" w:cs="Calibri" w:eastAsia="Calibri" w:hAnsi="Calibri"/>
        </w:rPr>
        <w:t xml:space="preserve">4. Campaign roster: every campaign that advertises the product, with its status, whether it serves and its child’s stock state; dark and orphaned campaigns become tasks. (I7, S9, A4)</w:t>
      </w:r>
    </w:p>
    <w:p>
      <w:pPr>
        <w:pStyle w:val="ListParagraph"/>
        <w:numPr>
          <w:ilvl w:val="0"/>
          <w:numId w:val="2"/>
        </w:numPr>
        <w:spacing w:after="60"/>
      </w:pPr>
      <w:r>
        <w:rPr>
          <w:rFonts w:ascii="Calibri" w:cs="Calibri" w:eastAsia="Calibri" w:hAnsi="Calibri"/>
        </w:rPr>
        <w:t xml:space="preserve">5. Rank: 7-day medians, the loss and step tests, and the stock history of the serving child; stock-caused losses become recovery cases. (I2, I3, I12)</w:t>
      </w:r>
    </w:p>
    <w:p>
      <w:pPr>
        <w:pStyle w:val="ListParagraph"/>
        <w:numPr>
          <w:ilvl w:val="0"/>
          <w:numId w:val="2"/>
        </w:numPr>
        <w:spacing w:after="60"/>
      </w:pPr>
      <w:r>
        <w:rPr>
          <w:rFonts w:ascii="Calibri" w:cs="Calibri" w:eastAsia="Calibri" w:hAnsi="Calibri"/>
        </w:rPr>
        <w:t xml:space="preserve">6. Rows: every enabled exact ranking campaign is priced by the procedure below, inside what the posture allows.</w:t>
      </w:r>
    </w:p>
    <w:p>
      <w:pPr>
        <w:pStyle w:val="ListParagraph"/>
        <w:numPr>
          <w:ilvl w:val="0"/>
          <w:numId w:val="2"/>
        </w:numPr>
        <w:spacing w:after="60"/>
      </w:pPr>
      <w:r>
        <w:rPr>
          <w:rFonts w:ascii="Calibri" w:cs="Calibri" w:eastAsia="Calibri" w:hAnsi="Calibri"/>
        </w:rPr>
        <w:t xml:space="preserve">7. Consistency: all rows on one campaign or term resolved together; nothing on paused campaigns or inside a freeze; pairs atomic; renames after swaps; no parked questions. (T1, T4, T8, I13, E1, S2)</w:t>
      </w:r>
    </w:p>
    <w:p>
      <w:pPr>
        <w:pStyle w:val="ListParagraph"/>
        <w:numPr>
          <w:ilvl w:val="0"/>
          <w:numId w:val="2"/>
        </w:numPr>
        <w:spacing w:after="60"/>
      </w:pPr>
      <w:r>
        <w:rPr>
          <w:rFonts w:ascii="Calibri" w:cs="Calibri" w:eastAsia="Calibri" w:hAnsi="Calibri"/>
        </w:rPr>
        <w:t xml:space="preserve">8. Outcome: only loadable enabled rows, predicted from the response book; swaps and non-SP builds listed as not priced. (E3, E4)</w:t>
      </w:r>
    </w:p>
    <w:p>
      <w:pPr>
        <w:pStyle w:val="ListParagraph"/>
        <w:numPr>
          <w:ilvl w:val="0"/>
          <w:numId w:val="2"/>
        </w:numPr>
        <w:spacing w:after="60"/>
      </w:pPr>
      <w:r>
        <w:rPr>
          <w:rFonts w:ascii="Calibri" w:cs="Calibri" w:eastAsia="Calibri" w:hAnsi="Calibri"/>
        </w:rPr>
        <w:t xml:space="preserve">9. Review: the premise checklist, then the rows by group. (E6)</w:t>
      </w:r>
    </w:p>
    <w:p>
      <w:pPr>
        <w:pStyle w:val="Heading2"/>
      </w:pPr>
      <w:r>
        <w:rPr>
          <w:rFonts w:ascii="Calibri" w:cs="Calibri" w:eastAsia="Calibri" w:hAnsi="Calibri"/>
        </w:rPr>
        <w:t xml:space="preserve">The pricing procedure (step 6)</w:t>
      </w:r>
    </w:p>
    <w:p>
      <w:pPr>
        <w:spacing w:after="100"/>
      </w:pPr>
      <w:r>
        <w:rPr>
          <w:rFonts w:ascii="Calibri" w:cs="Calibri" w:eastAsia="Calibri" w:hAnsi="Calibri"/>
        </w:rPr>
        <w:t xml:space="preserve">1. Serving child: the size’s serving child for this run (one per size); if the advertised child differs, a swap row (loaded or tasked) and no price step until it lands.</w:t>
      </w:r>
    </w:p>
    <w:p>
      <w:pPr>
        <w:spacing w:after="100"/>
      </w:pPr>
      <w:r>
        <w:rPr>
          <w:rFonts w:ascii="Calibri" w:cs="Calibri" w:eastAsia="Calibri" w:hAnsi="Calibri"/>
        </w:rPr>
        <w:t xml:space="preserve">2. Economics: contribution of the serving child; placement rates (child’s planning rates; the campaign’s own blended in from 15 clicks, fully own from 50; 15+ with no orders stays on the child’s).</w:t>
      </w:r>
    </w:p>
    <w:p>
      <w:pPr>
        <w:spacing w:after="100"/>
      </w:pPr>
      <w:r>
        <w:rPr>
          <w:rFonts w:ascii="Calibri" w:cs="Calibri" w:eastAsia="Calibri" w:hAnsi="Calibri"/>
        </w:rPr>
        <w:t xml:space="preserve">3. Ceilings: top of search, rest of search and product pages = contribution × rate.</w:t>
      </w:r>
    </w:p>
    <w:p>
      <w:pPr>
        <w:spacing w:after="100"/>
      </w:pPr>
      <w:r>
        <w:rPr>
          <w:rFonts w:ascii="Calibri" w:cs="Calibri" w:eastAsia="Calibri" w:hAnsi="Calibri"/>
        </w:rPr>
        <w:t xml:space="preserve">4. Voids: serving child cannot ship, or a deal inside the window → resolve first.</w:t>
      </w:r>
    </w:p>
    <w:p>
      <w:pPr>
        <w:spacing w:after="100"/>
      </w:pPr>
      <w:r>
        <w:rPr>
          <w:rFonts w:ascii="Calibri" w:cs="Calibri" w:eastAsia="Calibri" w:hAnsi="Calibri"/>
        </w:rPr>
        <w:t xml:space="preserve">5. Budget: 7-day use ≥ 80% → budget +30%, price holds this write.</w:t>
      </w:r>
    </w:p>
    <w:p>
      <w:pPr>
        <w:spacing w:after="100"/>
      </w:pPr>
      <w:r>
        <w:rPr>
          <w:rFonts w:ascii="Calibri" w:cs="Calibri" w:eastAsia="Calibri" w:hAnsi="Calibri"/>
        </w:rPr>
        <w:t xml:space="preserve">6. Mix: product pages &gt; 20% of 14-day clicks (15+ clicks) → base cut sized to the leak (10 / 20 / 35%; ≤ 25% where product pages carried an order).</w:t>
      </w:r>
    </w:p>
    <w:p>
      <w:pPr>
        <w:spacing w:after="100"/>
      </w:pPr>
      <w:r>
        <w:rPr>
          <w:rFonts w:ascii="Calibri" w:cs="Calibri" w:eastAsia="Calibri" w:hAnsi="Calibri"/>
        </w:rPr>
        <w:t xml:space="preserve">7. Push test: rank read (7-day median), requirement (plan units ÷ TOS rate), the four conditions, and the envelope. All pass → push; any fail → priced at the ceiling, reason named.</w:t>
      </w:r>
    </w:p>
    <w:p>
      <w:pPr>
        <w:spacing w:after="100"/>
      </w:pPr>
      <w:r>
        <w:rPr>
          <w:rFonts w:ascii="Calibri" w:cs="Calibri" w:eastAsia="Calibri" w:hAnsi="Calibri"/>
        </w:rPr>
        <w:t xml:space="preserve">8. Target: ceiling × (1 + lift) from the binding gap (rank gap; delivery gap only with budget intact and share &lt; 30%), held to the five bounds, binding bound named.</w:t>
      </w:r>
    </w:p>
    <w:p>
      <w:pPr>
        <w:spacing w:after="100"/>
      </w:pPr>
      <w:r>
        <w:rPr>
          <w:rFonts w:ascii="Calibri" w:cs="Calibri" w:eastAsia="Calibri" w:hAnsi="Calibri"/>
        </w:rPr>
        <w:t xml:space="preserve">9. This write: climb by the delivery-gap step (+30 / +20 / +10%, halved if share did not rise after the last step), capped at the target; no delivery at all → straight to the ceiling; above target and delivery met → probe −3–5%; above target and delivery &lt; 70% → hold (cut-back gate); maintenance above the ceiling → descend to it in one named step.</w:t>
      </w:r>
    </w:p>
    <w:p>
      <w:pPr>
        <w:spacing w:after="100"/>
      </w:pPr>
      <w:r>
        <w:rPr>
          <w:rFonts w:ascii="Calibri" w:cs="Calibri" w:eastAsia="Calibri" w:hAnsi="Calibri"/>
        </w:rPr>
        <w:t xml:space="preserve">10. Modifier: (price ÷ base) − 1, ≤ 900%; at the wall the base carries the rest, stated as a trade.</w:t>
      </w:r>
    </w:p>
    <w:p>
      <w:pPr>
        <w:spacing w:after="100"/>
      </w:pPr>
      <w:r>
        <w:rPr>
          <w:rFonts w:ascii="Calibri" w:cs="Calibri" w:eastAsia="Calibri" w:hAnsi="Calibri"/>
        </w:rPr>
        <w:t xml:space="preserve">11. Rest of search: 0% unless earned (15+ clicks converting at or above the product-page rate).</w:t>
      </w:r>
    </w:p>
    <w:p>
      <w:pPr>
        <w:spacing w:after="100"/>
      </w:pPr>
      <w:r>
        <w:rPr>
          <w:rFonts w:ascii="Calibri" w:cs="Calibri" w:eastAsia="Calibri" w:hAnsi="Calibri"/>
        </w:rPr>
        <w:t xml:space="preserve">12. Row text: both prices and the multiple, cost and loss per order now and at the destination, the prediction from the response book, the checkpoint date and what reverses it.</w:t>
      </w:r>
    </w:p>
    <w:p>
      <w:pPr>
        <w:spacing w:after="100"/>
      </w:pPr>
      <w:r>
        <w:rPr>
          <w:rFonts w:ascii="Calibri" w:cs="Calibri" w:eastAsia="Calibri" w:hAnsi="Calibri"/>
        </w:rPr>
        <w:t xml:space="preserve">Out of focus: steps 1–6 and the ceiling only — no premium, no budget raise, no taper below the ceiling, rows under 15 clicks in 90 days held flat. Other objectives (conversions, discovery, defensive): priced inside their ceiling (ACoS ≤ break-even), read on 14 days against 90, thin rows held.</w:t>
      </w:r>
    </w:p>
    <w:p>
      <w:pPr>
        <w:pStyle w:val="Heading1"/>
      </w:pPr>
      <w:r>
        <w:rPr>
          <w:rFonts w:ascii="Calibri" w:cs="Calibri" w:eastAsia="Calibri" w:hAnsi="Calibri"/>
        </w:rPr>
        <w:t xml:space="preserve">10. Conformance checks to add to the code checks</w:t>
      </w:r>
    </w:p>
    <w:p>
      <w:pPr>
        <w:spacing w:after="100"/>
      </w:pPr>
      <w:r>
        <w:rPr>
          <w:rFonts w:ascii="Calibri" w:cs="Calibri" w:eastAsia="Calibri" w:hAnsi="Calibri"/>
        </w:rPr>
        <w:t xml:space="preserve">These run on every row before export. A failure holds the row automatically and names the gap; the review agent reads failures first.</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300"/>
        <w:gridCol w:w="6400"/>
        <w:gridCol w:w="1272"/>
      </w:tblGrid>
      <w:tr>
        <w:trPr>
          <w:cantSplit/>
          <w:tblHeader/>
        </w:trPr>
        <w:tc>
          <w:tcPr>
            <w:tcW w:type="dxa" w:w="2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Check</w:t>
            </w:r>
          </w:p>
        </w:tc>
        <w:tc>
          <w:tcPr>
            <w:tcW w:type="dxa" w:w="64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Pass condition</w:t>
            </w:r>
          </w:p>
        </w:tc>
        <w:tc>
          <w:tcPr>
            <w:tcW w:type="dxa" w:w="12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Gap</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contribution_source</w:t>
            </w:r>
          </w:p>
        </w:tc>
        <w:tc>
          <w:tcPr>
            <w:tcW w:type="dxa" w:w="6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row names the serving child and its contribution; no blended figure; source conflicts &gt; 10% listed in the header</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I1</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rank_smoothed</w:t>
            </w:r>
          </w:p>
        </w:tc>
        <w:tc>
          <w:tcPr>
            <w:tcW w:type="dxa" w:w="6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every rank is a 7-day median; every “30 days ago” within 27–33 days</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I2, I3</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window_stated</w:t>
            </w:r>
          </w:p>
        </w:tc>
        <w:tc>
          <w:tcPr>
            <w:tcW w:type="dxa" w:w="6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mix on 14 days, delivery on 8 vs 31, budget on 7, rates on 90</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I4</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placement_grain</w:t>
            </w:r>
          </w:p>
        </w:tc>
        <w:tc>
          <w:tcPr>
            <w:tcW w:type="dxa" w:w="6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mix and rates match the campaign placement report</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I5</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share_read</w:t>
            </w:r>
          </w:p>
        </w:tc>
        <w:tc>
          <w:tcPr>
            <w:tcW w:type="dxa" w:w="6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ranking row carries TOS impression share now and after the last step</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I6</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ceiling_present</w:t>
            </w:r>
          </w:p>
        </w:tc>
        <w:tc>
          <w:tcPr>
            <w:tcW w:type="dxa" w:w="6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TOS / ROS / PP ceilings with rate basis and sample</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P2</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bound_named</w:t>
            </w:r>
          </w:p>
        </w:tc>
        <w:tc>
          <w:tcPr>
            <w:tcW w:type="dxa" w:w="6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no bound from own CPC; binding bound is one of the five</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P1</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premium_properties</w:t>
            </w:r>
          </w:p>
        </w:tc>
        <w:tc>
          <w:tcPr>
            <w:tcW w:type="dxa" w:w="6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price above ceiling ⇒ Sized, Dated, Ceilinged, Predicted, Funded and four conditions all pass</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P3, P4</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combined_write</w:t>
            </w:r>
          </w:p>
        </w:tc>
        <w:tc>
          <w:tcPr>
            <w:tcW w:type="dxa" w:w="6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PP &gt; 20% and delivery &lt; 70% ⇒ base step and price step together</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P5</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step_sized</w:t>
            </w:r>
          </w:p>
        </w:tc>
        <w:tc>
          <w:tcPr>
            <w:tcW w:type="dxa" w:w="6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step matches the delivery-gap table (and halving rule)</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P6</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descent_named</w:t>
            </w:r>
          </w:p>
        </w:tc>
        <w:tc>
          <w:tcPr>
            <w:tcW w:type="dxa" w:w="6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every price cut lands on a named point; no cut on a push under 70% delivery</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P7</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base_on_thin</w:t>
            </w:r>
          </w:p>
        </w:tc>
        <w:tc>
          <w:tcPr>
            <w:tcW w:type="dxa" w:w="6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no base cut with &lt; 15 clicks in 14 days</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P8</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ros_switch</w:t>
            </w:r>
          </w:p>
        </w:tc>
        <w:tc>
          <w:tcPr>
            <w:tcW w:type="dxa" w:w="6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no ROS cut where ROS has earned its lift</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P9</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modifier_wall</w:t>
            </w:r>
          </w:p>
        </w:tc>
        <w:tc>
          <w:tcPr>
            <w:tcW w:type="dxa" w:w="6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modifier ≤ 900%; wall rows state the trade</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P10</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prices_line</w:t>
            </w:r>
          </w:p>
        </w:tc>
        <w:tc>
          <w:tcPr>
            <w:tcW w:type="dxa" w:w="6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two prices, multiple, cost and loss per order now and at destination</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P11</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requirement_honest</w:t>
            </w:r>
          </w:p>
        </w:tc>
        <w:tc>
          <w:tcPr>
            <w:tcW w:type="dxa" w:w="6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no floor-inflated requirement; reachability and shortfall printed</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P12, P14</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budget_evidence</w:t>
            </w:r>
          </w:p>
        </w:tc>
        <w:tc>
          <w:tcPr>
            <w:tcW w:type="dxa" w:w="6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raise ⇒ 7-day use ≥ 80%, enabled, in focus</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P13</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child_serving</w:t>
            </w:r>
          </w:p>
        </w:tc>
        <w:tc>
          <w:tcPr>
            <w:tcW w:type="dxa" w:w="6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advertised child = serving child, or a swap row/task exists; one child per size; no cross-size swap</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S1, S4</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stock_serving</w:t>
            </w:r>
          </w:p>
        </w:tc>
        <w:tc>
          <w:tcPr>
            <w:tcW w:type="dxa" w:w="6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cover read on the serving child including the run’s own builds</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S3, S5</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not_paused</w:t>
            </w:r>
          </w:p>
        </w:tc>
        <w:tc>
          <w:tcPr>
            <w:tcW w:type="dxa" w:w="6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no price/bid/budget write on a paused campaign</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T1</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plan_term_covered</w:t>
            </w:r>
          </w:p>
        </w:tc>
        <w:tc>
          <w:tcPr>
            <w:tcW w:type="dxa" w:w="6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every plan term has an enabled exact or a dated decision</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T2</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no_duplicate_build</w:t>
            </w:r>
          </w:p>
        </w:tc>
        <w:tc>
          <w:tcPr>
            <w:tcW w:type="dxa" w:w="6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no build on a term a paused exact carries</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T3</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no_parking</w:t>
            </w:r>
          </w:p>
        </w:tc>
        <w:tc>
          <w:tcPr>
            <w:tcW w:type="dxa" w:w="6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no “re-price or pause” rows</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T4</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retag_unpriced</w:t>
            </w:r>
          </w:p>
        </w:tc>
        <w:tc>
          <w:tcPr>
            <w:tcW w:type="dxa" w:w="6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no price move on a campaign re-tagged in the same run</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T5</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verdict_agrees</w:t>
            </w:r>
          </w:p>
        </w:tc>
        <w:tc>
          <w:tcPr>
            <w:tcW w:type="dxa" w:w="6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rationale HOLD ⇔ verdict hold; no no-op; no duplicate</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E1, E2</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prediction_booked</w:t>
            </w:r>
          </w:p>
        </w:tc>
        <w:tc>
          <w:tcPr>
            <w:tcW w:type="dxa" w:w="6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prediction within the book’s interval; outcome = sum of enabled-row predictions</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E3, E4</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graded_first</w:t>
            </w:r>
          </w:p>
        </w:tc>
        <w:tc>
          <w:tcPr>
            <w:tcW w:type="dxa" w:w="6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lever changed in last 30 days ⇒ its grade cited</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E5</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posture_declared</w:t>
            </w:r>
          </w:p>
        </w:tc>
        <w:tc>
          <w:tcPr>
            <w:tcW w:type="dxa" w:w="6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header carries posture from weekly TACoS against the band; no raise or build row in a code red</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A1</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sales_base</w:t>
            </w:r>
          </w:p>
        </w:tc>
        <w:tc>
          <w:tcPr>
            <w:tcW w:type="dxa" w:w="6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header shows the weekly sales trend and the base TACoS is priced on</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A3</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events_read</w:t>
            </w:r>
          </w:p>
        </w:tc>
        <w:tc>
          <w:tcPr>
            <w:tcW w:type="dxa" w:w="6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brief carries deals, listing and price events, stock-out dates, the previous run; dark campaigns are tasks</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A4</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swap_reason</w:t>
            </w:r>
          </w:p>
        </w:tc>
        <w:tc>
          <w:tcPr>
            <w:tcW w:type="dxa" w:w="6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every swap names its reason (source out or at risk, or stronger target) with both children’s planner figures; non-due swaps marked “do not load”</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S1, S7</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catalogue_coverage</w:t>
            </w:r>
          </w:p>
        </w:tc>
        <w:tc>
          <w:tcPr>
            <w:tcW w:type="dxa" w:w="6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no unsized SKU with stock; no colour pause while any SKU of that colour and size has units</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S3</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move_sized</w:t>
            </w:r>
          </w:p>
        </w:tc>
        <w:tc>
          <w:tcPr>
            <w:tcW w:type="dxa" w:w="6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every at-risk child’s largest campaigns are handled; moves limited to the pushed set when today’s pace clears the arrival</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S8</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orphans_covered</w:t>
            </w:r>
          </w:p>
        </w:tc>
        <w:tc>
          <w:tcPr>
            <w:tcW w:type="dxa" w:w="6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no enabled campaign on an out child without a swap, pause or closure row</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S9</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stock_cause_read</w:t>
            </w:r>
          </w:p>
        </w:tc>
        <w:tc>
          <w:tcPr>
            <w:tcW w:type="dxa" w:w="6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every loss row names the serving child’s stock state across the window</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I12</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freeze_blocks</w:t>
            </w:r>
          </w:p>
        </w:tc>
        <w:tc>
          <w:tcPr>
            <w:tcW w:type="dxa" w:w="6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no lever row on a campaign frozen in the same run</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I13</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term_live</w:t>
            </w:r>
          </w:p>
        </w:tc>
        <w:tc>
          <w:tcPr>
            <w:tcW w:type="dxa" w:w="6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no term loses its last live, serving instance</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T8</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own_product_only</w:t>
            </w:r>
          </w:p>
        </w:tc>
        <w:tc>
          <w:tcPr>
            <w:tcW w:type="dxa" w:w="6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no row on a campaign that does not advertise this product; LTSF rows carry the owner’s record</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T10</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build_not_repeated</w:t>
            </w:r>
          </w:p>
        </w:tc>
        <w:tc>
          <w:tcPr>
            <w:tcW w:type="dxa" w:w="6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no build repeats a held build without a changed input</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S5</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review_premise</w:t>
            </w:r>
          </w:p>
        </w:tc>
        <w:tc>
          <w:tcPr>
            <w:tcW w:type="dxa" w:w="6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stored review opens with the premise checklist; identical rows get one verdict</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E6</w:t>
            </w:r>
          </w:p>
        </w:tc>
      </w:tr>
    </w:tbl>
    <w:p>
      <w:pPr>
        <w:spacing w:after="80"/>
      </w:pPr>
    </w:p>
    <w:p>
      <w:pPr>
        <w:pStyle w:val="Heading1"/>
      </w:pPr>
      <w:r>
        <w:rPr>
          <w:rFonts w:ascii="Calibri" w:cs="Calibri" w:eastAsia="Calibri" w:hAnsi="Calibri"/>
        </w:rPr>
        <w:t xml:space="preserve">11. Priorities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200"/>
        <w:gridCol w:w="5400"/>
        <w:gridCol w:w="2372"/>
      </w:tblGrid>
      <w:tr>
        <w:trPr>
          <w:cantSplit/>
          <w:tblHeader/>
        </w:trPr>
        <w:tc>
          <w:tcPr>
            <w:tcW w:type="dxa" w:w="22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When</w:t>
            </w:r>
          </w:p>
        </w:tc>
        <w:tc>
          <w:tcPr>
            <w:tcW w:type="dxa" w:w="54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Gaps</w:t>
            </w:r>
          </w:p>
        </w:tc>
        <w:tc>
          <w:tcPr>
            <w:tcW w:type="dxa" w:w="23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Owner</w:t>
            </w:r>
          </w:p>
        </w:tc>
      </w:tr>
      <w:tr>
        <w:trPr>
          <w:cantSplit/>
          <w:tblHeader w:val="false"/>
        </w:trPr>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Before the next run (P0)</w:t>
            </w:r>
          </w:p>
        </w:tc>
        <w:tc>
          <w:tcPr>
            <w:tcW w:type="dxa" w:w="5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A1, I1, I6, I2, I3, S1, S7, S3, S9, S4, S5, P1, P2, P3, P5, P6, P7, P12, P13, P14, T1, T2, T4, T8, E1, E3, E4, E5, R1</w:t>
            </w:r>
          </w:p>
        </w:tc>
        <w:tc>
          <w:tcPr>
            <w:tcW w:type="dxa" w:w="2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Engine (pricing, gates, posture); data (contribution, ranks, share, SKU master, planner feed); ops (swap tasks until the loader has a roster)</w:t>
            </w:r>
          </w:p>
        </w:tc>
      </w:tr>
      <w:tr>
        <w:trPr>
          <w:cantSplit/>
          <w:tblHeader w:val="false"/>
        </w:trPr>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Within two weeks (P1)</w:t>
            </w:r>
          </w:p>
        </w:tc>
        <w:tc>
          <w:tcPr>
            <w:tcW w:type="dxa" w:w="5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A3, A4, I4, I5, I7, I8, I10, I11, I12, I13, S8, S2, P4, P8, P10, P11, T3, T6, T7, E2, E6, R2, R3, R4</w:t>
            </w:r>
          </w:p>
        </w:tc>
        <w:tc>
          <w:tcPr>
            <w:tcW w:type="dxa" w:w="2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Engine; data (events, deals, library, tracker, event log); review skill; family arbitration</w:t>
            </w:r>
          </w:p>
        </w:tc>
      </w:tr>
      <w:tr>
        <w:trPr>
          <w:cantSplit/>
          <w:tblHeader w:val="false"/>
        </w:trPr>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Next cycle (P2)</w:t>
            </w:r>
          </w:p>
        </w:tc>
        <w:tc>
          <w:tcPr>
            <w:tcW w:type="dxa" w:w="5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A2, S6, P9, T5, T9, T10, E7, R5</w:t>
            </w:r>
          </w:p>
        </w:tc>
        <w:tc>
          <w:tcPr>
            <w:tcW w:type="dxa" w:w="2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Engine; brand and catalogue owners; LTSF owner; competitor data</w:t>
            </w:r>
          </w:p>
        </w:tc>
      </w:tr>
    </w:tbl>
    <w:p>
      <w:pPr>
        <w:spacing w:after="80"/>
      </w:pPr>
    </w:p>
    <w:p>
      <w:pPr>
        <w:spacing w:after="100"/>
      </w:pPr>
      <w:r>
        <w:rPr>
          <w:rFonts w:ascii="Calibri" w:cs="Calibri" w:eastAsia="Calibri" w:hAnsi="Calibri"/>
        </w:rPr>
        <w:t xml:space="preserve">Until the P0 fixes ship, every run needs the manual review we have been doing: declare the posture, judge each swap on the planner, read the freezes on the daily crawl, re-solve the in-focus rows on the logic document, strip paused writes and day-one build gains from the outcome, and file the due child swaps by hand before any price step.</w:t>
      </w:r>
    </w:p>
    <w:p>
      <w:pPr>
        <w:pStyle w:val="Heading1"/>
      </w:pPr>
      <w:r>
        <w:rPr>
          <w:rFonts w:ascii="Calibri" w:cs="Calibri" w:eastAsia="Calibri" w:hAnsi="Calibri"/>
        </w:rPr>
        <w:t xml:space="preserve">12. Acceptance tests for the next round</w:t>
      </w:r>
    </w:p>
    <w:p>
      <w:pPr>
        <w:pStyle w:val="Heading2"/>
      </w:pPr>
      <w:r>
        <w:rPr>
          <w:rFonts w:ascii="Calibri" w:cs="Calibri" w:eastAsia="Calibri" w:hAnsi="Calibri"/>
        </w:rPr>
        <w:t xml:space="preserve">On B6 and SCS4 (the pricing corrections)</w:t>
      </w:r>
    </w:p>
    <w:p>
      <w:pPr>
        <w:spacing w:after="100"/>
      </w:pPr>
      <w:r>
        <w:rPr>
          <w:rFonts w:ascii="Calibri" w:cs="Calibri" w:eastAsia="Calibri" w:hAnsi="Calibri"/>
        </w:rPr>
        <w:t xml:space="preserve">Run the engine on B6 and SCS4 again and compare with the correction documents. The engine is fixed when:</w:t>
      </w:r>
    </w:p>
    <w:p>
      <w:pPr>
        <w:pStyle w:val="ListParagraph"/>
        <w:numPr>
          <w:ilvl w:val="0"/>
          <w:numId w:val="2"/>
        </w:numPr>
        <w:spacing w:after="60"/>
      </w:pPr>
      <w:r>
        <w:rPr>
          <w:rFonts w:ascii="Calibri" w:cs="Calibri" w:eastAsia="Calibri" w:hAnsi="Calibri"/>
        </w:rPr>
        <w:t xml:space="preserve">SCS4 prices Queen rows on $20.55 contribution and King rows on $26.53, and its Table 1 matches the SCS4 correction’s Table 1 to the cent.</w:t>
      </w:r>
    </w:p>
    <w:p>
      <w:pPr>
        <w:pStyle w:val="ListParagraph"/>
        <w:numPr>
          <w:ilvl w:val="0"/>
          <w:numId w:val="2"/>
        </w:numPr>
        <w:spacing w:after="60"/>
      </w:pPr>
      <w:r>
        <w:rPr>
          <w:rFonts w:ascii="Calibri" w:cs="Calibri" w:eastAsia="Calibri" w:hAnsi="Calibri"/>
        </w:rPr>
        <w:t xml:space="preserve">No SCS4 campaign is frozen on a single-day rank; “cal king cooling sheets” reads 5–5.5.</w:t>
      </w:r>
    </w:p>
    <w:p>
      <w:pPr>
        <w:pStyle w:val="ListParagraph"/>
        <w:numPr>
          <w:ilvl w:val="0"/>
          <w:numId w:val="2"/>
        </w:numPr>
        <w:spacing w:after="60"/>
      </w:pPr>
      <w:r>
        <w:rPr>
          <w:rFonts w:ascii="Calibri" w:cs="Calibri" w:eastAsia="Calibri" w:hAnsi="Calibri"/>
        </w:rPr>
        <w:t xml:space="preserve">SCS4 writes a combined write on “cooling sheets”, “cool sheets queen” and “cooling queen sheets”, and a price probe (not a hold) on the King head campaign at its requirement.</w:t>
      </w:r>
    </w:p>
    <w:p>
      <w:pPr>
        <w:pStyle w:val="ListParagraph"/>
        <w:numPr>
          <w:ilvl w:val="0"/>
          <w:numId w:val="2"/>
        </w:numPr>
        <w:spacing w:after="60"/>
      </w:pPr>
      <w:r>
        <w:rPr>
          <w:rFonts w:ascii="Calibri" w:cs="Calibri" w:eastAsia="Calibri" w:hAnsi="Calibri"/>
        </w:rPr>
        <w:t xml:space="preserve">SCS4 keeps budget raises only on “cooling sheets king” and “cool sheets king size”.</w:t>
      </w:r>
    </w:p>
    <w:p>
      <w:pPr>
        <w:pStyle w:val="ListParagraph"/>
        <w:numPr>
          <w:ilvl w:val="0"/>
          <w:numId w:val="2"/>
        </w:numPr>
        <w:spacing w:after="60"/>
      </w:pPr>
      <w:r>
        <w:rPr>
          <w:rFonts w:ascii="Calibri" w:cs="Calibri" w:eastAsia="Calibri" w:hAnsi="Calibri"/>
        </w:rPr>
        <w:t xml:space="preserve">Zero writes on paused campaigns; “cooling bed sheets” and “twin cooling sheets” appear as re-enable decisions.</w:t>
      </w:r>
    </w:p>
    <w:p>
      <w:pPr>
        <w:pStyle w:val="ListParagraph"/>
        <w:numPr>
          <w:ilvl w:val="0"/>
          <w:numId w:val="2"/>
        </w:numPr>
        <w:spacing w:after="60"/>
      </w:pPr>
      <w:r>
        <w:rPr>
          <w:rFonts w:ascii="Calibri" w:cs="Calibri" w:eastAsia="Calibri" w:hAnsi="Calibri"/>
        </w:rPr>
        <w:t xml:space="preserve">Every King swap is loaded or tasked, and no King price step loads before its swap.</w:t>
      </w:r>
    </w:p>
    <w:p>
      <w:pPr>
        <w:pStyle w:val="ListParagraph"/>
        <w:numPr>
          <w:ilvl w:val="0"/>
          <w:numId w:val="2"/>
        </w:numPr>
        <w:spacing w:after="60"/>
      </w:pPr>
      <w:r>
        <w:rPr>
          <w:rFonts w:ascii="Calibri" w:cs="Calibri" w:eastAsia="Calibri" w:hAnsi="Calibri"/>
        </w:rPr>
        <w:t xml:space="preserve">Zero rows export as changes whose text says HOLD, on either product.</w:t>
      </w:r>
    </w:p>
    <w:p>
      <w:pPr>
        <w:pStyle w:val="ListParagraph"/>
        <w:numPr>
          <w:ilvl w:val="0"/>
          <w:numId w:val="2"/>
        </w:numPr>
        <w:spacing w:after="60"/>
      </w:pPr>
      <w:r>
        <w:rPr>
          <w:rFonts w:ascii="Calibri" w:cs="Calibri" w:eastAsia="Calibri" w:hAnsi="Calibri"/>
        </w:rPr>
        <w:t xml:space="preserve">Both runs print an envelope, the requirement, what is reachable and the shortfall, and the traffic-vs-performance table.</w:t>
      </w:r>
    </w:p>
    <w:p>
      <w:pPr>
        <w:pStyle w:val="ListParagraph"/>
        <w:numPr>
          <w:ilvl w:val="0"/>
          <w:numId w:val="2"/>
        </w:numPr>
        <w:spacing w:after="60"/>
      </w:pPr>
      <w:r>
        <w:rPr>
          <w:rFonts w:ascii="Calibri" w:cs="Calibri" w:eastAsia="Calibri" w:hAnsi="Calibri"/>
        </w:rPr>
        <w:t xml:space="preserve">The Table 3 re-solve from the SCS4 correction reproduces within one cent of price on at least 90% of rows (differences explained by live-value drift).</w:t>
      </w:r>
    </w:p>
    <w:p>
      <w:pPr>
        <w:pStyle w:val="Heading2"/>
      </w:pPr>
      <w:r>
        <w:rPr>
          <w:rFonts w:ascii="Calibri" w:cs="Calibri" w:eastAsia="Calibri" w:hAnsi="Calibri"/>
        </w:rPr>
        <w:t xml:space="preserve">On the eight reviewed runs</w:t>
      </w:r>
    </w:p>
    <w:p>
      <w:pPr>
        <w:pStyle w:val="ListParagraph"/>
        <w:numPr>
          <w:ilvl w:val="0"/>
          <w:numId w:val="2"/>
        </w:numPr>
        <w:spacing w:after="60"/>
      </w:pPr>
      <w:r>
        <w:rPr>
          <w:rFonts w:ascii="Calibri" w:cs="Calibri" w:eastAsia="Calibri" w:hAnsi="Calibri"/>
        </w:rPr>
        <w:t xml:space="preserve">Every run header carries a posture line with its weekly TACoS evidence and a sales trend; a code-red run contains no raise or build rows.</w:t>
      </w:r>
    </w:p>
    <w:p>
      <w:pPr>
        <w:pStyle w:val="ListParagraph"/>
        <w:numPr>
          <w:ilvl w:val="0"/>
          <w:numId w:val="2"/>
        </w:numPr>
        <w:spacing w:after="60"/>
      </w:pPr>
      <w:r>
        <w:rPr>
          <w:rFonts w:ascii="Calibri" w:cs="Calibri" w:eastAsia="Calibri" w:hAnsi="Calibri"/>
        </w:rPr>
        <w:t xml:space="preserve">Zero swaps off a child with 30+ days of planner stock onto a slower-selling child; every swap row states its reason and both children’s planner figures.</w:t>
      </w:r>
    </w:p>
    <w:p>
      <w:pPr>
        <w:pStyle w:val="ListParagraph"/>
        <w:numPr>
          <w:ilvl w:val="0"/>
          <w:numId w:val="2"/>
        </w:numPr>
        <w:spacing w:after="60"/>
      </w:pPr>
      <w:r>
        <w:rPr>
          <w:rFonts w:ascii="Calibri" w:cs="Calibri" w:eastAsia="Calibri" w:hAnsi="Calibri"/>
        </w:rPr>
        <w:t xml:space="preserve">Zero colour pauses while any SKU of that colour and size has units; zero unsized SKUs with stock.</w:t>
      </w:r>
    </w:p>
    <w:p>
      <w:pPr>
        <w:pStyle w:val="ListParagraph"/>
        <w:numPr>
          <w:ilvl w:val="0"/>
          <w:numId w:val="2"/>
        </w:numPr>
        <w:spacing w:after="60"/>
      </w:pPr>
      <w:r>
        <w:rPr>
          <w:rFonts w:ascii="Calibri" w:cs="Calibri" w:eastAsia="Calibri" w:hAnsi="Calibri"/>
        </w:rPr>
        <w:t xml:space="preserve">Zero enabled campaigns on an out child without a swap, pause or closure row.</w:t>
      </w:r>
    </w:p>
    <w:p>
      <w:pPr>
        <w:pStyle w:val="ListParagraph"/>
        <w:numPr>
          <w:ilvl w:val="0"/>
          <w:numId w:val="2"/>
        </w:numPr>
        <w:spacing w:after="60"/>
      </w:pPr>
      <w:r>
        <w:rPr>
          <w:rFonts w:ascii="Calibri" w:cs="Calibri" w:eastAsia="Calibri" w:hAnsi="Calibri"/>
        </w:rPr>
        <w:t xml:space="preserve">Every freeze row shows two 7-day medians with dates within 27–33 days; the stale March and April freezes on DSS4, DSS6 and SCS4 do not recur.</w:t>
      </w:r>
    </w:p>
    <w:p>
      <w:pPr>
        <w:pStyle w:val="ListParagraph"/>
        <w:numPr>
          <w:ilvl w:val="0"/>
          <w:numId w:val="2"/>
        </w:numPr>
        <w:spacing w:after="60"/>
      </w:pPr>
      <w:r>
        <w:rPr>
          <w:rFonts w:ascii="Calibri" w:cs="Calibri" w:eastAsia="Calibri" w:hAnsi="Calibri"/>
        </w:rPr>
        <w:t xml:space="preserve">Zero writes on paused campaigns; zero rows whose text disagrees with their values; zero terms left with no live instance.</w:t>
      </w:r>
    </w:p>
    <w:p>
      <w:pPr>
        <w:pStyle w:val="ListParagraph"/>
        <w:numPr>
          <w:ilvl w:val="0"/>
          <w:numId w:val="2"/>
        </w:numPr>
        <w:spacing w:after="60"/>
      </w:pPr>
      <w:r>
        <w:rPr>
          <w:rFonts w:ascii="Calibri" w:cs="Calibri" w:eastAsia="Calibri" w:hAnsi="Calibri"/>
        </w:rPr>
        <w:t xml:space="preserve">The outcome reconciles to loadable enabled rows; new campaigns are priced from launch history; swaps and non-SP builds are listed as not priced.</w:t>
      </w:r>
    </w:p>
    <w:p>
      <w:pPr>
        <w:pStyle w:val="ListParagraph"/>
        <w:numPr>
          <w:ilvl w:val="0"/>
          <w:numId w:val="2"/>
        </w:numPr>
        <w:spacing w:after="60"/>
      </w:pPr>
      <w:r>
        <w:rPr>
          <w:rFonts w:ascii="Calibri" w:cs="Calibri" w:eastAsia="Calibri" w:hAnsi="Calibri"/>
        </w:rPr>
        <w:t xml:space="preserve">Every stored review opens with the premise checklist and gives identical rows one verdict.</w:t>
      </w:r>
    </w:p>
    <w:p>
      <w:pPr>
        <w:pStyle w:val="ListParagraph"/>
        <w:numPr>
          <w:ilvl w:val="0"/>
          <w:numId w:val="2"/>
        </w:numPr>
        <w:spacing w:after="60"/>
      </w:pPr>
      <w:r>
        <w:rPr>
          <w:rFonts w:ascii="Calibri" w:cs="Calibri" w:eastAsia="Calibri" w:hAnsi="Calibri"/>
        </w:rPr>
        <w:t xml:space="preserve">Re-run the eight products: the engine’s own holds cover the rows our reviews held, within 10%.</w:t>
      </w:r>
    </w:p>
    <w:p>
      <w:pPr>
        <w:pStyle w:val="Heading1"/>
      </w:pPr>
      <w:r>
        <w:rPr>
          <w:rFonts w:ascii="Calibri" w:cs="Calibri" w:eastAsia="Calibri" w:hAnsi="Calibri"/>
        </w:rPr>
        <w:t xml:space="preserve">Appendix A: where the recurring gaps were seen</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900"/>
        <w:gridCol w:w="900"/>
        <w:gridCol w:w="900"/>
        <w:gridCol w:w="1200"/>
        <w:gridCol w:w="900"/>
        <w:gridCol w:w="900"/>
        <w:gridCol w:w="1000"/>
        <w:gridCol w:w="1272"/>
      </w:tblGrid>
      <w:tr>
        <w:trPr>
          <w:cantSplit/>
          <w:tblHeader/>
        </w:trPr>
        <w:tc>
          <w:tcPr>
            <w:tcW w:type="dxa" w:w="2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Gap</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SSS4</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DSFS</w:t>
            </w:r>
          </w:p>
        </w:tc>
        <w:tc>
          <w:tcPr>
            <w:tcW w:type="dxa" w:w="12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DSS4 ×2</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DSS6</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DBS4</w:t>
            </w:r>
          </w:p>
        </w:tc>
        <w:tc>
          <w:tcPr>
            <w:tcW w:type="dxa" w:w="1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DBS6</w:t>
            </w:r>
          </w:p>
        </w:tc>
        <w:tc>
          <w:tcPr>
            <w:tcW w:type="dxa" w:w="12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SCS4</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A1 Posture</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code red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code red</w:t>
            </w:r>
          </w:p>
        </w:tc>
        <w:tc>
          <w:tcPr>
            <w:tcW w:type="dxa" w:w="1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code red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code red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within</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below band</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stale base</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S1 Swaps skip at apply</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72</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60</w:t>
            </w:r>
          </w:p>
        </w:tc>
        <w:tc>
          <w:tcPr>
            <w:tcW w:type="dxa" w:w="1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190 / 182</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232</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124</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92</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55</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S7 Swaps off in-stock children by rule</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52</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yes</w:t>
            </w:r>
          </w:p>
        </w:tc>
        <w:tc>
          <w:tcPr>
            <w:tcW w:type="dxa" w:w="1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86+ / 129</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83+</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S3 Colour pause on in-stock colour</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 / 10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S9 Campaigns on out children, no row</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25</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w:t>
            </w:r>
          </w:p>
        </w:tc>
        <w:tc>
          <w:tcPr>
            <w:tcW w:type="dxa" w:w="1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 / 12</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S2 Renames held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68</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w:t>
            </w:r>
          </w:p>
        </w:tc>
        <w:tc>
          <w:tcPr>
            <w:tcW w:type="dxa" w:w="1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190 / 184</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220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I2 Freezes (real / all)</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 / 3</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 / 0 of 4</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 / 19</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 / 12</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 / 4</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 / 4</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T1 Writes on paused campaigns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w:t>
            </w:r>
          </w:p>
        </w:tc>
        <w:tc>
          <w:tcPr>
            <w:tcW w:type="dxa" w:w="1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 / 12</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18</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15</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E1 Text against the write</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 claims, 6 prose</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 pairs</w:t>
            </w:r>
          </w:p>
        </w:tc>
        <w:tc>
          <w:tcPr>
            <w:tcW w:type="dxa" w:w="1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 claims / pairs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 claims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 claim</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 claims</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27 claims</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T4 Parked “re-price or pause”</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25</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28</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I7 Rows on campaigns not in export</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25</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50 / —</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18</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80</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14</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T6 Shared roots with siblings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yes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yes</w:t>
            </w:r>
          </w:p>
        </w:tc>
        <w:tc>
          <w:tcPr>
            <w:tcW w:type="dxa" w:w="1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yes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yes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r>
    </w:tbl>
    <w:p>
      <w:pPr>
        <w:spacing w:after="80"/>
      </w:pPr>
    </w:p>
    <w:p>
      <w:pPr>
        <w:spacing w:after="120"/>
      </w:pPr>
      <w:r>
        <w:rPr>
          <w:rFonts w:ascii="Calibri" w:cs="Calibri" w:eastAsia="Calibri" w:hAnsi="Calibri"/>
          <w:i/>
          <w:iCs/>
          <w:color w:val="555555"/>
          <w:sz w:val="17"/>
          <w:szCs w:val="17"/>
        </w:rPr>
        <w:t xml:space="preserve">Counts from the per-row workbooks in docs/reviews. “—” means not seen, or not read in that review. Where the two DSS4 runs differ, both counts are given (22 Sep / 24 Sep).</w:t>
      </w:r>
    </w:p>
    <w:p>
      <w:pPr>
        <w:pStyle w:val="Heading1"/>
      </w:pPr>
      <w:r>
        <w:rPr>
          <w:rFonts w:ascii="Calibri" w:cs="Calibri" w:eastAsia="Calibri" w:hAnsi="Calibri"/>
        </w:rPr>
        <w:t xml:space="preserve">Appendix B: gaps against the logic document</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5000"/>
        <w:gridCol w:w="4972"/>
      </w:tblGrid>
      <w:tr>
        <w:trPr>
          <w:cantSplit/>
          <w:tblHeader/>
        </w:trPr>
        <w:tc>
          <w:tcPr>
            <w:tcW w:type="dxa" w:w="5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Logic document section</w:t>
            </w:r>
          </w:p>
        </w:tc>
        <w:tc>
          <w:tcPr>
            <w:tcW w:type="dxa" w:w="49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Gaps</w:t>
            </w:r>
          </w:p>
        </w:tc>
      </w:tr>
      <w:tr>
        <w:trPr>
          <w:cantSplit/>
          <w:tblHeader w:val="false"/>
        </w:trPr>
        <w:tc>
          <w:tcPr>
            <w:tcW w:type="dxa" w:w="5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 One bid, three prices</w:t>
            </w:r>
          </w:p>
        </w:tc>
        <w:tc>
          <w:tcPr>
            <w:tcW w:type="dxa" w:w="4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P10, P11</w:t>
            </w:r>
          </w:p>
        </w:tc>
      </w:tr>
      <w:tr>
        <w:trPr>
          <w:cantSplit/>
          <w:tblHeader w:val="false"/>
        </w:trPr>
        <w:tc>
          <w:tcPr>
            <w:tcW w:type="dxa" w:w="5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 What each placement can afford (contribution)</w:t>
            </w:r>
          </w:p>
        </w:tc>
        <w:tc>
          <w:tcPr>
            <w:tcW w:type="dxa" w:w="4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I1</w:t>
            </w:r>
          </w:p>
        </w:tc>
      </w:tr>
      <w:tr>
        <w:trPr>
          <w:cantSplit/>
          <w:tblHeader w:val="false"/>
        </w:trPr>
        <w:tc>
          <w:tcPr>
            <w:tcW w:type="dxa" w:w="5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 Which conversion rate — earned, not assumed</w:t>
            </w:r>
          </w:p>
        </w:tc>
        <w:tc>
          <w:tcPr>
            <w:tcW w:type="dxa" w:w="4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P2, I5</w:t>
            </w:r>
          </w:p>
        </w:tc>
      </w:tr>
      <w:tr>
        <w:trPr>
          <w:cantSplit/>
          <w:tblHeader w:val="false"/>
        </w:trPr>
        <w:tc>
          <w:tcPr>
            <w:tcW w:type="dxa" w:w="5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 Two decisions, one calculation</w:t>
            </w:r>
          </w:p>
        </w:tc>
        <w:tc>
          <w:tcPr>
            <w:tcW w:type="dxa" w:w="4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P11</w:t>
            </w:r>
          </w:p>
        </w:tc>
      </w:tr>
      <w:tr>
        <w:trPr>
          <w:cantSplit/>
          <w:tblHeader w:val="false"/>
        </w:trPr>
        <w:tc>
          <w:tcPr>
            <w:tcW w:type="dxa" w:w="5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 State both prices; the 70/20 mix; clicks not impressions</w:t>
            </w:r>
          </w:p>
        </w:tc>
        <w:tc>
          <w:tcPr>
            <w:tcW w:type="dxa" w:w="4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P5, P11, R2</w:t>
            </w:r>
          </w:p>
        </w:tc>
      </w:tr>
      <w:tr>
        <w:trPr>
          <w:cantSplit/>
          <w:tblHeader w:val="false"/>
        </w:trPr>
        <w:tc>
          <w:tcPr>
            <w:tcW w:type="dxa" w:w="5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 How far above the ceiling — the gap, the conditions, the bounds</w:t>
            </w:r>
          </w:p>
        </w:tc>
        <w:tc>
          <w:tcPr>
            <w:tcW w:type="dxa" w:w="4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P1, P3, P4, P12, I6, R3</w:t>
            </w:r>
          </w:p>
        </w:tc>
      </w:tr>
      <w:tr>
        <w:trPr>
          <w:cantSplit/>
          <w:tblHeader w:val="false"/>
        </w:trPr>
        <w:tc>
          <w:tcPr>
            <w:tcW w:type="dxa" w:w="5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 How many clicks — daily units set the volume</w:t>
            </w:r>
          </w:p>
        </w:tc>
        <w:tc>
          <w:tcPr>
            <w:tcW w:type="dxa" w:w="4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P12, P14</w:t>
            </w:r>
          </w:p>
        </w:tc>
      </w:tr>
      <w:tr>
        <w:trPr>
          <w:cantSplit/>
          <w:tblHeader w:val="false"/>
        </w:trPr>
        <w:tc>
          <w:tcPr>
            <w:tcW w:type="dxa" w:w="5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 Above the ceiling — the five bounds; rest of search</w:t>
            </w:r>
          </w:p>
        </w:tc>
        <w:tc>
          <w:tcPr>
            <w:tcW w:type="dxa" w:w="4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P1, P9, P10</w:t>
            </w:r>
          </w:p>
        </w:tc>
      </w:tr>
      <w:tr>
        <w:trPr>
          <w:cantSplit/>
          <w:tblHeader w:val="false"/>
        </w:trPr>
        <w:tc>
          <w:tcPr>
            <w:tcW w:type="dxa" w:w="5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 The four kinds of write</w:t>
            </w:r>
          </w:p>
        </w:tc>
        <w:tc>
          <w:tcPr>
            <w:tcW w:type="dxa" w:w="4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P5, P7</w:t>
            </w:r>
          </w:p>
        </w:tc>
      </w:tr>
      <w:tr>
        <w:trPr>
          <w:cantSplit/>
          <w:tblHeader w:val="false"/>
        </w:trPr>
        <w:tc>
          <w:tcPr>
            <w:tcW w:type="dxa" w:w="5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 Step sizes, caps and the base floor</w:t>
            </w:r>
          </w:p>
        </w:tc>
        <w:tc>
          <w:tcPr>
            <w:tcW w:type="dxa" w:w="4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P6, P8, P10</w:t>
            </w:r>
          </w:p>
        </w:tc>
      </w:tr>
      <w:tr>
        <w:trPr>
          <w:cantSplit/>
          <w:tblHeader w:val="false"/>
        </w:trPr>
        <w:tc>
          <w:tcPr>
            <w:tcW w:type="dxa" w:w="5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 What a push must prove</w:t>
            </w:r>
          </w:p>
        </w:tc>
        <w:tc>
          <w:tcPr>
            <w:tcW w:type="dxa" w:w="4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P3, P14, E4</w:t>
            </w:r>
          </w:p>
        </w:tc>
      </w:tr>
      <w:tr>
        <w:trPr>
          <w:cantSplit/>
          <w:tblHeader w:val="false"/>
        </w:trPr>
        <w:tc>
          <w:tcPr>
            <w:tcW w:type="dxa" w:w="5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 Reading a campaign</w:t>
            </w:r>
          </w:p>
        </w:tc>
        <w:tc>
          <w:tcPr>
            <w:tcW w:type="dxa" w:w="4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P8, P13, T4, S1, R1</w:t>
            </w:r>
          </w:p>
        </w:tc>
      </w:tr>
      <w:tr>
        <w:trPr>
          <w:cantSplit/>
          <w:tblHeader w:val="false"/>
        </w:trPr>
        <w:tc>
          <w:tcPr>
            <w:tcW w:type="dxa" w:w="5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 Holding a won rank — the probe</w:t>
            </w:r>
          </w:p>
        </w:tc>
        <w:tc>
          <w:tcPr>
            <w:tcW w:type="dxa" w:w="4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P7, I2</w:t>
            </w:r>
          </w:p>
        </w:tc>
      </w:tr>
      <w:tr>
        <w:trPr>
          <w:cantSplit/>
          <w:tblHeader w:val="false"/>
        </w:trPr>
        <w:tc>
          <w:tcPr>
            <w:tcW w:type="dxa" w:w="5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§14 Before a push may be cut back</w:t>
            </w:r>
          </w:p>
        </w:tc>
        <w:tc>
          <w:tcPr>
            <w:tcW w:type="dxa" w:w="4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P7</w:t>
            </w:r>
          </w:p>
        </w:tc>
      </w:tr>
      <w:tr>
        <w:trPr>
          <w:cantSplit/>
          <w:tblHeader w:val="false"/>
        </w:trPr>
        <w:tc>
          <w:tcPr>
            <w:tcW w:type="dxa" w:w="5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§15 What we measure</w:t>
            </w:r>
          </w:p>
        </w:tc>
        <w:tc>
          <w:tcPr>
            <w:tcW w:type="dxa" w:w="4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I6, E5, R2</w:t>
            </w:r>
          </w:p>
        </w:tc>
      </w:tr>
      <w:tr>
        <w:trPr>
          <w:cantSplit/>
          <w:tblHeader w:val="false"/>
        </w:trPr>
        <w:tc>
          <w:tcPr>
            <w:tcW w:type="dxa" w:w="5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§16 The four tables every plan carries</w:t>
            </w:r>
          </w:p>
        </w:tc>
        <w:tc>
          <w:tcPr>
            <w:tcW w:type="dxa" w:w="4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P2, I5, P12</w:t>
            </w:r>
          </w:p>
        </w:tc>
      </w:tr>
    </w:tbl>
    <w:p>
      <w:pPr>
        <w:spacing w:after="80"/>
      </w:pPr>
    </w:p>
    <w:sectPr>
      <w:footerReference w:type="default" r:id="rId7"/>
      <w:pgSz w:w="12240" w:h="15840" w:orient="portrait"/>
      <w:pgMar w:top="1020" w:right="1134" w:bottom="102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5"/>
        <w:szCs w:val="15"/>
      </w:rPr>
      <w:t xml:space="preserve">Audit engine improvements · B6 and SCS4 corrections, eight reviewed runs · 25 Sep 2026 · page </w:t>
    </w:r>
    <w:r>
      <w:rPr>
        <w:color w:val="88888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80" w:before="360"/>
      <w:outlineLvl w:val="0"/>
    </w:pPr>
    <w:rPr>
      <w:rFonts w:ascii="Calibri" w:cs="Calibri" w:eastAsia="Calibri" w:hAnsi="Calibri"/>
      <w:b/>
      <w:bCs/>
      <w:color w:val="1F3A5F"/>
      <w:sz w:val="32"/>
      <w:szCs w:val="32"/>
    </w:rPr>
  </w:style>
  <w:style w:type="paragraph" w:styleId="Heading2">
    <w:name w:val="Heading 2"/>
    <w:basedOn w:val="Normal"/>
    <w:next w:val="Normal"/>
    <w:qFormat/>
    <w:pPr>
      <w:keepNext/>
      <w:keepLines/>
      <w:spacing w:after="60" w:before="200"/>
      <w:outlineLvl w:val="1"/>
    </w:pPr>
    <w:rPr>
      <w:rFonts w:ascii="Calibri" w:cs="Calibri" w:eastAsia="Calibri" w:hAnsi="Calibri"/>
      <w:b/>
      <w:bCs/>
      <w:color w:val="1F3A5F"/>
      <w:sz w:val="26"/>
      <w:szCs w:val="26"/>
    </w:rPr>
  </w:style>
  <w:style w:type="paragraph" w:styleId="Heading3">
    <w:name w:val="Heading 3"/>
    <w:basedOn w:val="Normal"/>
    <w:next w:val="Normal"/>
    <w:qFormat/>
    <w:pPr>
      <w:keepNext/>
      <w:keepLines/>
      <w:spacing w:after="40" w:before="200"/>
      <w:outlineLvl w:val="2"/>
    </w:pPr>
    <w:rPr>
      <w:rFonts w:ascii="Calibri" w:cs="Calibri" w:eastAsia="Calibri" w:hAnsi="Calibri"/>
      <w:b/>
      <w:bCs/>
      <w:color w:val="1F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engine improvements</dc:title>
  <dc:creator>Claude Code</dc:creator>
  <cp:lastModifiedBy>Un-named</cp:lastModifiedBy>
  <cp:revision>1</cp:revision>
  <dcterms:created xsi:type="dcterms:W3CDTF">2026-09-25T09:35:37.734Z</dcterms:created>
  <dcterms:modified xsi:type="dcterms:W3CDTF">2026-09-25T09:35:37.735Z</dcterms:modified>
</cp:coreProperties>
</file>

<file path=docProps/custom.xml><?xml version="1.0" encoding="utf-8"?>
<Properties xmlns="http://schemas.openxmlformats.org/officeDocument/2006/custom-properties" xmlns:vt="http://schemas.openxmlformats.org/officeDocument/2006/docPropsVTypes"/>
</file>