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Corrections to the 28 September PPC audit — Decolure Bamboo Sheets 6-Piece (B6)</w:t>
      </w:r>
    </w:p>
    <w:p>
      <w:pPr>
        <w:spacing w:after="200"/>
      </w:pPr>
      <w:r>
        <w:rPr>
          <w:color w:val="555555"/>
          <w:sz w:val="19"/>
          <w:szCs w:val="19"/>
        </w:rPr>
        <w:t xml:space="preserve">For Joseph · 28 September 2026 · audit run 20260928-535a4eef · combines two independent reviews of the same audit</w:t>
      </w:r>
    </w:p>
    <w:p>
      <w:pPr>
        <w:pStyle w:val="Heading1"/>
      </w:pPr>
      <w:r>
        <w:t xml:space="preserve">Summary</w:t>
      </w:r>
    </w:p>
    <w:p>
      <w:pPr>
        <w:spacing w:after="100"/>
      </w:pPr>
      <w:r>
        <w:t xml:space="preserve">The audit proposes 408 changes on 136 of the product’s campaigns and 15 new campaigns. It pushes Queen, Full, King and cooling terms. But it doesn’t know B6 is on a Best Deal right now (26–30 September): it records no deal, prices nothing for it, and its own review says no deal runs in the next two weeks.</w:t>
      </w:r>
    </w:p>
    <w:p>
      <w:pPr>
        <w:spacing w:after="100"/>
      </w:pPr>
      <w:r>
        <w:t xml:space="preserve">Two people reviewed the audit separately. This document combines the corrections both found; where both raised the same issue, it keeps the better-supported version. It explains the logic of each correction with a few examples. The campaign-by-campaign list is in the separate campaign register. Where the register’s price for a push term differs, the push price in this document applies.</w:t>
      </w:r>
    </w:p>
    <w:p>
      <w:pPr>
        <w:spacing w:after="100"/>
      </w:pPr>
      <w:r>
        <w:t xml:space="preserve">The corrections:</w:t>
      </w:r>
    </w:p>
    <w:p>
      <w:pPr>
        <w:pStyle w:val="ListParagraph"/>
        <w:numPr>
          <w:ilvl w:val="0"/>
          <w:numId w:val="2"/>
        </w:numPr>
        <w:spacing w:after="60"/>
      </w:pPr>
      <w:r>
        <w:rPr>
          <w:b/>
          <w:bCs/>
        </w:rPr>
        <w:t xml:space="preserve">Push harder at top of search, on a tactical set of terms, with a costed plan. </w:t>
      </w:r>
      <w:r>
        <w:t xml:space="preserve">A competitor with 129 reviews, True Bamboo, climbed from about 110 to the top 5 on three of our main terms in about 9 days by holding the top ad slot. Our click-through and conversion already beat the market on these terms; what’s missing is volume at the top. Sixteen terms get a plan for clicks, orders and budget (Section 5.3). Fixed bidding, the base cut and the push price go in one write. Prices then step up daily until each term holds the top slot, never above twice break-even. The audit’s 18 jumps of 75% go.</w:t>
      </w:r>
    </w:p>
    <w:p>
      <w:pPr>
        <w:pStyle w:val="ListParagraph"/>
        <w:numPr>
          <w:ilvl w:val="0"/>
          <w:numId w:val="2"/>
        </w:numPr>
        <w:spacing w:after="60"/>
      </w:pPr>
      <w:r>
        <w:rPr>
          <w:b/>
          <w:bCs/>
        </w:rPr>
        <w:t xml:space="preserve">“bamboo sheets” is in the push. </w:t>
      </w:r>
      <w:r>
        <w:t xml:space="preserve">It is B6’s biggest term and qualifies. The audit marks it out of focus and contradicts itself on its price (Section 5.6).</w:t>
      </w:r>
    </w:p>
    <w:p>
      <w:pPr>
        <w:pStyle w:val="ListParagraph"/>
        <w:numPr>
          <w:ilvl w:val="0"/>
          <w:numId w:val="2"/>
        </w:numPr>
        <w:spacing w:after="60"/>
      </w:pPr>
      <w:r>
        <w:rPr>
          <w:b/>
          <w:bCs/>
        </w:rPr>
        <w:t xml:space="preserve">Break-even is lower than the audit thinks. </w:t>
      </w:r>
      <w:r>
        <w:t xml:space="preserve">The audit prices on $26.88 profit per unit (34.0% break-even ACoS). Sellerboard shows $18.81 across B6 before the deal and $18.18 at the deal price: 23.8% break-even ACoS. Each campaign is priced on its advertised colour’s own margin.</w:t>
      </w:r>
    </w:p>
    <w:p>
      <w:pPr>
        <w:pStyle w:val="ListParagraph"/>
        <w:numPr>
          <w:ilvl w:val="0"/>
          <w:numId w:val="2"/>
        </w:numPr>
        <w:spacing w:after="60"/>
      </w:pPr>
      <w:r>
        <w:rPr>
          <w:b/>
          <w:bCs/>
        </w:rPr>
        <w:t xml:space="preserve">Set goals for the run. </w:t>
      </w:r>
      <w:r>
        <w:t xml:space="preserve">The audit has no spend target, TACoS goal or product goal. Its forecast ($1,295 a day, 40% ACoS, 18.9% TACoS) is built on a baseline that includes three deal days (Section 3).</w:t>
      </w:r>
    </w:p>
    <w:p>
      <w:pPr>
        <w:pStyle w:val="ListParagraph"/>
        <w:numPr>
          <w:ilvl w:val="0"/>
          <w:numId w:val="2"/>
        </w:numPr>
        <w:spacing w:after="60"/>
      </w:pPr>
      <w:r>
        <w:rPr>
          <w:b/>
          <w:bCs/>
        </w:rPr>
        <w:t xml:space="preserve">Plan the exit from the deal on 30 September </w:t>
      </w:r>
      <w:r>
        <w:t xml:space="preserve">so deal-level spend comes down without losing the rank the deal bought (Section 4).</w:t>
      </w:r>
    </w:p>
    <w:p>
      <w:pPr>
        <w:pStyle w:val="ListParagraph"/>
        <w:numPr>
          <w:ilvl w:val="0"/>
          <w:numId w:val="2"/>
        </w:numPr>
        <w:spacing w:after="60"/>
      </w:pPr>
      <w:r>
        <w:rPr>
          <w:b/>
          <w:bCs/>
        </w:rPr>
        <w:t xml:space="preserve">Advertise the right colours. </w:t>
      </w:r>
      <w:r>
        <w:t xml:space="preserve">Keep Queen on White: the audit moves 75 Queen campaigns to Olive, the size’s seventh seller. Three switches move campaigns to a different size. 17 discovery campaigns advertise White instead of the size’s clearance colour (Section 6).</w:t>
      </w:r>
    </w:p>
    <w:p>
      <w:pPr>
        <w:pStyle w:val="ListParagraph"/>
        <w:numPr>
          <w:ilvl w:val="0"/>
          <w:numId w:val="2"/>
        </w:numPr>
        <w:spacing w:after="60"/>
      </w:pPr>
      <w:r>
        <w:rPr>
          <w:b/>
          <w:bCs/>
        </w:rPr>
        <w:t xml:space="preserve">Restart the focus campaigns that can’t serve. </w:t>
      </w:r>
      <w:r>
        <w:t xml:space="preserve">Don’t duplicate them. The exact campaign for “bamboo sheets full” (target rank 2) is paused, and the audit builds a new one beside it (Section 7).</w:t>
      </w:r>
    </w:p>
    <w:p>
      <w:pPr>
        <w:pStyle w:val="ListParagraph"/>
        <w:numPr>
          <w:ilvl w:val="0"/>
          <w:numId w:val="2"/>
        </w:numPr>
        <w:spacing w:after="60"/>
      </w:pPr>
      <w:r>
        <w:rPr>
          <w:b/>
          <w:bCs/>
        </w:rPr>
        <w:t xml:space="preserve">Don’t load what the engine got wrong. </w:t>
      </w:r>
      <w:r>
        <w:t xml:space="preserve">This includes:</w:t>
      </w:r>
    </w:p>
    <w:p>
      <w:pPr>
        <w:pStyle w:val="ListParagraph"/>
        <w:numPr>
          <w:ilvl w:val="0"/>
          <w:numId w:val="3"/>
        </w:numPr>
        <w:spacing w:after="60"/>
      </w:pPr>
      <w:r>
        <w:t xml:space="preserve">all 35 budget changes, which are blocked;</w:t>
      </w:r>
    </w:p>
    <w:p>
      <w:pPr>
        <w:pStyle w:val="ListParagraph"/>
        <w:numPr>
          <w:ilvl w:val="0"/>
          <w:numId w:val="3"/>
        </w:numPr>
        <w:spacing w:after="60"/>
      </w:pPr>
      <w:r>
        <w:t xml:space="preserve">all 88 colour switches, which skip on upload;</w:t>
      </w:r>
    </w:p>
    <w:p>
      <w:pPr>
        <w:pStyle w:val="ListParagraph"/>
        <w:numPr>
          <w:ilvl w:val="0"/>
          <w:numId w:val="3"/>
        </w:numPr>
        <w:spacing w:after="60"/>
      </w:pPr>
      <w:r>
        <w:t xml:space="preserve">18 rows the engine itself withholds;</w:t>
      </w:r>
    </w:p>
    <w:p>
      <w:pPr>
        <w:pStyle w:val="ListParagraph"/>
        <w:numPr>
          <w:ilvl w:val="0"/>
          <w:numId w:val="3"/>
        </w:numPr>
        <w:spacing w:after="60"/>
      </w:pPr>
      <w:r>
        <w:t xml:space="preserve">181 changes on campaigns missing from the audit’s own list;</w:t>
      </w:r>
    </w:p>
    <w:p>
      <w:pPr>
        <w:pStyle w:val="ListParagraph"/>
        <w:numPr>
          <w:ilvl w:val="0"/>
          <w:numId w:val="3"/>
        </w:numPr>
        <w:spacing w:after="60"/>
      </w:pPr>
      <w:r>
        <w:t xml:space="preserve">15 new campaigns that would launch mid-deal.</w:t>
      </w:r>
    </w:p>
    <w:p>
      <w:pPr>
        <w:spacing w:after="100"/>
      </w:pPr>
      <w:r>
        <w:t xml:space="preserve">The forecast is about ten times too high (Sections 12 and 14).</w:t>
      </w:r>
    </w:p>
    <w:p>
      <w:pPr>
        <w:spacing w:after="100"/>
      </w:pPr>
      <w:r>
        <w:rPr>
          <w:b/>
          <w:bCs/>
          <w:color w:val="1F3A5F"/>
        </w:rPr>
        <w:t xml:space="preserve">Decided: </w:t>
      </w:r>
      <w:r>
        <w:t xml:space="preserve">the full push plan, about $1,530 a day for about 46 orders a day, for three weeks from 29 September (Section 5.3). A separate audit on 1 October sets the post-deal prices, TACoS goal and spend limit.</w:t>
      </w:r>
    </w:p>
    <w:p>
      <w:pPr>
        <w:pStyle w:val="Heading1"/>
      </w:pPr>
      <w:r>
        <w:t xml:space="preserve">How to read this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7372"/>
      </w:tblGrid>
      <w:tr>
        <w:trPr>
          <w:tblHeader/>
        </w:trPr>
        <w:tc>
          <w:tcPr>
            <w:tcW w:type="dxa" w:w="26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7372"/>
            <w:shd w:fill="1F3A5F" w:color="auto" w:val="clear"/>
            <w:tcMar>
              <w:top w:type="dxa" w:w="40"/>
              <w:left w:type="dxa" w:w="70"/>
              <w:bottom w:type="dxa" w:w="40"/>
              <w:right w:type="dxa" w:w="70"/>
            </w:tcMar>
          </w:tcPr>
          <w:p>
            <w:pPr>
              <w:spacing w:after="0"/>
            </w:pPr>
            <w:r>
              <w:rPr>
                <w:b/>
                <w:bCs/>
                <w:color w:val="FFFFFF"/>
                <w:sz w:val="17"/>
                <w:szCs w:val="17"/>
              </w:rPr>
              <w:t xml:space="preserve">What it means here</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 of search / product pages</w:t>
            </w:r>
          </w:p>
        </w:tc>
        <w:tc>
          <w:tcPr>
            <w:tcW w:type="dxa" w:w="7372"/>
            <w:shd w:fill="FFFFFF" w:color="auto" w:val="clear"/>
            <w:tcMar>
              <w:top w:type="dxa" w:w="40"/>
              <w:left w:type="dxa" w:w="70"/>
              <w:bottom w:type="dxa" w:w="40"/>
              <w:right w:type="dxa" w:w="70"/>
            </w:tcMar>
          </w:tcPr>
          <w:p>
            <w:pPr>
              <w:spacing w:after="0"/>
            </w:pPr>
            <w:r>
              <w:rPr>
                <w:sz w:val="17"/>
                <w:szCs w:val="17"/>
              </w:rPr>
              <w:t xml:space="preserve">Top of search is the ad slots at the top of the first results page; these move organic rank. Product pages are ads on other listings’ pages, which are cheaper and do little for rank. Target: 70–90% of a ranking campaign’s clicks at top of search, and 20% or less on product pages.</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Base bid / top-of-search boost</w:t>
            </w:r>
          </w:p>
        </w:tc>
        <w:tc>
          <w:tcPr>
            <w:tcW w:type="dxa" w:w="7372"/>
            <w:shd w:fill="F2F5F9" w:color="auto" w:val="clear"/>
            <w:tcMar>
              <w:top w:type="dxa" w:w="40"/>
              <w:left w:type="dxa" w:w="70"/>
              <w:bottom w:type="dxa" w:w="40"/>
              <w:right w:type="dxa" w:w="70"/>
            </w:tcMar>
          </w:tcPr>
          <w:p>
            <w:pPr>
              <w:spacing w:after="0"/>
            </w:pPr>
            <w:r>
              <w:rPr>
                <w:sz w:val="17"/>
                <w:szCs w:val="17"/>
              </w:rPr>
              <w:t xml:space="preserve">The base bid is what we pay on product pages and in the rest of search. The boost (the top-of-search modifier in Campaign Manager) is a percentage Amazon adds for the top slots only. The most Amazon allows is 900%.</w:t>
            </w:r>
          </w:p>
        </w:tc>
      </w:tr>
      <w:tr>
        <w:tc>
          <w:tcPr>
            <w:tcW w:type="dxa" w:w="2600"/>
            <w:shd w:fill="FFFFFF" w:color="auto" w:val="clear"/>
            <w:tcMar>
              <w:top w:type="dxa" w:w="40"/>
              <w:left w:type="dxa" w:w="70"/>
              <w:bottom w:type="dxa" w:w="40"/>
              <w:right w:type="dxa" w:w="70"/>
            </w:tcMar>
          </w:tcPr>
          <w:p>
            <w:pPr>
              <w:spacing w:after="0"/>
            </w:pPr>
            <w:r>
              <w:rPr>
                <w:sz w:val="17"/>
                <w:szCs w:val="17"/>
              </w:rPr>
              <w:t xml:space="preserve">Top-of-search price</w:t>
            </w:r>
          </w:p>
        </w:tc>
        <w:tc>
          <w:tcPr>
            <w:tcW w:type="dxa" w:w="7372"/>
            <w:shd w:fill="FFFFFF" w:color="auto" w:val="clear"/>
            <w:tcMar>
              <w:top w:type="dxa" w:w="40"/>
              <w:left w:type="dxa" w:w="70"/>
              <w:bottom w:type="dxa" w:w="40"/>
              <w:right w:type="dxa" w:w="70"/>
            </w:tcMar>
          </w:tcPr>
          <w:p>
            <w:pPr>
              <w:spacing w:after="0"/>
            </w:pPr>
            <w:r>
              <w:rPr>
                <w:sz w:val="17"/>
                <w:szCs w:val="17"/>
              </w:rPr>
              <w:t xml:space="preserve">Base bid × (1 + boost), which is the most we pay per top-of-search click (the effective top-of-search bid).</w:t>
            </w:r>
          </w:p>
        </w:tc>
      </w:tr>
      <w:tr>
        <w:tc>
          <w:tcPr>
            <w:tcW w:type="dxa" w:w="2600"/>
            <w:shd w:fill="F2F5F9" w:color="auto" w:val="clear"/>
            <w:tcMar>
              <w:top w:type="dxa" w:w="40"/>
              <w:left w:type="dxa" w:w="70"/>
              <w:bottom w:type="dxa" w:w="40"/>
              <w:right w:type="dxa" w:w="70"/>
            </w:tcMar>
          </w:tcPr>
          <w:p>
            <w:pPr>
              <w:spacing w:after="0"/>
            </w:pPr>
            <w:r>
              <w:rPr>
                <w:sz w:val="17"/>
                <w:szCs w:val="17"/>
              </w:rPr>
              <w:t xml:space="preserve">Down-only / fixed bidding</w:t>
            </w:r>
          </w:p>
        </w:tc>
        <w:tc>
          <w:tcPr>
            <w:tcW w:type="dxa" w:w="7372"/>
            <w:shd w:fill="F2F5F9" w:color="auto" w:val="clear"/>
            <w:tcMar>
              <w:top w:type="dxa" w:w="40"/>
              <w:left w:type="dxa" w:w="70"/>
              <w:bottom w:type="dxa" w:w="40"/>
              <w:right w:type="dxa" w:w="70"/>
            </w:tcMar>
          </w:tcPr>
          <w:p>
            <w:pPr>
              <w:spacing w:after="0"/>
            </w:pPr>
            <w:r>
              <w:rPr>
                <w:sz w:val="17"/>
                <w:szCs w:val="17"/>
              </w:rPr>
              <w:t xml:space="preserve">Down-only lets Amazon cut our bid when it thinks a click is less likely to sell, so the ad often loses the top slot. Fixed bidding bids exactly what we set. A push needs fixed bidding.</w:t>
            </w:r>
          </w:p>
        </w:tc>
      </w:tr>
      <w:tr>
        <w:tc>
          <w:tcPr>
            <w:tcW w:type="dxa" w:w="2600"/>
            <w:shd w:fill="FFFFFF" w:color="auto" w:val="clear"/>
            <w:tcMar>
              <w:top w:type="dxa" w:w="40"/>
              <w:left w:type="dxa" w:w="70"/>
              <w:bottom w:type="dxa" w:w="40"/>
              <w:right w:type="dxa" w:w="70"/>
            </w:tcMar>
          </w:tcPr>
          <w:p>
            <w:pPr>
              <w:spacing w:after="0"/>
            </w:pPr>
            <w:r>
              <w:rPr>
                <w:sz w:val="17"/>
                <w:szCs w:val="17"/>
              </w:rPr>
              <w:t xml:space="preserve">Break-even price</w:t>
            </w:r>
          </w:p>
        </w:tc>
        <w:tc>
          <w:tcPr>
            <w:tcW w:type="dxa" w:w="7372"/>
            <w:shd w:fill="FFFFFF" w:color="auto" w:val="clear"/>
            <w:tcMar>
              <w:top w:type="dxa" w:w="40"/>
              <w:left w:type="dxa" w:w="70"/>
              <w:bottom w:type="dxa" w:w="40"/>
              <w:right w:type="dxa" w:w="70"/>
            </w:tcMar>
          </w:tcPr>
          <w:p>
            <w:pPr>
              <w:spacing w:after="0"/>
            </w:pPr>
            <w:r>
              <w:rPr>
                <w:sz w:val="17"/>
                <w:szCs w:val="17"/>
              </w:rPr>
              <w:t xml:space="preserve">Profit per unit before ads × the chance a top-of-search click becomes a sale. Above it, each ad sale loses money. Profit per unit comes from Sellerboard (27 August–25 September). It is $18.81 across B6 before the deal and $18.18 at the deal price (break-even ACoS 23.8%). Each campaign uses its advertised colour’s own margin, for example King White $15.97, Queen White $19.51, Full White $22.06, Queen Olive $12.43 and Queen Creme $22.51. The conversion rate is the size’s rate until a campaign has 15 top-of-search clicks, blends toward its own between 15 and 50, and is its own from 50. Each campaign’s figure is in the campaign register.</w:t>
            </w:r>
          </w:p>
        </w:tc>
      </w:tr>
      <w:tr>
        <w:tc>
          <w:tcPr>
            <w:tcW w:type="dxa" w:w="2600"/>
            <w:shd w:fill="F2F5F9" w:color="auto" w:val="clear"/>
            <w:tcMar>
              <w:top w:type="dxa" w:w="40"/>
              <w:left w:type="dxa" w:w="70"/>
              <w:bottom w:type="dxa" w:w="40"/>
              <w:right w:type="dxa" w:w="70"/>
            </w:tcMar>
          </w:tcPr>
          <w:p>
            <w:pPr>
              <w:spacing w:after="0"/>
            </w:pPr>
            <w:r>
              <w:rPr>
                <w:sz w:val="17"/>
                <w:szCs w:val="17"/>
              </w:rPr>
              <w:t xml:space="preserve">Push price</w:t>
            </w:r>
          </w:p>
        </w:tc>
        <w:tc>
          <w:tcPr>
            <w:tcW w:type="dxa" w:w="7372"/>
            <w:shd w:fill="F2F5F9" w:color="auto" w:val="clear"/>
            <w:tcMar>
              <w:top w:type="dxa" w:w="40"/>
              <w:left w:type="dxa" w:w="70"/>
              <w:bottom w:type="dxa" w:w="40"/>
              <w:right w:type="dxa" w:w="70"/>
            </w:tcMar>
          </w:tcPr>
          <w:p>
            <w:pPr>
              <w:spacing w:after="0"/>
            </w:pPr>
            <w:r>
              <w:rPr>
                <w:sz w:val="17"/>
                <w:szCs w:val="17"/>
              </w:rPr>
              <w:t xml:space="preserve">A price above break-even paid on purpose to buy rank. It is set by how far the term is from its target rank. It is never more than twice break-even, which keeps the cost per sale below the order value, and it steps up by at most 30% a day while the term isn’t holding the top slot.</w:t>
            </w:r>
          </w:p>
        </w:tc>
      </w:tr>
      <w:tr>
        <w:tc>
          <w:tcPr>
            <w:tcW w:type="dxa" w:w="2600"/>
            <w:shd w:fill="FFFFFF" w:color="auto" w:val="clear"/>
            <w:tcMar>
              <w:top w:type="dxa" w:w="40"/>
              <w:left w:type="dxa" w:w="70"/>
              <w:bottom w:type="dxa" w:w="40"/>
              <w:right w:type="dxa" w:w="70"/>
            </w:tcMar>
          </w:tcPr>
          <w:p>
            <w:pPr>
              <w:spacing w:after="0"/>
            </w:pPr>
            <w:r>
              <w:rPr>
                <w:sz w:val="17"/>
                <w:szCs w:val="17"/>
              </w:rPr>
              <w:t xml:space="preserve">Available stock</w:t>
            </w:r>
          </w:p>
        </w:tc>
        <w:tc>
          <w:tcPr>
            <w:tcW w:type="dxa" w:w="7372"/>
            <w:shd w:fill="FFFFFF" w:color="auto" w:val="clear"/>
            <w:tcMar>
              <w:top w:type="dxa" w:w="40"/>
              <w:left w:type="dxa" w:w="70"/>
              <w:bottom w:type="dxa" w:w="40"/>
              <w:right w:type="dxa" w:w="70"/>
            </w:tcMar>
          </w:tcPr>
          <w:p>
            <w:pPr>
              <w:spacing w:after="0"/>
            </w:pPr>
            <w:r>
              <w:rPr>
                <w:sz w:val="17"/>
                <w:szCs w:val="17"/>
              </w:rPr>
              <w:t xml:space="preserve">Units Amazon can sell today. Units in transfer count only toward replenishment, and customer orders never count.</w:t>
            </w:r>
          </w:p>
        </w:tc>
      </w:tr>
      <w:tr>
        <w:tc>
          <w:tcPr>
            <w:tcW w:type="dxa" w:w="2600"/>
            <w:shd w:fill="F2F5F9" w:color="auto" w:val="clear"/>
            <w:tcMar>
              <w:top w:type="dxa" w:w="40"/>
              <w:left w:type="dxa" w:w="70"/>
              <w:bottom w:type="dxa" w:w="40"/>
              <w:right w:type="dxa" w:w="70"/>
            </w:tcMar>
          </w:tcPr>
          <w:p>
            <w:pPr>
              <w:spacing w:after="0"/>
            </w:pPr>
            <w:r>
              <w:rPr>
                <w:sz w:val="17"/>
                <w:szCs w:val="17"/>
              </w:rPr>
              <w:t xml:space="preserve">Ranking colour / clearance colour</w:t>
            </w:r>
          </w:p>
        </w:tc>
        <w:tc>
          <w:tcPr>
            <w:tcW w:type="dxa" w:w="7372"/>
            <w:shd w:fill="F2F5F9" w:color="auto" w:val="clear"/>
            <w:tcMar>
              <w:top w:type="dxa" w:w="40"/>
              <w:left w:type="dxa" w:w="70"/>
              <w:bottom w:type="dxa" w:w="40"/>
              <w:right w:type="dxa" w:w="70"/>
            </w:tcMar>
          </w:tcPr>
          <w:p>
            <w:pPr>
              <w:spacing w:after="0"/>
            </w:pPr>
            <w:r>
              <w:rPr>
                <w:sz w:val="17"/>
                <w:szCs w:val="17"/>
              </w:rPr>
              <w:t xml:space="preserve">Ranking campaigns advertise White, the best seller in every size and part of the deal. Auto, broad and phrase campaigns advertise the size’s clearance colour: a colour that sells little and has a lot of stock (Section 6).</w:t>
            </w:r>
          </w:p>
        </w:tc>
      </w:tr>
    </w:tbl>
    <w:p>
      <w:pPr>
        <w:spacing w:after="40"/>
      </w:pPr>
    </w:p>
    <w:p>
      <w:pPr>
        <w:pStyle w:val="Heading1"/>
      </w:pPr>
      <w:r>
        <w:t xml:space="preserve">1. Where things stand, two days into the deal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49"/>
        <w:gridCol w:w="880"/>
        <w:gridCol w:w="978"/>
        <w:gridCol w:w="782"/>
        <w:gridCol w:w="782"/>
        <w:gridCol w:w="880"/>
        <w:gridCol w:w="880"/>
        <w:gridCol w:w="880"/>
        <w:gridCol w:w="782"/>
        <w:gridCol w:w="879"/>
      </w:tblGrid>
      <w:tr>
        <w:trPr>
          <w:tblHeader/>
        </w:trPr>
        <w:tc>
          <w:tcPr>
            <w:tcW w:type="dxa" w:w="2249"/>
            <w:shd w:fill="1F3A5F" w:color="auto" w:val="clear"/>
            <w:tcMar>
              <w:top w:type="dxa" w:w="40"/>
              <w:left w:type="dxa" w:w="70"/>
              <w:bottom w:type="dxa" w:w="40"/>
              <w:right w:type="dxa" w:w="70"/>
            </w:tcMar>
          </w:tcPr>
          <w:p>
            <w:pPr>
              <w:spacing w:after="0"/>
            </w:pPr>
            <w:r>
              <w:rPr>
                <w:b/>
                <w:bCs/>
                <w:color w:val="FFFFFF"/>
                <w:sz w:val="17"/>
                <w:szCs w:val="17"/>
              </w:rPr>
              <w:t xml:space="preserve">Period</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Ad spend / day</w:t>
            </w:r>
          </w:p>
        </w:tc>
        <w:tc>
          <w:tcPr>
            <w:tcW w:type="dxa" w:w="978"/>
            <w:shd w:fill="1F3A5F" w:color="auto" w:val="clear"/>
            <w:tcMar>
              <w:top w:type="dxa" w:w="40"/>
              <w:left w:type="dxa" w:w="70"/>
              <w:bottom w:type="dxa" w:w="40"/>
              <w:right w:type="dxa" w:w="70"/>
            </w:tcMar>
          </w:tcPr>
          <w:p>
            <w:pPr>
              <w:spacing w:after="0"/>
            </w:pPr>
            <w:r>
              <w:rPr>
                <w:b/>
                <w:bCs/>
                <w:color w:val="FFFFFF"/>
                <w:sz w:val="17"/>
                <w:szCs w:val="17"/>
              </w:rPr>
              <w:t xml:space="preserve">Ad sales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ACoS</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Conv. rate</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Orders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Top-of-search clicks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Product-page clicks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Top-of-search share</w:t>
            </w:r>
          </w:p>
        </w:tc>
        <w:tc>
          <w:tcPr>
            <w:tcW w:type="dxa" w:w="879"/>
            <w:shd w:fill="1F3A5F" w:color="auto" w:val="clear"/>
            <w:tcMar>
              <w:top w:type="dxa" w:w="40"/>
              <w:left w:type="dxa" w:w="70"/>
              <w:bottom w:type="dxa" w:w="40"/>
              <w:right w:type="dxa" w:w="70"/>
            </w:tcMar>
          </w:tcPr>
          <w:p>
            <w:pPr>
              <w:spacing w:after="0"/>
            </w:pPr>
            <w:r>
              <w:rPr>
                <w:b/>
                <w:bCs/>
                <w:color w:val="FFFFFF"/>
                <w:sz w:val="17"/>
                <w:szCs w:val="17"/>
              </w:rPr>
              <w:t xml:space="preserve">Top-of-search bid</w:t>
            </w:r>
          </w:p>
        </w:tc>
      </w:tr>
      <w:tr>
        <w:tc>
          <w:tcPr>
            <w:tcW w:type="dxa" w:w="2249"/>
            <w:shd w:fill="FFFFFF" w:color="auto" w:val="clear"/>
            <w:tcMar>
              <w:top w:type="dxa" w:w="40"/>
              <w:left w:type="dxa" w:w="70"/>
              <w:bottom w:type="dxa" w:w="40"/>
              <w:right w:type="dxa" w:w="70"/>
            </w:tcMar>
          </w:tcPr>
          <w:p>
            <w:pPr>
              <w:spacing w:after="0"/>
            </w:pPr>
            <w:r>
              <w:rPr>
                <w:sz w:val="17"/>
                <w:szCs w:val="17"/>
              </w:rPr>
              <w:t xml:space="preserve">Before the deal (12–25 Sep, without the 20 Sep Lightning Deal)</w:t>
            </w:r>
          </w:p>
        </w:tc>
        <w:tc>
          <w:tcPr>
            <w:tcW w:type="dxa" w:w="880"/>
            <w:shd w:fill="FFFFFF" w:color="auto" w:val="clear"/>
            <w:tcMar>
              <w:top w:type="dxa" w:w="40"/>
              <w:left w:type="dxa" w:w="70"/>
              <w:bottom w:type="dxa" w:w="40"/>
              <w:right w:type="dxa" w:w="70"/>
            </w:tcMar>
          </w:tcPr>
          <w:p>
            <w:pPr>
              <w:spacing w:after="0"/>
            </w:pPr>
            <w:r>
              <w:rPr>
                <w:sz w:val="17"/>
                <w:szCs w:val="17"/>
              </w:rPr>
              <w:t xml:space="preserve">$283</w:t>
            </w:r>
          </w:p>
        </w:tc>
        <w:tc>
          <w:tcPr>
            <w:tcW w:type="dxa" w:w="978"/>
            <w:shd w:fill="FFFFFF" w:color="auto" w:val="clear"/>
            <w:tcMar>
              <w:top w:type="dxa" w:w="40"/>
              <w:left w:type="dxa" w:w="70"/>
              <w:bottom w:type="dxa" w:w="40"/>
              <w:right w:type="dxa" w:w="70"/>
            </w:tcMar>
          </w:tcPr>
          <w:p>
            <w:pPr>
              <w:spacing w:after="0"/>
            </w:pPr>
            <w:r>
              <w:rPr>
                <w:sz w:val="17"/>
                <w:szCs w:val="17"/>
              </w:rPr>
              <w:t xml:space="preserve">$1,104</w:t>
            </w:r>
          </w:p>
        </w:tc>
        <w:tc>
          <w:tcPr>
            <w:tcW w:type="dxa" w:w="782"/>
            <w:shd w:fill="FFFFFF" w:color="auto" w:val="clear"/>
            <w:tcMar>
              <w:top w:type="dxa" w:w="40"/>
              <w:left w:type="dxa" w:w="70"/>
              <w:bottom w:type="dxa" w:w="40"/>
              <w:right w:type="dxa" w:w="70"/>
            </w:tcMar>
          </w:tcPr>
          <w:p>
            <w:pPr>
              <w:spacing w:after="0"/>
            </w:pPr>
            <w:r>
              <w:rPr>
                <w:sz w:val="17"/>
                <w:szCs w:val="17"/>
              </w:rPr>
              <w:t xml:space="preserve">25.7%</w:t>
            </w:r>
          </w:p>
        </w:tc>
        <w:tc>
          <w:tcPr>
            <w:tcW w:type="dxa" w:w="782"/>
            <w:shd w:fill="FFFFFF" w:color="auto" w:val="clear"/>
            <w:tcMar>
              <w:top w:type="dxa" w:w="40"/>
              <w:left w:type="dxa" w:w="70"/>
              <w:bottom w:type="dxa" w:w="40"/>
              <w:right w:type="dxa" w:w="70"/>
            </w:tcMar>
          </w:tcPr>
          <w:p>
            <w:pPr>
              <w:spacing w:after="0"/>
            </w:pPr>
            <w:r>
              <w:rPr>
                <w:sz w:val="17"/>
                <w:szCs w:val="17"/>
              </w:rPr>
              <w:t xml:space="preserve">15.0%</w:t>
            </w:r>
          </w:p>
        </w:tc>
        <w:tc>
          <w:tcPr>
            <w:tcW w:type="dxa" w:w="880"/>
            <w:shd w:fill="FFFFFF" w:color="auto" w:val="clear"/>
            <w:tcMar>
              <w:top w:type="dxa" w:w="40"/>
              <w:left w:type="dxa" w:w="70"/>
              <w:bottom w:type="dxa" w:w="40"/>
              <w:right w:type="dxa" w:w="70"/>
            </w:tcMar>
          </w:tcPr>
          <w:p>
            <w:pPr>
              <w:spacing w:after="0"/>
            </w:pPr>
            <w:r>
              <w:rPr>
                <w:sz w:val="17"/>
                <w:szCs w:val="17"/>
              </w:rPr>
              <w:t xml:space="preserve">14.0</w:t>
            </w:r>
          </w:p>
        </w:tc>
        <w:tc>
          <w:tcPr>
            <w:tcW w:type="dxa" w:w="880"/>
            <w:shd w:fill="FFFFFF" w:color="auto" w:val="clear"/>
            <w:tcMar>
              <w:top w:type="dxa" w:w="40"/>
              <w:left w:type="dxa" w:w="70"/>
              <w:bottom w:type="dxa" w:w="40"/>
              <w:right w:type="dxa" w:w="70"/>
            </w:tcMar>
          </w:tcPr>
          <w:p>
            <w:pPr>
              <w:spacing w:after="0"/>
            </w:pPr>
            <w:r>
              <w:rPr>
                <w:sz w:val="17"/>
                <w:szCs w:val="17"/>
              </w:rPr>
              <w:t xml:space="preserve">42</w:t>
            </w:r>
          </w:p>
        </w:tc>
        <w:tc>
          <w:tcPr>
            <w:tcW w:type="dxa" w:w="880"/>
            <w:shd w:fill="FFFFFF" w:color="auto" w:val="clear"/>
            <w:tcMar>
              <w:top w:type="dxa" w:w="40"/>
              <w:left w:type="dxa" w:w="70"/>
              <w:bottom w:type="dxa" w:w="40"/>
              <w:right w:type="dxa" w:w="70"/>
            </w:tcMar>
          </w:tcPr>
          <w:p>
            <w:pPr>
              <w:spacing w:after="0"/>
            </w:pPr>
            <w:r>
              <w:rPr>
                <w:sz w:val="17"/>
                <w:szCs w:val="17"/>
              </w:rPr>
              <w:t xml:space="preserve">64</w:t>
            </w:r>
          </w:p>
        </w:tc>
        <w:tc>
          <w:tcPr>
            <w:tcW w:type="dxa" w:w="782"/>
            <w:shd w:fill="FFFFFF" w:color="auto" w:val="clear"/>
            <w:tcMar>
              <w:top w:type="dxa" w:w="40"/>
              <w:left w:type="dxa" w:w="70"/>
              <w:bottom w:type="dxa" w:w="40"/>
              <w:right w:type="dxa" w:w="70"/>
            </w:tcMar>
          </w:tcPr>
          <w:p>
            <w:pPr>
              <w:spacing w:after="0"/>
            </w:pPr>
            <w:r>
              <w:rPr>
                <w:sz w:val="17"/>
                <w:szCs w:val="17"/>
              </w:rPr>
              <w:t xml:space="preserve">34%</w:t>
            </w:r>
          </w:p>
        </w:tc>
        <w:tc>
          <w:tcPr>
            <w:tcW w:type="dxa" w:w="879"/>
            <w:shd w:fill="FFFFFF" w:color="auto" w:val="clear"/>
            <w:tcMar>
              <w:top w:type="dxa" w:w="40"/>
              <w:left w:type="dxa" w:w="70"/>
              <w:bottom w:type="dxa" w:w="40"/>
              <w:right w:type="dxa" w:w="70"/>
            </w:tcMar>
          </w:tcPr>
          <w:p>
            <w:pPr>
              <w:spacing w:after="0"/>
            </w:pPr>
            <w:r>
              <w:rPr>
                <w:sz w:val="17"/>
                <w:szCs w:val="17"/>
              </w:rPr>
              <w:t xml:space="preserve">$4.86</w:t>
            </w:r>
          </w:p>
        </w:tc>
      </w:tr>
      <w:tr>
        <w:tc>
          <w:tcPr>
            <w:tcW w:type="dxa" w:w="2249"/>
            <w:shd w:fill="F2F5F9" w:color="auto" w:val="clear"/>
            <w:tcMar>
              <w:top w:type="dxa" w:w="40"/>
              <w:left w:type="dxa" w:w="70"/>
              <w:bottom w:type="dxa" w:w="40"/>
              <w:right w:type="dxa" w:w="70"/>
            </w:tcMar>
          </w:tcPr>
          <w:p>
            <w:pPr>
              <w:spacing w:after="0"/>
            </w:pPr>
            <w:r>
              <w:rPr>
                <w:sz w:val="17"/>
                <w:szCs w:val="17"/>
              </w:rPr>
              <w:t xml:space="preserve">Best Deal (26–27 Sep)</w:t>
            </w:r>
          </w:p>
        </w:tc>
        <w:tc>
          <w:tcPr>
            <w:tcW w:type="dxa" w:w="880"/>
            <w:shd w:fill="F2F5F9" w:color="auto" w:val="clear"/>
            <w:tcMar>
              <w:top w:type="dxa" w:w="40"/>
              <w:left w:type="dxa" w:w="70"/>
              <w:bottom w:type="dxa" w:w="40"/>
              <w:right w:type="dxa" w:w="70"/>
            </w:tcMar>
          </w:tcPr>
          <w:p>
            <w:pPr>
              <w:spacing w:after="0"/>
            </w:pPr>
            <w:r>
              <w:rPr>
                <w:sz w:val="17"/>
                <w:szCs w:val="17"/>
              </w:rPr>
              <w:t xml:space="preserve">$924</w:t>
            </w:r>
          </w:p>
        </w:tc>
        <w:tc>
          <w:tcPr>
            <w:tcW w:type="dxa" w:w="978"/>
            <w:shd w:fill="F2F5F9" w:color="auto" w:val="clear"/>
            <w:tcMar>
              <w:top w:type="dxa" w:w="40"/>
              <w:left w:type="dxa" w:w="70"/>
              <w:bottom w:type="dxa" w:w="40"/>
              <w:right w:type="dxa" w:w="70"/>
            </w:tcMar>
          </w:tcPr>
          <w:p>
            <w:pPr>
              <w:spacing w:after="0"/>
            </w:pPr>
            <w:r>
              <w:rPr>
                <w:sz w:val="17"/>
                <w:szCs w:val="17"/>
              </w:rPr>
              <w:t xml:space="preserve">$2,129*</w:t>
            </w:r>
          </w:p>
        </w:tc>
        <w:tc>
          <w:tcPr>
            <w:tcW w:type="dxa" w:w="782"/>
            <w:shd w:fill="F2F5F9" w:color="auto" w:val="clear"/>
            <w:tcMar>
              <w:top w:type="dxa" w:w="40"/>
              <w:left w:type="dxa" w:w="70"/>
              <w:bottom w:type="dxa" w:w="40"/>
              <w:right w:type="dxa" w:w="70"/>
            </w:tcMar>
          </w:tcPr>
          <w:p>
            <w:pPr>
              <w:spacing w:after="0"/>
            </w:pPr>
            <w:r>
              <w:rPr>
                <w:sz w:val="17"/>
                <w:szCs w:val="17"/>
              </w:rPr>
              <w:t xml:space="preserve">43.4%*</w:t>
            </w:r>
          </w:p>
        </w:tc>
        <w:tc>
          <w:tcPr>
            <w:tcW w:type="dxa" w:w="782"/>
            <w:shd w:fill="F2F5F9" w:color="auto" w:val="clear"/>
            <w:tcMar>
              <w:top w:type="dxa" w:w="40"/>
              <w:left w:type="dxa" w:w="70"/>
              <w:bottom w:type="dxa" w:w="40"/>
              <w:right w:type="dxa" w:w="70"/>
            </w:tcMar>
          </w:tcPr>
          <w:p>
            <w:pPr>
              <w:spacing w:after="0"/>
            </w:pPr>
            <w:r>
              <w:rPr>
                <w:sz w:val="17"/>
                <w:szCs w:val="17"/>
              </w:rPr>
              <w:t xml:space="preserve">10.3%*</w:t>
            </w:r>
          </w:p>
        </w:tc>
        <w:tc>
          <w:tcPr>
            <w:tcW w:type="dxa" w:w="880"/>
            <w:shd w:fill="F2F5F9" w:color="auto" w:val="clear"/>
            <w:tcMar>
              <w:top w:type="dxa" w:w="40"/>
              <w:left w:type="dxa" w:w="70"/>
              <w:bottom w:type="dxa" w:w="40"/>
              <w:right w:type="dxa" w:w="70"/>
            </w:tcMar>
          </w:tcPr>
          <w:p>
            <w:pPr>
              <w:spacing w:after="0"/>
            </w:pPr>
            <w:r>
              <w:rPr>
                <w:sz w:val="17"/>
                <w:szCs w:val="17"/>
              </w:rPr>
              <w:t xml:space="preserve">30.5*</w:t>
            </w:r>
          </w:p>
        </w:tc>
        <w:tc>
          <w:tcPr>
            <w:tcW w:type="dxa" w:w="880"/>
            <w:shd w:fill="F2F5F9" w:color="auto" w:val="clear"/>
            <w:tcMar>
              <w:top w:type="dxa" w:w="40"/>
              <w:left w:type="dxa" w:w="70"/>
              <w:bottom w:type="dxa" w:w="40"/>
              <w:right w:type="dxa" w:w="70"/>
            </w:tcMar>
          </w:tcPr>
          <w:p>
            <w:pPr>
              <w:spacing w:after="0"/>
            </w:pPr>
            <w:r>
              <w:rPr>
                <w:sz w:val="17"/>
                <w:szCs w:val="17"/>
              </w:rPr>
              <w:t xml:space="preserve">111</w:t>
            </w:r>
          </w:p>
        </w:tc>
        <w:tc>
          <w:tcPr>
            <w:tcW w:type="dxa" w:w="880"/>
            <w:shd w:fill="F2F5F9" w:color="auto" w:val="clear"/>
            <w:tcMar>
              <w:top w:type="dxa" w:w="40"/>
              <w:left w:type="dxa" w:w="70"/>
              <w:bottom w:type="dxa" w:w="40"/>
              <w:right w:type="dxa" w:w="70"/>
            </w:tcMar>
          </w:tcPr>
          <w:p>
            <w:pPr>
              <w:spacing w:after="0"/>
            </w:pPr>
            <w:r>
              <w:rPr>
                <w:sz w:val="17"/>
                <w:szCs w:val="17"/>
              </w:rPr>
              <w:t xml:space="preserve">174</w:t>
            </w:r>
          </w:p>
        </w:tc>
        <w:tc>
          <w:tcPr>
            <w:tcW w:type="dxa" w:w="782"/>
            <w:shd w:fill="F2F5F9" w:color="auto" w:val="clear"/>
            <w:tcMar>
              <w:top w:type="dxa" w:w="40"/>
              <w:left w:type="dxa" w:w="70"/>
              <w:bottom w:type="dxa" w:w="40"/>
              <w:right w:type="dxa" w:w="70"/>
            </w:tcMar>
          </w:tcPr>
          <w:p>
            <w:pPr>
              <w:spacing w:after="0"/>
            </w:pPr>
            <w:r>
              <w:rPr>
                <w:sz w:val="17"/>
                <w:szCs w:val="17"/>
              </w:rPr>
              <w:t xml:space="preserve">33%</w:t>
            </w:r>
          </w:p>
        </w:tc>
        <w:tc>
          <w:tcPr>
            <w:tcW w:type="dxa" w:w="879"/>
            <w:shd w:fill="F2F5F9" w:color="auto" w:val="clear"/>
            <w:tcMar>
              <w:top w:type="dxa" w:w="40"/>
              <w:left w:type="dxa" w:w="70"/>
              <w:bottom w:type="dxa" w:w="40"/>
              <w:right w:type="dxa" w:w="70"/>
            </w:tcMar>
          </w:tcPr>
          <w:p>
            <w:pPr>
              <w:spacing w:after="0"/>
            </w:pPr>
            <w:r>
              <w:rPr>
                <w:sz w:val="17"/>
                <w:szCs w:val="17"/>
              </w:rPr>
              <w:t xml:space="preserve">$5.70</w:t>
            </w:r>
          </w:p>
        </w:tc>
      </w:tr>
    </w:tbl>
    <w:p>
      <w:pPr>
        <w:spacing w:after="120"/>
      </w:pPr>
      <w:r>
        <w:rPr>
          <w:i/>
          <w:iCs/>
          <w:color w:val="555555"/>
          <w:sz w:val="17"/>
          <w:szCs w:val="17"/>
        </w:rPr>
        <w:t xml:space="preserve">Command Center, all campaigns for this product. * Still filling in: Amazon credits sales up to 7 days after the click. Seller Central shows 98 deal units and $6,912 in the deal’s first days. In the 28 days before the deal, B6 sold 1,920 units for $152,565 with $10,968 of ad spend: about 7% TACoS (Sellerboard). Deal prices are about 20% below list: King White $72.24 (list $89.99), Queen White $67.99 ($84.99), Full White $59.49 ($74.99).</w:t>
      </w:r>
    </w:p>
    <w:p>
      <w:pPr>
        <w:spacing w:after="100"/>
      </w:pPr>
      <w:r>
        <w:t xml:space="preserve">The deal doubled orders and tripled ad spend, but it didn’t move the ads to the top. Product pages still took 52% of the clicks and top of search 33%, the same split as before the deal. Rank moved on some terms and fell on others:</w:t>
      </w:r>
    </w:p>
    <w:p>
      <w:pPr>
        <w:pStyle w:val="ListParagraph"/>
        <w:numPr>
          <w:ilvl w:val="0"/>
          <w:numId w:val="3"/>
        </w:numPr>
        <w:spacing w:after="60"/>
      </w:pPr>
      <w:r>
        <w:t xml:space="preserve">“bamboo sheets” went from 33 to 29 and “bamboo sheets queen size” from 25 to 21.</w:t>
      </w:r>
    </w:p>
    <w:p>
      <w:pPr>
        <w:pStyle w:val="ListParagraph"/>
        <w:numPr>
          <w:ilvl w:val="0"/>
          <w:numId w:val="3"/>
        </w:numPr>
        <w:spacing w:after="60"/>
      </w:pPr>
      <w:r>
        <w:t xml:space="preserve">“bamboo sheets queen” fell from 33 to 58 and “bamboo sheets full” from 11 to 18.</w:t>
      </w:r>
    </w:p>
    <w:p>
      <w:pPr>
        <w:spacing w:after="60"/>
        <w:jc w:val="center"/>
      </w:pPr>
      <w:r>
        <w:drawing>
          <wp:inline distT="0" distB="0" distL="0" distR="0">
            <wp:extent cx="5715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267325"/>
                    </a:xfrm>
                    <a:prstGeom prst="rect">
                      <a:avLst/>
                    </a:prstGeom>
                  </pic:spPr>
                </pic:pic>
              </a:graphicData>
            </a:graphic>
          </wp:inline>
        </w:drawing>
      </w:r>
    </w:p>
    <w:p>
      <w:pPr>
        <w:spacing w:after="120"/>
      </w:pPr>
      <w:r>
        <w:rPr>
          <w:i/>
          <w:iCs/>
          <w:color w:val="555555"/>
          <w:sz w:val="17"/>
          <w:szCs w:val="17"/>
        </w:rPr>
        <w:t xml:space="preserve">Top: clicks per day at top of search and on product pages. Middle: ad spend per day. Bottom: organic rank for five main terms (lower is better). Grey: the Best Deal. Beige: the one-day Lightning Deal on 20 September.</w:t>
      </w:r>
    </w:p>
    <w:p>
      <w:pPr>
        <w:pStyle w:val="Heading1"/>
      </w:pPr>
      <w:r>
        <w:t xml:space="preserve">2. The rules these corrections apply</w:t>
      </w:r>
    </w:p>
    <w:p>
      <w:pPr>
        <w:pStyle w:val="ListParagraph"/>
        <w:numPr>
          <w:ilvl w:val="0"/>
          <w:numId w:val="4"/>
        </w:numPr>
        <w:spacing w:after="60"/>
      </w:pPr>
      <w:r>
        <w:rPr>
          <w:b/>
          <w:bCs/>
        </w:rPr>
        <w:t xml:space="preserve">Push a tactical set of terms at top of search, starting while the deal runs and building into Prime and Black Friday / Cyber Monday. </w:t>
      </w:r>
      <w:r>
        <w:t xml:space="preserve">Not hundreds of terms, and more than a few. Each push term gets a plan for top-of-search clicks, orders and budget a day, which is tuned weekly on results. A term qualifies when it meets four conditions: it beats the market at top of search on click-through and on conversion, it has 7 or more days of Available stock, and its keyword is live and serving. Where a term has barely been shown at the top, judge it on its overall conversion against the market until it has 15 top-of-search clicks. A term that doesn’t qualify runs at break-even until it does.</w:t>
      </w:r>
    </w:p>
    <w:p>
      <w:pPr>
        <w:pStyle w:val="ListParagraph"/>
        <w:numPr>
          <w:ilvl w:val="0"/>
          <w:numId w:val="4"/>
        </w:numPr>
        <w:spacing w:after="60"/>
      </w:pPr>
      <w:r>
        <w:rPr>
          <w:b/>
          <w:bCs/>
        </w:rPr>
        <w:t xml:space="preserve">A push price has limits. </w:t>
      </w:r>
      <w:r>
        <w:t xml:space="preserve">Start from break-even and add a premium for the rank gap: +25% when the current rank is within 1.5× the target, otherwise (current ÷ target − 1) × 50%. Step up by at most 30% a day until the term holds a top-3 sponsored position most hours and at least 30% of top-of-search impressions. Never pay more than twice break-even. If a term sits at that ceiling on fixed bidding and still can’t hold the top for 3 days, bring it to you: raise its ceiling for a set time, or swap the term.</w:t>
      </w:r>
    </w:p>
    <w:p>
      <w:pPr>
        <w:pStyle w:val="ListParagraph"/>
        <w:numPr>
          <w:ilvl w:val="0"/>
          <w:numId w:val="4"/>
        </w:numPr>
        <w:spacing w:after="60"/>
      </w:pPr>
      <w:r>
        <w:rPr>
          <w:b/>
          <w:bCs/>
        </w:rPr>
        <w:t xml:space="preserve">Fix the mix in the same write as the push. </w:t>
      </w:r>
      <w:r>
        <w:t xml:space="preserve">If more than 20% of clicks land on product pages, lower the base bid and raise the boost to reach the push price, in one write. Cut the base by at most 50% a step, or 25% where product pages bring orders. Push campaigns run on fixed bidding.</w:t>
      </w:r>
    </w:p>
    <w:p>
      <w:pPr>
        <w:pStyle w:val="ListParagraph"/>
        <w:numPr>
          <w:ilvl w:val="0"/>
          <w:numId w:val="4"/>
        </w:numPr>
        <w:spacing w:after="60"/>
      </w:pPr>
      <w:r>
        <w:rPr>
          <w:b/>
          <w:bCs/>
        </w:rPr>
        <w:t xml:space="preserve">Everything not being pushed runs at its own break-even. </w:t>
      </w:r>
      <w:r>
        <w:t xml:space="preserve">A price above break-even comes down straight away where the campaign has no top-of-search clicks, and in steps of at most 50% where it has them.</w:t>
      </w:r>
    </w:p>
    <w:p>
      <w:pPr>
        <w:pStyle w:val="ListParagraph"/>
        <w:numPr>
          <w:ilvl w:val="0"/>
          <w:numId w:val="4"/>
        </w:numPr>
        <w:spacing w:after="60"/>
      </w:pPr>
      <w:r>
        <w:rPr>
          <w:b/>
          <w:bCs/>
        </w:rPr>
        <w:t xml:space="preserve">Break-even comes from real margin. </w:t>
      </w:r>
      <w:r>
        <w:t xml:space="preserve">Use Sellerboard profit before ads, after product cost, all Amazon fees, refunds and storage. During the deal, use the deal-price margin.</w:t>
      </w:r>
    </w:p>
    <w:p>
      <w:pPr>
        <w:pStyle w:val="ListParagraph"/>
        <w:numPr>
          <w:ilvl w:val="0"/>
          <w:numId w:val="4"/>
        </w:numPr>
        <w:spacing w:after="60"/>
      </w:pPr>
      <w:r>
        <w:rPr>
          <w:b/>
          <w:bCs/>
        </w:rPr>
        <w:t xml:space="preserve">One campaign per search term. </w:t>
      </w:r>
      <w:r>
        <w:t xml:space="preserve">Each ranking term is bought by one exact campaign; broad, auto and phrase campaigns exclude it. Restart a paused campaign with history rather than building a new one beside it.</w:t>
      </w:r>
    </w:p>
    <w:p>
      <w:pPr>
        <w:pStyle w:val="ListParagraph"/>
        <w:numPr>
          <w:ilvl w:val="0"/>
          <w:numId w:val="4"/>
        </w:numPr>
        <w:spacing w:after="60"/>
      </w:pPr>
      <w:r>
        <w:rPr>
          <w:b/>
          <w:bCs/>
        </w:rPr>
        <w:t xml:space="preserve">Advertise the right colour, judged on Available stock. </w:t>
      </w:r>
      <w:r>
        <w:t xml:space="preserve">Ranking campaigns advertise White. Move to the size’s next-best seller only when White’s Available stock can’t last until its next arrival. A colour switch never changes the size. Discovery campaigns advertise the size’s clearance colour. Colour-named terms advertise their own colour.</w:t>
      </w:r>
    </w:p>
    <w:p>
      <w:pPr>
        <w:pStyle w:val="ListParagraph"/>
        <w:numPr>
          <w:ilvl w:val="0"/>
          <w:numId w:val="4"/>
        </w:numPr>
        <w:spacing w:after="60"/>
      </w:pPr>
      <w:r>
        <w:rPr>
          <w:b/>
          <w:bCs/>
        </w:rPr>
        <w:t xml:space="preserve">A price change can’t make a paused keyword serve. </w:t>
      </w:r>
      <w:r>
        <w:t xml:space="preserve">Check that a campaign is live before changing its price or forecasting its clicks.</w:t>
      </w:r>
    </w:p>
    <w:p>
      <w:pPr>
        <w:pStyle w:val="ListParagraph"/>
        <w:numPr>
          <w:ilvl w:val="0"/>
          <w:numId w:val="4"/>
        </w:numPr>
        <w:spacing w:after="60"/>
      </w:pPr>
      <w:r>
        <w:rPr>
          <w:b/>
          <w:bCs/>
        </w:rPr>
        <w:t xml:space="preserve">Outside ranking, each campaign pays for itself. </w:t>
      </w:r>
      <w:r>
        <w:t xml:space="preserve">It is judged on its own ACoS over 30 days against 90, against the 23.8% break-even. Over break-even, the base comes down. Inside it, or under 15 clicks, nothing moves.</w:t>
      </w:r>
    </w:p>
    <w:p>
      <w:pPr>
        <w:pStyle w:val="ListParagraph"/>
        <w:numPr>
          <w:ilvl w:val="0"/>
          <w:numId w:val="4"/>
        </w:numPr>
        <w:spacing w:after="60"/>
      </w:pPr>
      <w:r>
        <w:rPr>
          <w:b/>
          <w:bCs/>
        </w:rPr>
        <w:t xml:space="preserve">Numbers from a deal period don’t judge results. </w:t>
      </w:r>
      <w:r>
        <w:t xml:space="preserve">Re-check after seven normal days.</w:t>
      </w:r>
    </w:p>
    <w:p>
      <w:pPr>
        <w:pStyle w:val="Heading1"/>
      </w:pPr>
      <w:r>
        <w:t xml:space="preserve">3. The audit sets no spend target, TACoS goal or product goal</w:t>
      </w:r>
    </w:p>
    <w:p>
      <w:pPr>
        <w:spacing w:after="100"/>
      </w:pPr>
      <w:r>
        <w:t xml:space="preserve">The audit forecasts ad spend rising from $462 to $1,295 a day, ACoS from 28% to 40% (against 23.8% break-even) and TACoS from 8.8% to 18.9%. It sizes its biggest jumps against a 25% TACoS ceiling. It never sets a goal for the run, so none of those numbers is checked against anything. Its review, after removing the rows it holds, puts spend at $1,164 a day and endorses the run.</w:t>
      </w:r>
    </w:p>
    <w:p>
      <w:pPr>
        <w:spacing w:after="100"/>
      </w:pPr>
      <w:r>
        <w:t xml:space="preserve">Its starting point is also wrong. The $462 a day comes from the 14 days to 27 September, which include three deal days (20, 26 and 27 September). Normal spend before the deal was about $283 a day, and TACoS was about 7%.</w:t>
      </w:r>
    </w:p>
    <w:p>
      <w:pPr>
        <w:spacing w:after="100"/>
      </w:pPr>
      <w:r>
        <w:rPr>
          <w:b/>
          <w:bCs/>
          <w:color w:val="1F3A5F"/>
        </w:rPr>
        <w:t xml:space="preserve">Correction: set these goals. </w:t>
      </w:r>
      <w:r>
        <w:t xml:space="preserve"/>
      </w:r>
    </w:p>
    <w:p>
      <w:pPr>
        <w:pStyle w:val="ListParagraph"/>
        <w:numPr>
          <w:ilvl w:val="0"/>
          <w:numId w:val="3"/>
        </w:numPr>
        <w:spacing w:after="60"/>
      </w:pPr>
      <w:r>
        <w:rPr>
          <w:b/>
          <w:bCs/>
        </w:rPr>
        <w:t xml:space="preserve">For the deal days (to 30 September): </w:t>
      </w:r>
      <w:r>
        <w:t xml:space="preserve">the approved push budget (Section 5.3). Campaigns outside the push keep their current budgets until the 1 October audit, with no raises. Deal spend is running at $924 a day.</w:t>
      </w:r>
    </w:p>
    <w:p>
      <w:pPr>
        <w:pStyle w:val="ListParagraph"/>
        <w:numPr>
          <w:ilvl w:val="0"/>
          <w:numId w:val="3"/>
        </w:numPr>
        <w:spacing w:after="60"/>
      </w:pPr>
      <w:r>
        <w:rPr>
          <w:b/>
          <w:bCs/>
        </w:rPr>
        <w:t xml:space="preserve">From 1 October, set in the separate post-deal audit: </w:t>
      </w:r>
      <w:r>
        <w:t xml:space="preserve">a TACoS goal for everything outside the push, well below the audit’s 25% (B6 ran at about 7% before the deal), and a daily spend limit set as a share of the last 7 days’ total sales. The push budget carries on through it: it is approved for three weeks and reviewed weekly.</w:t>
      </w:r>
    </w:p>
    <w:p>
      <w:pPr>
        <w:pStyle w:val="ListParagraph"/>
        <w:numPr>
          <w:ilvl w:val="0"/>
          <w:numId w:val="3"/>
        </w:numPr>
        <w:spacing w:after="60"/>
      </w:pPr>
      <w:r>
        <w:rPr>
          <w:b/>
          <w:bCs/>
        </w:rPr>
        <w:t xml:space="preserve">Product goal: </w:t>
      </w:r>
      <w:r>
        <w:t xml:space="preserve">top 10 on at least half of the push terms by 19 October, and on the rest by early November, ahead of Prime and Black Friday. True Bamboo moved from about 110 to the top 5 on three of these terms in 9 days, so this is achievable. Milestones:</w:t>
      </w:r>
    </w:p>
    <w:p>
      <w:pPr>
        <w:pStyle w:val="ListParagraph"/>
        <w:numPr>
          <w:ilvl w:val="0"/>
          <w:numId w:val="3"/>
        </w:numPr>
        <w:spacing w:after="60"/>
      </w:pPr>
      <w:r>
        <w:t xml:space="preserve">Hold what the deal bought: “bamboo sheets” 29, “bamboo sheets queen size” 21 and “bamboo cooling sheets” 20. “bamboo sheets queen size” gained 4 places in the deal but is still below where the audit’s own rank table had it a month ago (12), so it hasn’t recovered.</w:t>
      </w:r>
    </w:p>
    <w:p>
      <w:pPr>
        <w:pStyle w:val="ListParagraph"/>
        <w:numPr>
          <w:ilvl w:val="0"/>
          <w:numId w:val="3"/>
        </w:numPr>
        <w:spacing w:after="60"/>
      </w:pPr>
      <w:r>
        <w:t xml:space="preserve">Recover “bamboo sheets full” to 11 or better and “bamboo sheets queen” to 30 or better.</w:t>
      </w:r>
    </w:p>
    <w:p>
      <w:pPr>
        <w:pStyle w:val="ListParagraph"/>
        <w:numPr>
          <w:ilvl w:val="0"/>
          <w:numId w:val="3"/>
        </w:numPr>
        <w:spacing w:after="60"/>
      </w:pPr>
      <w:r>
        <w:t xml:space="preserve">Keep ad orders at 14 a day or more after the deal, the pre-deal level.</w:t>
      </w:r>
    </w:p>
    <w:p>
      <w:pPr>
        <w:pStyle w:val="ListParagraph"/>
        <w:numPr>
          <w:ilvl w:val="0"/>
          <w:numId w:val="3"/>
        </w:numPr>
        <w:spacing w:after="60"/>
      </w:pPr>
      <w:r>
        <w:t xml:space="preserve">Get at least 70% of push-campaign clicks at top of search.</w:t>
      </w:r>
    </w:p>
    <w:p>
      <w:pPr>
        <w:pStyle w:val="Heading1"/>
      </w:pPr>
      <w:r>
        <w:t xml:space="preserve">4. The deal days and the exit: the transition plan</w:t>
      </w:r>
    </w:p>
    <w:p>
      <w:pPr>
        <w:spacing w:after="100"/>
      </w:pPr>
      <w:r>
        <w:t xml:space="preserve">The audit doesn’t know the deal is running, so it has no step for the last deal days, no step for the end of the deal, and no link to the next events.</w:t>
      </w:r>
    </w:p>
    <w:p>
      <w:pPr>
        <w:pStyle w:val="Heading2"/>
      </w:pPr>
      <w:r>
        <w:t xml:space="preserve">Now to 30 September — push while the deal runs</w:t>
      </w:r>
    </w:p>
    <w:p>
      <w:pPr>
        <w:spacing w:after="100"/>
      </w:pPr>
      <w:r>
        <w:t xml:space="preserve">Changes land on 29 September at the earliest, so this is about one deal day of top-of-search sales at the push price. Deal data judges nothing, so it buys sales speed and rank, not a read.</w:t>
      </w:r>
    </w:p>
    <w:p>
      <w:pPr>
        <w:pStyle w:val="ListParagraph"/>
        <w:numPr>
          <w:ilvl w:val="0"/>
          <w:numId w:val="3"/>
        </w:numPr>
        <w:spacing w:after="60"/>
      </w:pPr>
      <w:r>
        <w:t xml:space="preserve">Switch the push campaigns to fixed bidding and cut their base bids in the same write, raising the boosts so the top-of-search price holds (Section 8). Fixed bidding removes Amazon’s down-only trim on product pages. A switch without the base cut would raise product-page cost for a few days on the campaigns that already leak there.</w:t>
      </w:r>
    </w:p>
    <w:p>
      <w:pPr>
        <w:pStyle w:val="ListParagraph"/>
        <w:numPr>
          <w:ilvl w:val="0"/>
          <w:numId w:val="3"/>
        </w:numPr>
        <w:spacing w:after="60"/>
      </w:pPr>
      <w:r>
        <w:t xml:space="preserve">Write each push term’s price from the plan (Section 5.3), in the same write as the base cut. Step it up by up to 30% a day until it holds the top slot, never above twice break-even. Terms outside the push move toward break-even.</w:t>
      </w:r>
    </w:p>
    <w:p>
      <w:pPr>
        <w:pStyle w:val="ListParagraph"/>
        <w:numPr>
          <w:ilvl w:val="0"/>
          <w:numId w:val="3"/>
        </w:numPr>
        <w:spacing w:after="60"/>
      </w:pPr>
      <w:r>
        <w:t xml:space="preserve">Restart the paused exact campaigns for focus terms, starting with “bamboo sheets full” (Section 7).</w:t>
      </w:r>
    </w:p>
    <w:p>
      <w:pPr>
        <w:pStyle w:val="ListParagraph"/>
        <w:numPr>
          <w:ilvl w:val="0"/>
          <w:numId w:val="3"/>
        </w:numPr>
        <w:spacing w:after="60"/>
      </w:pPr>
      <w:r>
        <w:t xml:space="preserve">Set the push campaigns’ budgets by hand to their required clicks at the push price, plus the product-page clicks they bring. The audit’s budget changes are all blocked.</w:t>
      </w:r>
    </w:p>
    <w:p>
      <w:pPr>
        <w:pStyle w:val="ListParagraph"/>
        <w:numPr>
          <w:ilvl w:val="0"/>
          <w:numId w:val="3"/>
        </w:numPr>
        <w:spacing w:after="60"/>
      </w:pPr>
      <w:r>
        <w:t xml:space="preserve">Keep every ranking ad on White: White is in the deal in every size. Hold the new campaigns and the retags until after the deal.</w:t>
      </w:r>
    </w:p>
    <w:p>
      <w:pPr>
        <w:pStyle w:val="Heading2"/>
      </w:pPr>
      <w:r>
        <w:t xml:space="preserve">Day 1 after the deal — 1 October (the separate post-deal audit)</w:t>
      </w:r>
    </w:p>
    <w:p>
      <w:pPr>
        <w:pStyle w:val="ListParagraph"/>
        <w:numPr>
          <w:ilvl w:val="0"/>
          <w:numId w:val="3"/>
        </w:numPr>
        <w:spacing w:after="60"/>
      </w:pPr>
      <w:r>
        <w:t xml:space="preserve">Confirm the listing is back at its regular price and re-price on the full-price margin ($18.81).</w:t>
      </w:r>
    </w:p>
    <w:p>
      <w:pPr>
        <w:pStyle w:val="ListParagraph"/>
        <w:numPr>
          <w:ilvl w:val="0"/>
          <w:numId w:val="3"/>
        </w:numPr>
        <w:spacing w:after="60"/>
      </w:pPr>
      <w:r>
        <w:rPr>
          <w:b/>
          <w:bCs/>
        </w:rPr>
        <w:t xml:space="preserve">Bring spend outside the push back inside the limit. </w:t>
      </w:r>
      <w:r>
        <w:t xml:space="preserve">Out-of-focus ranking campaigns come to break-even. Deal budgets come down to each campaign’s required clicks at its new price. Product-page leaks keep getting fixed.</w:t>
      </w:r>
    </w:p>
    <w:p>
      <w:pPr>
        <w:pStyle w:val="ListParagraph"/>
        <w:numPr>
          <w:ilvl w:val="0"/>
          <w:numId w:val="3"/>
        </w:numPr>
        <w:spacing w:after="60"/>
      </w:pPr>
      <w:r>
        <w:t xml:space="preserve">The push on qualifying terms continues. The focus terms must not see a gap between deal traffic ending and the push carrying on.</w:t>
      </w:r>
    </w:p>
    <w:p>
      <w:pPr>
        <w:pStyle w:val="Heading2"/>
      </w:pPr>
      <w:r>
        <w:t xml:space="preserve">1 to 7 October — watch, don’t judge</w:t>
      </w:r>
    </w:p>
    <w:p>
      <w:pPr>
        <w:pStyle w:val="ListParagraph"/>
        <w:numPr>
          <w:ilvl w:val="0"/>
          <w:numId w:val="3"/>
        </w:numPr>
        <w:spacing w:after="60"/>
      </w:pPr>
      <w:r>
        <w:t xml:space="preserve">Sales from deal clicks keep arriving until about 7 October, so no ACoS or conversion from these days judges a campaign.</w:t>
      </w:r>
    </w:p>
    <w:p>
      <w:pPr>
        <w:pStyle w:val="ListParagraph"/>
        <w:numPr>
          <w:ilvl w:val="0"/>
          <w:numId w:val="3"/>
        </w:numPr>
        <w:spacing w:after="60"/>
      </w:pPr>
      <w:r>
        <w:rPr>
          <w:b/>
          <w:bCs/>
        </w:rPr>
        <w:t xml:space="preserve">Check daily: </w:t>
      </w:r>
      <w:r>
        <w:t xml:space="preserve">spend against the limit; ad orders against 14 a day; top-of-search share on the push campaigns; rank on the head terms; and Available stock on Full White (62 units, 26–36 days) and Queen White (323 units, 47–58 days).</w:t>
      </w:r>
    </w:p>
    <w:p>
      <w:pPr>
        <w:pStyle w:val="ListParagraph"/>
        <w:numPr>
          <w:ilvl w:val="0"/>
          <w:numId w:val="3"/>
        </w:numPr>
        <w:spacing w:after="60"/>
      </w:pPr>
      <w:r>
        <w:t xml:space="preserve">If a head term falls more than 10 places, find the cause before touching price (Section 13).</w:t>
      </w:r>
    </w:p>
    <w:p>
      <w:pPr>
        <w:pStyle w:val="Heading2"/>
      </w:pPr>
      <w:r>
        <w:t xml:space="preserve">8 to 14 October — first clean read</w:t>
      </w:r>
    </w:p>
    <w:p>
      <w:pPr>
        <w:pStyle w:val="ListParagraph"/>
        <w:numPr>
          <w:ilvl w:val="0"/>
          <w:numId w:val="3"/>
        </w:numPr>
        <w:spacing w:after="60"/>
      </w:pPr>
      <w:r>
        <w:t xml:space="preserve">Re-run break-even on seven normal days of conversion.</w:t>
      </w:r>
    </w:p>
    <w:p>
      <w:pPr>
        <w:pStyle w:val="ListParagraph"/>
        <w:numPr>
          <w:ilvl w:val="0"/>
          <w:numId w:val="3"/>
        </w:numPr>
        <w:spacing w:after="60"/>
      </w:pPr>
      <w:r>
        <w:t xml:space="preserve">Tune the push weekly (5, 12 and 19 October). Keep funding the terms whose organic rank is moving. For a term that held the top slot for a week without moving, check the listing against True Bamboo (main image, price, reviews), stock and conversion before spending more, and swap it if there is no fix. Stop a term whose top-of-search conversion falls below the market on 50+ clicks.</w:t>
      </w:r>
    </w:p>
    <w:p>
      <w:pPr>
        <w:pStyle w:val="Heading2"/>
      </w:pPr>
      <w:r>
        <w:t xml:space="preserve">Into Prime and Black Friday</w:t>
      </w:r>
    </w:p>
    <w:p>
      <w:pPr>
        <w:pStyle w:val="ListParagraph"/>
        <w:numPr>
          <w:ilvl w:val="0"/>
          <w:numId w:val="3"/>
        </w:numPr>
        <w:spacing w:after="60"/>
      </w:pPr>
      <w:r>
        <w:t xml:space="preserve">At least three weeks before each event, size its push per term (price, clicks, budget) and check that stock covers it. After each event, repeat Day 1 and Week 1.</w:t>
      </w:r>
    </w:p>
    <w:p>
      <w:pPr>
        <w:pStyle w:val="ListParagraph"/>
        <w:numPr>
          <w:ilvl w:val="0"/>
          <w:numId w:val="3"/>
        </w:numPr>
        <w:spacing w:after="60"/>
      </w:pPr>
      <w:r>
        <w:t xml:space="preserve">Queen White’s next 1,002 units land about 30 October, in time for the Black Friday / Cyber Monday push (27–30 November).</w:t>
      </w:r>
    </w:p>
    <w:p>
      <w:pPr>
        <w:pStyle w:val="Heading1"/>
      </w:pPr>
      <w:r>
        <w:t xml:space="preserve">5. Ranking prices: push the qualifying terms at top of search now</w:t>
      </w:r>
    </w:p>
    <w:p>
      <w:pPr>
        <w:pStyle w:val="Heading2"/>
      </w:pPr>
      <w:r>
        <w:t xml:space="preserve">5.1 What the audit does wrong</w:t>
      </w:r>
    </w:p>
    <w:p>
      <w:pPr>
        <w:pStyle w:val="ListParagraph"/>
        <w:numPr>
          <w:ilvl w:val="0"/>
          <w:numId w:val="3"/>
        </w:numPr>
        <w:spacing w:after="60"/>
      </w:pPr>
      <w:r>
        <w:t xml:space="preserve">It doesn’t know the deal is running, so no price is set on the deal margin and nothing is timed to the deal’s last days.</w:t>
      </w:r>
    </w:p>
    <w:p>
      <w:pPr>
        <w:pStyle w:val="ListParagraph"/>
        <w:numPr>
          <w:ilvl w:val="0"/>
          <w:numId w:val="3"/>
        </w:numPr>
        <w:spacing w:after="60"/>
      </w:pPr>
      <w:r>
        <w:t xml:space="preserve">It raises top-of-search prices without the push limits. 148 of 244 ranking campaigns already pay above break-even at the top, and the audit raises 61 more, 55 of them to a price above break-even.</w:t>
      </w:r>
    </w:p>
    <w:p>
      <w:pPr>
        <w:pStyle w:val="ListParagraph"/>
        <w:numPr>
          <w:ilvl w:val="0"/>
          <w:numId w:val="3"/>
        </w:numPr>
        <w:spacing w:after="60"/>
      </w:pPr>
      <w:r>
        <w:t xml:space="preserve">It gives 18 campaigns a 75% price jump in one step, several of them to $10–15 a click. Example: Full Size Bamboo Sheets goes from $8.43 to $14.77. That campaign ran at 111% ACoS over the last 30 days, and the audit’s own notes say it already loses $34.73 per order. The row contradicts itself: its notes say today’s $8.43 already needs a person to approve, and its fallback still describes a price cut. The notes put the odds of these jumps working at 20–41%.</w:t>
      </w:r>
    </w:p>
    <w:p>
      <w:pPr>
        <w:pStyle w:val="ListParagraph"/>
        <w:numPr>
          <w:ilvl w:val="0"/>
          <w:numId w:val="3"/>
        </w:numPr>
        <w:spacing w:after="60"/>
      </w:pPr>
      <w:r>
        <w:t xml:space="preserve">It raises prices on campaigns that barely show at the top. Bamboo Cooling Sheets (MSV), a focus campaign, took 6% of its clicks at the top and 91% on product pages in 30 days. When the ad isn’t competing at the top, a higher boost buys nothing.</w:t>
      </w:r>
    </w:p>
    <w:p>
      <w:pPr>
        <w:pStyle w:val="ListParagraph"/>
        <w:numPr>
          <w:ilvl w:val="0"/>
          <w:numId w:val="3"/>
        </w:numPr>
        <w:spacing w:after="60"/>
      </w:pPr>
      <w:r>
        <w:t xml:space="preserve">On one focus campaign it raises the base bid with the price: Bamboo Sheets King Size goes from $0.50 to $1.40 (+180%). That nearly triples what it pays on product pages as well.</w:t>
      </w:r>
    </w:p>
    <w:p>
      <w:pPr>
        <w:pStyle w:val="ListParagraph"/>
        <w:numPr>
          <w:ilvl w:val="0"/>
          <w:numId w:val="3"/>
        </w:numPr>
        <w:spacing w:after="60"/>
      </w:pPr>
      <w:r>
        <w:t xml:space="preserve">It leaves every push campaign on down-only bidding.</w:t>
      </w:r>
    </w:p>
    <w:p>
      <w:pPr>
        <w:pStyle w:val="ListParagraph"/>
        <w:numPr>
          <w:ilvl w:val="0"/>
          <w:numId w:val="3"/>
        </w:numPr>
        <w:spacing w:after="60"/>
      </w:pPr>
      <w:r>
        <w:t xml:space="preserve">It contradicts itself on “bamboo sheets”, the biggest term that qualifies (Section 5.6).</w:t>
      </w:r>
    </w:p>
    <w:p>
      <w:pPr>
        <w:pStyle w:val="Heading2"/>
      </w:pPr>
      <w:r>
        <w:t xml:space="preserve">5.2 What a competitor shows is possible</w:t>
      </w:r>
    </w:p>
    <w:p>
      <w:pPr>
        <w:spacing w:after="100"/>
      </w:pPr>
      <w:r>
        <w:t xml:space="preserve">True Bamboo’s 6-piece (B0HD7R5L1D: $89.99, 4.6 stars, 129 reviews) came back after months out of stock. It reached the top 5 on several of our main terms within days: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3200"/>
        <w:gridCol w:w="2572"/>
      </w:tblGrid>
      <w:tr>
        <w:trPr>
          <w:tblHeader/>
        </w:trPr>
        <w:tc>
          <w:tcPr>
            <w:tcW w:type="dxa" w:w="27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Keyword sales, last 4 weeks</w:t>
            </w:r>
          </w:p>
        </w:tc>
        <w:tc>
          <w:tcPr>
            <w:tcW w:type="dxa" w:w="3200"/>
            <w:shd w:fill="1F3A5F" w:color="auto" w:val="clear"/>
            <w:tcMar>
              <w:top w:type="dxa" w:w="40"/>
              <w:left w:type="dxa" w:w="70"/>
              <w:bottom w:type="dxa" w:w="40"/>
              <w:right w:type="dxa" w:w="70"/>
            </w:tcMar>
          </w:tcPr>
          <w:p>
            <w:pPr>
              <w:spacing w:after="0"/>
            </w:pPr>
            <w:r>
              <w:rPr>
                <w:b/>
                <w:bCs/>
                <w:color w:val="FFFFFF"/>
                <w:sz w:val="17"/>
                <w:szCs w:val="17"/>
              </w:rPr>
              <w:t xml:space="preserve">True Bamboo rank: 4 Sep → 18 Sep → 27 Sep</w:t>
            </w:r>
          </w:p>
        </w:tc>
        <w:tc>
          <w:tcPr>
            <w:tcW w:type="dxa" w:w="2572"/>
            <w:shd w:fill="1F3A5F" w:color="auto" w:val="clear"/>
            <w:tcMar>
              <w:top w:type="dxa" w:w="40"/>
              <w:left w:type="dxa" w:w="70"/>
              <w:bottom w:type="dxa" w:w="40"/>
              <w:right w:type="dxa" w:w="70"/>
            </w:tcMar>
          </w:tcPr>
          <w:p>
            <w:pPr>
              <w:spacing w:after="0"/>
            </w:pPr>
            <w:r>
              <w:rPr>
                <w:b/>
                <w:bCs/>
                <w:color w:val="FFFFFF"/>
                <w:sz w:val="17"/>
                <w:szCs w:val="17"/>
              </w:rPr>
              <w:t xml:space="preserve">B6 rank, 28 Sep</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sheets</w:t>
            </w:r>
          </w:p>
        </w:tc>
        <w:tc>
          <w:tcPr>
            <w:tcW w:type="dxa" w:w="1500"/>
            <w:shd w:fill="FFFFFF" w:color="auto" w:val="clear"/>
            <w:tcMar>
              <w:top w:type="dxa" w:w="40"/>
              <w:left w:type="dxa" w:w="70"/>
              <w:bottom w:type="dxa" w:w="40"/>
              <w:right w:type="dxa" w:w="70"/>
            </w:tcMar>
          </w:tcPr>
          <w:p>
            <w:pPr>
              <w:spacing w:after="0"/>
            </w:pPr>
            <w:r>
              <w:rPr>
                <w:sz w:val="17"/>
                <w:szCs w:val="17"/>
              </w:rPr>
              <w:t xml:space="preserve">7,476</w:t>
            </w:r>
          </w:p>
        </w:tc>
        <w:tc>
          <w:tcPr>
            <w:tcW w:type="dxa" w:w="3200"/>
            <w:shd w:fill="FFFFFF" w:color="auto" w:val="clear"/>
            <w:tcMar>
              <w:top w:type="dxa" w:w="40"/>
              <w:left w:type="dxa" w:w="70"/>
              <w:bottom w:type="dxa" w:w="40"/>
              <w:right w:type="dxa" w:w="70"/>
            </w:tcMar>
          </w:tcPr>
          <w:p>
            <w:pPr>
              <w:spacing w:after="0"/>
            </w:pPr>
            <w:r>
              <w:rPr>
                <w:sz w:val="17"/>
                <w:szCs w:val="17"/>
              </w:rPr>
              <w:t xml:space="preserve">48 → 109 → 24</w:t>
            </w:r>
          </w:p>
        </w:tc>
        <w:tc>
          <w:tcPr>
            <w:tcW w:type="dxa" w:w="2572"/>
            <w:shd w:fill="FFFFFF" w:color="auto" w:val="clear"/>
            <w:tcMar>
              <w:top w:type="dxa" w:w="40"/>
              <w:left w:type="dxa" w:w="70"/>
              <w:bottom w:type="dxa" w:w="40"/>
              <w:right w:type="dxa" w:w="70"/>
            </w:tcMar>
          </w:tcPr>
          <w:p>
            <w:pPr>
              <w:spacing w:after="0"/>
            </w:pPr>
            <w:r>
              <w:rPr>
                <w:sz w:val="17"/>
                <w:szCs w:val="17"/>
              </w:rPr>
              <w:t xml:space="preserve">29</w:t>
            </w:r>
          </w:p>
        </w:tc>
      </w:tr>
      <w:tr>
        <w:tc>
          <w:tcPr>
            <w:tcW w:type="dxa" w:w="2700"/>
            <w:shd w:fill="F2F5F9" w:color="auto" w:val="clear"/>
            <w:tcMar>
              <w:top w:type="dxa" w:w="40"/>
              <w:left w:type="dxa" w:w="70"/>
              <w:bottom w:type="dxa" w:w="40"/>
              <w:right w:type="dxa" w:w="70"/>
            </w:tcMar>
          </w:tcPr>
          <w:p>
            <w:pPr>
              <w:spacing w:after="0"/>
            </w:pPr>
            <w:r>
              <w:rPr>
                <w:sz w:val="17"/>
                <w:szCs w:val="17"/>
              </w:rPr>
              <w:t xml:space="preserve">bamboo sheets queen size</w:t>
            </w:r>
          </w:p>
        </w:tc>
        <w:tc>
          <w:tcPr>
            <w:tcW w:type="dxa" w:w="1500"/>
            <w:shd w:fill="F2F5F9" w:color="auto" w:val="clear"/>
            <w:tcMar>
              <w:top w:type="dxa" w:w="40"/>
              <w:left w:type="dxa" w:w="70"/>
              <w:bottom w:type="dxa" w:w="40"/>
              <w:right w:type="dxa" w:w="70"/>
            </w:tcMar>
          </w:tcPr>
          <w:p>
            <w:pPr>
              <w:spacing w:after="0"/>
            </w:pPr>
            <w:r>
              <w:rPr>
                <w:sz w:val="17"/>
                <w:szCs w:val="17"/>
              </w:rPr>
              <w:t xml:space="preserve">2,583</w:t>
            </w:r>
          </w:p>
        </w:tc>
        <w:tc>
          <w:tcPr>
            <w:tcW w:type="dxa" w:w="3200"/>
            <w:shd w:fill="F2F5F9" w:color="auto" w:val="clear"/>
            <w:tcMar>
              <w:top w:type="dxa" w:w="40"/>
              <w:left w:type="dxa" w:w="70"/>
              <w:bottom w:type="dxa" w:w="40"/>
              <w:right w:type="dxa" w:w="70"/>
            </w:tcMar>
          </w:tcPr>
          <w:p>
            <w:pPr>
              <w:spacing w:after="0"/>
            </w:pPr>
            <w:r>
              <w:rPr>
                <w:sz w:val="17"/>
                <w:szCs w:val="17"/>
              </w:rPr>
              <w:t xml:space="preserve">114 → 33 → 3</w:t>
            </w:r>
          </w:p>
        </w:tc>
        <w:tc>
          <w:tcPr>
            <w:tcW w:type="dxa" w:w="2572"/>
            <w:shd w:fill="F2F5F9" w:color="auto" w:val="clear"/>
            <w:tcMar>
              <w:top w:type="dxa" w:w="40"/>
              <w:left w:type="dxa" w:w="70"/>
              <w:bottom w:type="dxa" w:w="40"/>
              <w:right w:type="dxa" w:w="70"/>
            </w:tcMar>
          </w:tcPr>
          <w:p>
            <w:pPr>
              <w:spacing w:after="0"/>
            </w:pPr>
            <w:r>
              <w:rPr>
                <w:sz w:val="17"/>
                <w:szCs w:val="17"/>
              </w:rPr>
              <w:t xml:space="preserve">21</w:t>
            </w:r>
          </w:p>
        </w:tc>
      </w:tr>
      <w:tr>
        <w:tc>
          <w:tcPr>
            <w:tcW w:type="dxa" w:w="2700"/>
            <w:shd w:fill="FFFFFF" w:color="auto" w:val="clear"/>
            <w:tcMar>
              <w:top w:type="dxa" w:w="40"/>
              <w:left w:type="dxa" w:w="70"/>
              <w:bottom w:type="dxa" w:w="40"/>
              <w:right w:type="dxa" w:w="70"/>
            </w:tcMar>
          </w:tcPr>
          <w:p>
            <w:pPr>
              <w:spacing w:after="0"/>
            </w:pPr>
            <w:r>
              <w:rPr>
                <w:sz w:val="17"/>
                <w:szCs w:val="17"/>
              </w:rPr>
              <w:t xml:space="preserve">cooling sheets queen</w:t>
            </w:r>
          </w:p>
        </w:tc>
        <w:tc>
          <w:tcPr>
            <w:tcW w:type="dxa" w:w="1500"/>
            <w:shd w:fill="FFFFFF" w:color="auto" w:val="clear"/>
            <w:tcMar>
              <w:top w:type="dxa" w:w="40"/>
              <w:left w:type="dxa" w:w="70"/>
              <w:bottom w:type="dxa" w:w="40"/>
              <w:right w:type="dxa" w:w="70"/>
            </w:tcMar>
          </w:tcPr>
          <w:p>
            <w:pPr>
              <w:spacing w:after="0"/>
            </w:pPr>
            <w:r>
              <w:rPr>
                <w:sz w:val="17"/>
                <w:szCs w:val="17"/>
              </w:rPr>
              <w:t xml:space="preserve">2,277</w:t>
            </w:r>
          </w:p>
        </w:tc>
        <w:tc>
          <w:tcPr>
            <w:tcW w:type="dxa" w:w="3200"/>
            <w:shd w:fill="FFFFFF" w:color="auto" w:val="clear"/>
            <w:tcMar>
              <w:top w:type="dxa" w:w="40"/>
              <w:left w:type="dxa" w:w="70"/>
              <w:bottom w:type="dxa" w:w="40"/>
              <w:right w:type="dxa" w:w="70"/>
            </w:tcMar>
          </w:tcPr>
          <w:p>
            <w:pPr>
              <w:spacing w:after="0"/>
            </w:pPr>
            <w:r>
              <w:rPr>
                <w:sz w:val="17"/>
                <w:szCs w:val="17"/>
              </w:rPr>
              <w:t xml:space="preserve">131 (9 Sep) → — → 19</w:t>
            </w:r>
          </w:p>
        </w:tc>
        <w:tc>
          <w:tcPr>
            <w:tcW w:type="dxa" w:w="2572"/>
            <w:shd w:fill="FFFFFF" w:color="auto" w:val="clear"/>
            <w:tcMar>
              <w:top w:type="dxa" w:w="40"/>
              <w:left w:type="dxa" w:w="70"/>
              <w:bottom w:type="dxa" w:w="40"/>
              <w:right w:type="dxa" w:w="70"/>
            </w:tcMar>
          </w:tcPr>
          <w:p>
            <w:pPr>
              <w:spacing w:after="0"/>
            </w:pPr>
            <w:r>
              <w:rPr>
                <w:sz w:val="17"/>
                <w:szCs w:val="17"/>
              </w:rPr>
              <w:t xml:space="preserve">not tracked</w:t>
            </w:r>
          </w:p>
        </w:tc>
      </w:tr>
      <w:tr>
        <w:tc>
          <w:tcPr>
            <w:tcW w:type="dxa" w:w="2700"/>
            <w:shd w:fill="F2F5F9" w:color="auto" w:val="clear"/>
            <w:tcMar>
              <w:top w:type="dxa" w:w="40"/>
              <w:left w:type="dxa" w:w="70"/>
              <w:bottom w:type="dxa" w:w="40"/>
              <w:right w:type="dxa" w:w="70"/>
            </w:tcMar>
          </w:tcPr>
          <w:p>
            <w:pPr>
              <w:spacing w:after="0"/>
            </w:pPr>
            <w:r>
              <w:rPr>
                <w:sz w:val="17"/>
                <w:szCs w:val="17"/>
              </w:rPr>
              <w:t xml:space="preserve">bamboo sheets king size</w:t>
            </w:r>
          </w:p>
        </w:tc>
        <w:tc>
          <w:tcPr>
            <w:tcW w:type="dxa" w:w="1500"/>
            <w:shd w:fill="F2F5F9" w:color="auto" w:val="clear"/>
            <w:tcMar>
              <w:top w:type="dxa" w:w="40"/>
              <w:left w:type="dxa" w:w="70"/>
              <w:bottom w:type="dxa" w:w="40"/>
              <w:right w:type="dxa" w:w="70"/>
            </w:tcMar>
          </w:tcPr>
          <w:p>
            <w:pPr>
              <w:spacing w:after="0"/>
            </w:pPr>
            <w:r>
              <w:rPr>
                <w:sz w:val="17"/>
                <w:szCs w:val="17"/>
              </w:rPr>
              <w:t xml:space="preserve">1,502</w:t>
            </w:r>
          </w:p>
        </w:tc>
        <w:tc>
          <w:tcPr>
            <w:tcW w:type="dxa" w:w="3200"/>
            <w:shd w:fill="F2F5F9" w:color="auto" w:val="clear"/>
            <w:tcMar>
              <w:top w:type="dxa" w:w="40"/>
              <w:left w:type="dxa" w:w="70"/>
              <w:bottom w:type="dxa" w:w="40"/>
              <w:right w:type="dxa" w:w="70"/>
            </w:tcMar>
          </w:tcPr>
          <w:p>
            <w:pPr>
              <w:spacing w:after="0"/>
            </w:pPr>
            <w:r>
              <w:rPr>
                <w:sz w:val="17"/>
                <w:szCs w:val="17"/>
              </w:rPr>
              <w:t xml:space="preserve">117 → 113 → 5</w:t>
            </w:r>
          </w:p>
        </w:tc>
        <w:tc>
          <w:tcPr>
            <w:tcW w:type="dxa" w:w="2572"/>
            <w:shd w:fill="F2F5F9" w:color="auto" w:val="clear"/>
            <w:tcMar>
              <w:top w:type="dxa" w:w="40"/>
              <w:left w:type="dxa" w:w="70"/>
              <w:bottom w:type="dxa" w:w="40"/>
              <w:right w:type="dxa" w:w="70"/>
            </w:tcMar>
          </w:tcPr>
          <w:p>
            <w:pPr>
              <w:spacing w:after="0"/>
            </w:pPr>
            <w:r>
              <w:rPr>
                <w:sz w:val="17"/>
                <w:szCs w:val="17"/>
              </w:rPr>
              <w:t xml:space="preserve">27</w:t>
            </w:r>
          </w:p>
        </w:tc>
      </w:tr>
      <w:tr>
        <w:tc>
          <w:tcPr>
            <w:tcW w:type="dxa" w:w="2700"/>
            <w:shd w:fill="FFFFFF" w:color="auto" w:val="clear"/>
            <w:tcMar>
              <w:top w:type="dxa" w:w="40"/>
              <w:left w:type="dxa" w:w="70"/>
              <w:bottom w:type="dxa" w:w="40"/>
              <w:right w:type="dxa" w:w="70"/>
            </w:tcMar>
          </w:tcPr>
          <w:p>
            <w:pPr>
              <w:spacing w:after="0"/>
            </w:pPr>
            <w:r>
              <w:rPr>
                <w:sz w:val="17"/>
                <w:szCs w:val="17"/>
              </w:rPr>
              <w:t xml:space="preserve">cooling sheets king size</w:t>
            </w:r>
          </w:p>
        </w:tc>
        <w:tc>
          <w:tcPr>
            <w:tcW w:type="dxa" w:w="1500"/>
            <w:shd w:fill="FFFFFF" w:color="auto" w:val="clear"/>
            <w:tcMar>
              <w:top w:type="dxa" w:w="40"/>
              <w:left w:type="dxa" w:w="70"/>
              <w:bottom w:type="dxa" w:w="40"/>
              <w:right w:type="dxa" w:w="70"/>
            </w:tcMar>
          </w:tcPr>
          <w:p>
            <w:pPr>
              <w:spacing w:after="0"/>
            </w:pPr>
            <w:r>
              <w:rPr>
                <w:sz w:val="17"/>
                <w:szCs w:val="17"/>
              </w:rPr>
              <w:t xml:space="preserve">1,468</w:t>
            </w:r>
          </w:p>
        </w:tc>
        <w:tc>
          <w:tcPr>
            <w:tcW w:type="dxa" w:w="3200"/>
            <w:shd w:fill="FFFFFF" w:color="auto" w:val="clear"/>
            <w:tcMar>
              <w:top w:type="dxa" w:w="40"/>
              <w:left w:type="dxa" w:w="70"/>
              <w:bottom w:type="dxa" w:w="40"/>
              <w:right w:type="dxa" w:w="70"/>
            </w:tcMar>
          </w:tcPr>
          <w:p>
            <w:pPr>
              <w:spacing w:after="0"/>
            </w:pPr>
            <w:r>
              <w:rPr>
                <w:sz w:val="17"/>
                <w:szCs w:val="17"/>
              </w:rPr>
              <w:t xml:space="preserve">— → 114 → 14</w:t>
            </w:r>
          </w:p>
        </w:tc>
        <w:tc>
          <w:tcPr>
            <w:tcW w:type="dxa" w:w="2572"/>
            <w:shd w:fill="FFFFFF" w:color="auto" w:val="clear"/>
            <w:tcMar>
              <w:top w:type="dxa" w:w="40"/>
              <w:left w:type="dxa" w:w="70"/>
              <w:bottom w:type="dxa" w:w="40"/>
              <w:right w:type="dxa" w:w="70"/>
            </w:tcMar>
          </w:tcPr>
          <w:p>
            <w:pPr>
              <w:spacing w:after="0"/>
            </w:pPr>
            <w:r>
              <w:rPr>
                <w:sz w:val="17"/>
                <w:szCs w:val="17"/>
              </w:rPr>
              <w:t xml:space="preserve">not tracked</w:t>
            </w:r>
          </w:p>
        </w:tc>
      </w:tr>
      <w:tr>
        <w:tc>
          <w:tcPr>
            <w:tcW w:type="dxa" w:w="2700"/>
            <w:shd w:fill="F2F5F9" w:color="auto" w:val="clear"/>
            <w:tcMar>
              <w:top w:type="dxa" w:w="40"/>
              <w:left w:type="dxa" w:w="70"/>
              <w:bottom w:type="dxa" w:w="40"/>
              <w:right w:type="dxa" w:w="70"/>
            </w:tcMar>
          </w:tcPr>
          <w:p>
            <w:pPr>
              <w:spacing w:after="0"/>
            </w:pPr>
            <w:r>
              <w:rPr>
                <w:sz w:val="17"/>
                <w:szCs w:val="17"/>
              </w:rPr>
              <w:t xml:space="preserve">bamboo sheets full</w:t>
            </w:r>
          </w:p>
        </w:tc>
        <w:tc>
          <w:tcPr>
            <w:tcW w:type="dxa" w:w="1500"/>
            <w:shd w:fill="F2F5F9" w:color="auto" w:val="clear"/>
            <w:tcMar>
              <w:top w:type="dxa" w:w="40"/>
              <w:left w:type="dxa" w:w="70"/>
              <w:bottom w:type="dxa" w:w="40"/>
              <w:right w:type="dxa" w:w="70"/>
            </w:tcMar>
          </w:tcPr>
          <w:p>
            <w:pPr>
              <w:spacing w:after="0"/>
            </w:pPr>
            <w:r>
              <w:rPr>
                <w:sz w:val="17"/>
                <w:szCs w:val="17"/>
              </w:rPr>
              <w:t xml:space="preserve">496</w:t>
            </w:r>
          </w:p>
        </w:tc>
        <w:tc>
          <w:tcPr>
            <w:tcW w:type="dxa" w:w="3200"/>
            <w:shd w:fill="F2F5F9" w:color="auto" w:val="clear"/>
            <w:tcMar>
              <w:top w:type="dxa" w:w="40"/>
              <w:left w:type="dxa" w:w="70"/>
              <w:bottom w:type="dxa" w:w="40"/>
              <w:right w:type="dxa" w:w="70"/>
            </w:tcMar>
          </w:tcPr>
          <w:p>
            <w:pPr>
              <w:spacing w:after="0"/>
            </w:pPr>
            <w:r>
              <w:rPr>
                <w:sz w:val="17"/>
                <w:szCs w:val="17"/>
              </w:rPr>
              <w:t xml:space="preserve">127 (7 Sep) → 43 → 13</w:t>
            </w:r>
          </w:p>
        </w:tc>
        <w:tc>
          <w:tcPr>
            <w:tcW w:type="dxa" w:w="2572"/>
            <w:shd w:fill="F2F5F9" w:color="auto" w:val="clear"/>
            <w:tcMar>
              <w:top w:type="dxa" w:w="40"/>
              <w:left w:type="dxa" w:w="70"/>
              <w:bottom w:type="dxa" w:w="40"/>
              <w:right w:type="dxa" w:w="70"/>
            </w:tcMar>
          </w:tcPr>
          <w:p>
            <w:pPr>
              <w:spacing w:after="0"/>
            </w:pPr>
            <w:r>
              <w:rPr>
                <w:sz w:val="17"/>
                <w:szCs w:val="17"/>
              </w:rPr>
              <w:t xml:space="preserve">18</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cooling sheets</w:t>
            </w:r>
          </w:p>
        </w:tc>
        <w:tc>
          <w:tcPr>
            <w:tcW w:type="dxa" w:w="1500"/>
            <w:shd w:fill="FFFFFF" w:color="auto" w:val="clear"/>
            <w:tcMar>
              <w:top w:type="dxa" w:w="40"/>
              <w:left w:type="dxa" w:w="70"/>
              <w:bottom w:type="dxa" w:w="40"/>
              <w:right w:type="dxa" w:w="70"/>
            </w:tcMar>
          </w:tcPr>
          <w:p>
            <w:pPr>
              <w:spacing w:after="0"/>
            </w:pPr>
            <w:r>
              <w:rPr>
                <w:sz w:val="17"/>
                <w:szCs w:val="17"/>
              </w:rPr>
              <w:t xml:space="preserve">494</w:t>
            </w:r>
          </w:p>
        </w:tc>
        <w:tc>
          <w:tcPr>
            <w:tcW w:type="dxa" w:w="3200"/>
            <w:shd w:fill="FFFFFF" w:color="auto" w:val="clear"/>
            <w:tcMar>
              <w:top w:type="dxa" w:w="40"/>
              <w:left w:type="dxa" w:w="70"/>
              <w:bottom w:type="dxa" w:w="40"/>
              <w:right w:type="dxa" w:w="70"/>
            </w:tcMar>
          </w:tcPr>
          <w:p>
            <w:pPr>
              <w:spacing w:after="0"/>
            </w:pPr>
            <w:r>
              <w:rPr>
                <w:sz w:val="17"/>
                <w:szCs w:val="17"/>
              </w:rPr>
              <w:t xml:space="preserve">85 → 58 → 29</w:t>
            </w:r>
          </w:p>
        </w:tc>
        <w:tc>
          <w:tcPr>
            <w:tcW w:type="dxa" w:w="2572"/>
            <w:shd w:fill="FFFFFF" w:color="auto" w:val="clear"/>
            <w:tcMar>
              <w:top w:type="dxa" w:w="40"/>
              <w:left w:type="dxa" w:w="70"/>
              <w:bottom w:type="dxa" w:w="40"/>
              <w:right w:type="dxa" w:w="70"/>
            </w:tcMar>
          </w:tcPr>
          <w:p>
            <w:pPr>
              <w:spacing w:after="0"/>
            </w:pPr>
            <w:r>
              <w:rPr>
                <w:sz w:val="17"/>
                <w:szCs w:val="17"/>
              </w:rPr>
              <w:t xml:space="preserve">20</w:t>
            </w:r>
          </w:p>
        </w:tc>
      </w:tr>
      <w:tr>
        <w:tc>
          <w:tcPr>
            <w:tcW w:type="dxa" w:w="2700"/>
            <w:shd w:fill="F2F5F9" w:color="auto" w:val="clear"/>
            <w:tcMar>
              <w:top w:type="dxa" w:w="40"/>
              <w:left w:type="dxa" w:w="70"/>
              <w:bottom w:type="dxa" w:w="40"/>
              <w:right w:type="dxa" w:w="70"/>
            </w:tcMar>
          </w:tcPr>
          <w:p>
            <w:pPr>
              <w:spacing w:after="0"/>
            </w:pPr>
            <w:r>
              <w:rPr>
                <w:sz w:val="17"/>
                <w:szCs w:val="17"/>
              </w:rPr>
              <w:t xml:space="preserve">queen bamboo sheet set</w:t>
            </w:r>
          </w:p>
        </w:tc>
        <w:tc>
          <w:tcPr>
            <w:tcW w:type="dxa" w:w="1500"/>
            <w:shd w:fill="F2F5F9" w:color="auto" w:val="clear"/>
            <w:tcMar>
              <w:top w:type="dxa" w:w="40"/>
              <w:left w:type="dxa" w:w="70"/>
              <w:bottom w:type="dxa" w:w="40"/>
              <w:right w:type="dxa" w:w="70"/>
            </w:tcMar>
          </w:tcPr>
          <w:p>
            <w:pPr>
              <w:spacing w:after="0"/>
            </w:pPr>
            <w:r>
              <w:rPr>
                <w:sz w:val="17"/>
                <w:szCs w:val="17"/>
              </w:rPr>
              <w:t xml:space="preserve">476</w:t>
            </w:r>
          </w:p>
        </w:tc>
        <w:tc>
          <w:tcPr>
            <w:tcW w:type="dxa" w:w="3200"/>
            <w:shd w:fill="F2F5F9" w:color="auto" w:val="clear"/>
            <w:tcMar>
              <w:top w:type="dxa" w:w="40"/>
              <w:left w:type="dxa" w:w="70"/>
              <w:bottom w:type="dxa" w:w="40"/>
              <w:right w:type="dxa" w:w="70"/>
            </w:tcMar>
          </w:tcPr>
          <w:p>
            <w:pPr>
              <w:spacing w:after="0"/>
            </w:pPr>
            <w:r>
              <w:rPr>
                <w:sz w:val="17"/>
                <w:szCs w:val="17"/>
              </w:rPr>
              <w:t xml:space="preserve">67 → 46 → 2</w:t>
            </w:r>
          </w:p>
        </w:tc>
        <w:tc>
          <w:tcPr>
            <w:tcW w:type="dxa" w:w="2572"/>
            <w:shd w:fill="F2F5F9" w:color="auto" w:val="clear"/>
            <w:tcMar>
              <w:top w:type="dxa" w:w="40"/>
              <w:left w:type="dxa" w:w="70"/>
              <w:bottom w:type="dxa" w:w="40"/>
              <w:right w:type="dxa" w:w="70"/>
            </w:tcMar>
          </w:tcPr>
          <w:p>
            <w:pPr>
              <w:spacing w:after="0"/>
            </w:pPr>
            <w:r>
              <w:rPr>
                <w:sz w:val="17"/>
                <w:szCs w:val="17"/>
              </w:rPr>
              <w:t xml:space="preserve">25</w:t>
            </w:r>
          </w:p>
        </w:tc>
      </w:tr>
      <w:tr>
        <w:tc>
          <w:tcPr>
            <w:tcW w:type="dxa" w:w="2700"/>
            <w:shd w:fill="FFFFFF" w:color="auto" w:val="clear"/>
            <w:tcMar>
              <w:top w:type="dxa" w:w="40"/>
              <w:left w:type="dxa" w:w="70"/>
              <w:bottom w:type="dxa" w:w="40"/>
              <w:right w:type="dxa" w:w="70"/>
            </w:tcMar>
          </w:tcPr>
          <w:p>
            <w:pPr>
              <w:spacing w:after="0"/>
            </w:pPr>
            <w:r>
              <w:rPr>
                <w:sz w:val="17"/>
                <w:szCs w:val="17"/>
              </w:rPr>
              <w:t xml:space="preserve">bamboo sheets king</w:t>
            </w:r>
          </w:p>
        </w:tc>
        <w:tc>
          <w:tcPr>
            <w:tcW w:type="dxa" w:w="1500"/>
            <w:shd w:fill="FFFFFF" w:color="auto" w:val="clear"/>
            <w:tcMar>
              <w:top w:type="dxa" w:w="40"/>
              <w:left w:type="dxa" w:w="70"/>
              <w:bottom w:type="dxa" w:w="40"/>
              <w:right w:type="dxa" w:w="70"/>
            </w:tcMar>
          </w:tcPr>
          <w:p>
            <w:pPr>
              <w:spacing w:after="0"/>
            </w:pPr>
            <w:r>
              <w:rPr>
                <w:sz w:val="17"/>
                <w:szCs w:val="17"/>
              </w:rPr>
              <w:t xml:space="preserve">475</w:t>
            </w:r>
          </w:p>
        </w:tc>
        <w:tc>
          <w:tcPr>
            <w:tcW w:type="dxa" w:w="3200"/>
            <w:shd w:fill="FFFFFF" w:color="auto" w:val="clear"/>
            <w:tcMar>
              <w:top w:type="dxa" w:w="40"/>
              <w:left w:type="dxa" w:w="70"/>
              <w:bottom w:type="dxa" w:w="40"/>
              <w:right w:type="dxa" w:w="70"/>
            </w:tcMar>
          </w:tcPr>
          <w:p>
            <w:pPr>
              <w:spacing w:after="0"/>
            </w:pPr>
            <w:r>
              <w:rPr>
                <w:sz w:val="17"/>
                <w:szCs w:val="17"/>
              </w:rPr>
              <w:t xml:space="preserve">88 → 80 → 9</w:t>
            </w:r>
          </w:p>
        </w:tc>
        <w:tc>
          <w:tcPr>
            <w:tcW w:type="dxa" w:w="2572"/>
            <w:shd w:fill="FFFFFF" w:color="auto" w:val="clear"/>
            <w:tcMar>
              <w:top w:type="dxa" w:w="40"/>
              <w:left w:type="dxa" w:w="70"/>
              <w:bottom w:type="dxa" w:w="40"/>
              <w:right w:type="dxa" w:w="70"/>
            </w:tcMar>
          </w:tcPr>
          <w:p>
            <w:pPr>
              <w:spacing w:after="0"/>
            </w:pPr>
            <w:r>
              <w:rPr>
                <w:sz w:val="17"/>
                <w:szCs w:val="17"/>
              </w:rPr>
              <w:t xml:space="preserve">19</w:t>
            </w:r>
          </w:p>
        </w:tc>
      </w:tr>
    </w:tbl>
    <w:p>
      <w:pPr>
        <w:spacing w:after="120"/>
      </w:pPr>
      <w:r>
        <w:rPr>
          <w:i/>
          <w:iCs/>
          <w:color w:val="555555"/>
          <w:sz w:val="17"/>
          <w:szCs w:val="17"/>
        </w:rPr>
        <w:t xml:space="preserve">ASinsight rank and keyword sales for B0HD7R5L1D; B6 ranks from our daily rank crawl. Whether True Bamboo ran a deal in this window is not known.</w:t>
      </w:r>
    </w:p>
    <w:p>
      <w:pPr>
        <w:spacing w:after="100"/>
      </w:pPr>
      <w:r>
        <w:t xml:space="preserve">On “bamboo sheets king size”, ASinsight’s hourly view shows True Bamboo’s organic rank going from about 50 on 21 September to 4 by 25 September, while its sponsored rank sat at the top most hours of every day. What this means for B6:</w:t>
      </w:r>
    </w:p>
    <w:p>
      <w:pPr>
        <w:pStyle w:val="ListParagraph"/>
        <w:numPr>
          <w:ilvl w:val="0"/>
          <w:numId w:val="3"/>
        </w:numPr>
        <w:spacing w:after="60"/>
      </w:pPr>
      <w:r>
        <w:t xml:space="preserve">Rank moves in days, not months, when the ad holds the top slot all day with enough clicks. The audit’s targets run to 26 November and later.</w:t>
      </w:r>
    </w:p>
    <w:p>
      <w:pPr>
        <w:pStyle w:val="ListParagraph"/>
        <w:numPr>
          <w:ilvl w:val="0"/>
          <w:numId w:val="3"/>
        </w:numPr>
        <w:spacing w:after="60"/>
      </w:pPr>
      <w:r>
        <w:t xml:space="preserve">Our click-through and conversion at the top already beat the market on these terms (Section 5.4), so the listing is not the main blocker; volume at the top is. “bamboo sheets” gets 7 of the 69 top-of-search clicks a day its plan needs, “bamboo sheets queen size” under 1 of 44, and “bamboo sheets king size” almost none of 24.</w:t>
      </w:r>
    </w:p>
    <w:p>
      <w:pPr>
        <w:pStyle w:val="ListParagraph"/>
        <w:numPr>
          <w:ilvl w:val="0"/>
          <w:numId w:val="3"/>
        </w:numPr>
        <w:spacing w:after="60"/>
      </w:pPr>
      <w:r>
        <w:t xml:space="preserve">The earlier version of these corrections was still too cautious in two places: one 30% step a week, and fixing the mix before pushing. Both now happen together, with daily steps.</w:t>
      </w:r>
    </w:p>
    <w:p>
      <w:pPr>
        <w:pStyle w:val="ListParagraph"/>
        <w:numPr>
          <w:ilvl w:val="0"/>
          <w:numId w:val="3"/>
        </w:numPr>
        <w:spacing w:after="60"/>
      </w:pPr>
      <w:r>
        <w:t xml:space="preserve">Check the listing against True Bamboo on the push terms anyway (main image, title, price and coupon, reviews), so the extra clicks convert.</w:t>
      </w:r>
    </w:p>
    <w:p>
      <w:pPr>
        <w:pStyle w:val="Heading2"/>
      </w:pPr>
      <w:r>
        <w:t xml:space="preserve">5.3 The push plan</w:t>
      </w:r>
    </w:p>
    <w:p>
      <w:pPr>
        <w:spacing w:after="100"/>
      </w:pPr>
      <w:r>
        <w:t xml:space="preserve">A term is in the push when four things hold:</w:t>
      </w:r>
    </w:p>
    <w:p>
      <w:pPr>
        <w:pStyle w:val="ListParagraph"/>
        <w:numPr>
          <w:ilvl w:val="0"/>
          <w:numId w:val="3"/>
        </w:numPr>
        <w:spacing w:after="60"/>
      </w:pPr>
      <w:r>
        <w:t xml:space="preserve">It has real demand.</w:t>
      </w:r>
    </w:p>
    <w:p>
      <w:pPr>
        <w:pStyle w:val="ListParagraph"/>
        <w:numPr>
          <w:ilvl w:val="0"/>
          <w:numId w:val="3"/>
        </w:numPr>
        <w:spacing w:after="60"/>
      </w:pPr>
      <w:r>
        <w:t xml:space="preserve">It converts above the market: at the top, or overall where it has barely been shown there.</w:t>
      </w:r>
    </w:p>
    <w:p>
      <w:pPr>
        <w:pStyle w:val="ListParagraph"/>
        <w:numPr>
          <w:ilvl w:val="0"/>
          <w:numId w:val="3"/>
        </w:numPr>
        <w:spacing w:after="60"/>
      </w:pPr>
      <w:r>
        <w:t xml:space="preserve">White is in stock.</w:t>
      </w:r>
    </w:p>
    <w:p>
      <w:pPr>
        <w:pStyle w:val="ListParagraph"/>
        <w:numPr>
          <w:ilvl w:val="0"/>
          <w:numId w:val="3"/>
        </w:numPr>
        <w:spacing w:after="60"/>
      </w:pPr>
      <w:r>
        <w:t xml:space="preserve">It is within reach: we, or True Bamboo, rank inside about 30 places.</w:t>
      </w:r>
    </w:p>
    <w:p>
      <w:pPr>
        <w:spacing w:after="100"/>
      </w:pPr>
      <w:r>
        <w:t xml:space="preserve">That gives 16 terms now, in four groups. Each has a plan for clicks, orders and budget a day, tuned weekly on results: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300"/>
        <w:gridCol w:w="1000"/>
        <w:gridCol w:w="1000"/>
        <w:gridCol w:w="1500"/>
        <w:gridCol w:w="1772"/>
      </w:tblGrid>
      <w:tr>
        <w:trPr>
          <w:tblHeader/>
        </w:trPr>
        <w:tc>
          <w:tcPr>
            <w:tcW w:type="dxa" w:w="23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Top-of-search clicks a day: plan · today</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Top-of-search conversion</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Orders a day expected</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Top-of-search price this week (ceiling)</w:t>
            </w:r>
          </w:p>
        </w:tc>
        <w:tc>
          <w:tcPr>
            <w:tcW w:type="dxa" w:w="1772"/>
            <w:shd w:fill="1F3A5F" w:color="auto" w:val="clear"/>
            <w:tcMar>
              <w:top w:type="dxa" w:w="40"/>
              <w:left w:type="dxa" w:w="70"/>
              <w:bottom w:type="dxa" w:w="40"/>
              <w:right w:type="dxa" w:w="70"/>
            </w:tcMar>
          </w:tcPr>
          <w:p>
            <w:pPr>
              <w:spacing w:after="0"/>
            </w:pPr>
            <w:r>
              <w:rPr>
                <w:b/>
                <w:bCs/>
                <w:color w:val="FFFFFF"/>
                <w:sz w:val="17"/>
                <w:szCs w:val="17"/>
              </w:rPr>
              <w:t xml:space="preserve">Budget a day</w:t>
            </w:r>
          </w:p>
        </w:tc>
      </w:tr>
      <w:tr>
        <w:tc>
          <w:tcPr>
            <w:tcW w:type="dxa" w:w="2300"/>
            <w:shd w:fill="FFFFFF" w:color="auto" w:val="clear"/>
            <w:tcMar>
              <w:top w:type="dxa" w:w="40"/>
              <w:left w:type="dxa" w:w="70"/>
              <w:bottom w:type="dxa" w:w="40"/>
              <w:right w:type="dxa" w:w="70"/>
            </w:tcMar>
          </w:tcPr>
          <w:p>
            <w:pPr>
              <w:spacing w:after="0"/>
            </w:pPr>
            <w:r>
              <w:rPr>
                <w:sz w:val="17"/>
                <w:szCs w:val="17"/>
              </w:rPr>
              <w:t xml:space="preserve">Head terms</w:t>
            </w:r>
          </w:p>
        </w:tc>
        <w:tc>
          <w:tcPr>
            <w:tcW w:type="dxa" w:w="1100"/>
            <w:shd w:fill="FFFFFF" w:color="auto" w:val="clear"/>
            <w:tcMar>
              <w:top w:type="dxa" w:w="40"/>
              <w:left w:type="dxa" w:w="70"/>
              <w:bottom w:type="dxa" w:w="40"/>
              <w:right w:type="dxa" w:w="70"/>
            </w:tcMar>
          </w:tcPr>
          <w:p>
            <w:pPr>
              <w:spacing w:after="0"/>
            </w:pPr>
            <w:r>
              <w:rPr>
                <w:sz w:val="17"/>
                <w:szCs w:val="17"/>
              </w:rPr>
              <w:t xml:space="preserve"/>
            </w:r>
          </w:p>
        </w:tc>
        <w:tc>
          <w:tcPr>
            <w:tcW w:type="dxa" w:w="1300"/>
            <w:shd w:fill="FFFFFF" w:color="auto" w:val="clear"/>
            <w:tcMar>
              <w:top w:type="dxa" w:w="40"/>
              <w:left w:type="dxa" w:w="70"/>
              <w:bottom w:type="dxa" w:w="40"/>
              <w:right w:type="dxa" w:w="70"/>
            </w:tcMar>
          </w:tcPr>
          <w:p>
            <w:pPr>
              <w:spacing w:after="0"/>
            </w:pPr>
            <w:r>
              <w:rPr>
                <w:sz w:val="17"/>
                <w:szCs w:val="17"/>
              </w:rPr>
              <w:t xml:space="preserve"/>
            </w:r>
          </w:p>
        </w:tc>
        <w:tc>
          <w:tcPr>
            <w:tcW w:type="dxa" w:w="1000"/>
            <w:shd w:fill="FFFFFF" w:color="auto" w:val="clear"/>
            <w:tcMar>
              <w:top w:type="dxa" w:w="40"/>
              <w:left w:type="dxa" w:w="70"/>
              <w:bottom w:type="dxa" w:w="40"/>
              <w:right w:type="dxa" w:w="70"/>
            </w:tcMar>
          </w:tcPr>
          <w:p>
            <w:pPr>
              <w:spacing w:after="0"/>
            </w:pPr>
            <w:r>
              <w:rPr>
                <w:sz w:val="17"/>
                <w:szCs w:val="17"/>
              </w:rPr>
              <w:t xml:space="preserve"/>
            </w:r>
          </w:p>
        </w:tc>
        <w:tc>
          <w:tcPr>
            <w:tcW w:type="dxa" w:w="1000"/>
            <w:shd w:fill="FFFFFF" w:color="auto" w:val="clear"/>
            <w:tcMar>
              <w:top w:type="dxa" w:w="40"/>
              <w:left w:type="dxa" w:w="70"/>
              <w:bottom w:type="dxa" w:w="40"/>
              <w:right w:type="dxa" w:w="70"/>
            </w:tcMar>
          </w:tcPr>
          <w:p>
            <w:pPr>
              <w:spacing w:after="0"/>
            </w:pPr>
            <w:r>
              <w:rPr>
                <w:sz w:val="17"/>
                <w:szCs w:val="17"/>
              </w:rPr>
              <w:t xml:space="preserve"/>
            </w:r>
          </w:p>
        </w:tc>
        <w:tc>
          <w:tcPr>
            <w:tcW w:type="dxa" w:w="1500"/>
            <w:shd w:fill="FFFFFF" w:color="auto" w:val="clear"/>
            <w:tcMar>
              <w:top w:type="dxa" w:w="40"/>
              <w:left w:type="dxa" w:w="70"/>
              <w:bottom w:type="dxa" w:w="40"/>
              <w:right w:type="dxa" w:w="70"/>
            </w:tcMar>
          </w:tcPr>
          <w:p>
            <w:pPr>
              <w:spacing w:after="0"/>
            </w:pPr>
            <w:r>
              <w:rPr>
                <w:sz w:val="17"/>
                <w:szCs w:val="17"/>
              </w:rPr>
              <w:t xml:space="preserve"/>
            </w:r>
          </w:p>
        </w:tc>
        <w:tc>
          <w:tcPr>
            <w:tcW w:type="dxa" w:w="1772"/>
            <w:shd w:fill="FFFFFF" w:color="auto" w:val="clear"/>
            <w:tcMar>
              <w:top w:type="dxa" w:w="40"/>
              <w:left w:type="dxa" w:w="70"/>
              <w:bottom w:type="dxa" w:w="40"/>
              <w:right w:type="dxa" w:w="70"/>
            </w:tcMar>
          </w:tcPr>
          <w:p>
            <w:pPr>
              <w:spacing w:after="0"/>
            </w:pPr>
            <w:r>
              <w:rPr>
                <w:sz w:val="17"/>
                <w:szCs w:val="17"/>
              </w:rPr>
              <w:t xml:space="preserve"/>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 sheets</w:t>
            </w:r>
          </w:p>
        </w:tc>
        <w:tc>
          <w:tcPr>
            <w:tcW w:type="dxa" w:w="1100"/>
            <w:shd w:fill="F2F5F9" w:color="auto" w:val="clear"/>
            <w:tcMar>
              <w:top w:type="dxa" w:w="40"/>
              <w:left w:type="dxa" w:w="70"/>
              <w:bottom w:type="dxa" w:w="40"/>
              <w:right w:type="dxa" w:w="70"/>
            </w:tcMar>
          </w:tcPr>
          <w:p>
            <w:pPr>
              <w:spacing w:after="0"/>
            </w:pPr>
            <w:r>
              <w:rPr>
                <w:sz w:val="17"/>
                <w:szCs w:val="17"/>
              </w:rPr>
              <w:t xml:space="preserve">29 → 9</w:t>
            </w:r>
          </w:p>
        </w:tc>
        <w:tc>
          <w:tcPr>
            <w:tcW w:type="dxa" w:w="1300"/>
            <w:shd w:fill="F2F5F9" w:color="auto" w:val="clear"/>
            <w:tcMar>
              <w:top w:type="dxa" w:w="40"/>
              <w:left w:type="dxa" w:w="70"/>
              <w:bottom w:type="dxa" w:w="40"/>
              <w:right w:type="dxa" w:w="70"/>
            </w:tcMar>
          </w:tcPr>
          <w:p>
            <w:pPr>
              <w:spacing w:after="0"/>
            </w:pPr>
            <w:r>
              <w:rPr>
                <w:sz w:val="17"/>
                <w:szCs w:val="17"/>
              </w:rPr>
              <w:t xml:space="preserve">69 · 7</w:t>
            </w:r>
          </w:p>
        </w:tc>
        <w:tc>
          <w:tcPr>
            <w:tcW w:type="dxa" w:w="1000"/>
            <w:shd w:fill="F2F5F9" w:color="auto" w:val="clear"/>
            <w:tcMar>
              <w:top w:type="dxa" w:w="40"/>
              <w:left w:type="dxa" w:w="70"/>
              <w:bottom w:type="dxa" w:w="40"/>
              <w:right w:type="dxa" w:w="70"/>
            </w:tcMar>
          </w:tcPr>
          <w:p>
            <w:pPr>
              <w:spacing w:after="0"/>
            </w:pPr>
            <w:r>
              <w:rPr>
                <w:sz w:val="17"/>
                <w:szCs w:val="17"/>
              </w:rPr>
              <w:t xml:space="preserve">19.3%</w:t>
            </w:r>
          </w:p>
        </w:tc>
        <w:tc>
          <w:tcPr>
            <w:tcW w:type="dxa" w:w="1000"/>
            <w:shd w:fill="F2F5F9" w:color="auto" w:val="clear"/>
            <w:tcMar>
              <w:top w:type="dxa" w:w="40"/>
              <w:left w:type="dxa" w:w="70"/>
              <w:bottom w:type="dxa" w:w="40"/>
              <w:right w:type="dxa" w:w="70"/>
            </w:tcMar>
          </w:tcPr>
          <w:p>
            <w:pPr>
              <w:spacing w:after="0"/>
            </w:pPr>
            <w:r>
              <w:rPr>
                <w:sz w:val="17"/>
                <w:szCs w:val="17"/>
              </w:rPr>
              <w:t xml:space="preserve">13.3</w:t>
            </w:r>
          </w:p>
        </w:tc>
        <w:tc>
          <w:tcPr>
            <w:tcW w:type="dxa" w:w="1500"/>
            <w:shd w:fill="F2F5F9" w:color="auto" w:val="clear"/>
            <w:tcMar>
              <w:top w:type="dxa" w:w="40"/>
              <w:left w:type="dxa" w:w="70"/>
              <w:bottom w:type="dxa" w:w="40"/>
              <w:right w:type="dxa" w:w="70"/>
            </w:tcMar>
          </w:tcPr>
          <w:p>
            <w:pPr>
              <w:spacing w:after="0"/>
            </w:pPr>
            <w:r>
              <w:rPr>
                <w:sz w:val="17"/>
                <w:szCs w:val="17"/>
              </w:rPr>
              <w:t xml:space="preserve">$6.16 ($6.16)</w:t>
            </w:r>
          </w:p>
        </w:tc>
        <w:tc>
          <w:tcPr>
            <w:tcW w:type="dxa" w:w="1772"/>
            <w:shd w:fill="F2F5F9" w:color="auto" w:val="clear"/>
            <w:tcMar>
              <w:top w:type="dxa" w:w="40"/>
              <w:left w:type="dxa" w:w="70"/>
              <w:bottom w:type="dxa" w:w="40"/>
              <w:right w:type="dxa" w:w="70"/>
            </w:tcMar>
          </w:tcPr>
          <w:p>
            <w:pPr>
              <w:spacing w:after="0"/>
            </w:pPr>
            <w:r>
              <w:rPr>
                <w:sz w:val="17"/>
                <w:szCs w:val="17"/>
              </w:rPr>
              <w:t xml:space="preserve">$425</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sheets queen size</w:t>
            </w:r>
          </w:p>
        </w:tc>
        <w:tc>
          <w:tcPr>
            <w:tcW w:type="dxa" w:w="1100"/>
            <w:shd w:fill="FFFFFF" w:color="auto" w:val="clear"/>
            <w:tcMar>
              <w:top w:type="dxa" w:w="40"/>
              <w:left w:type="dxa" w:w="70"/>
              <w:bottom w:type="dxa" w:w="40"/>
              <w:right w:type="dxa" w:w="70"/>
            </w:tcMar>
          </w:tcPr>
          <w:p>
            <w:pPr>
              <w:spacing w:after="0"/>
            </w:pPr>
            <w:r>
              <w:rPr>
                <w:sz w:val="17"/>
                <w:szCs w:val="17"/>
              </w:rPr>
              <w:t xml:space="preserve">21 → 5</w:t>
            </w:r>
          </w:p>
        </w:tc>
        <w:tc>
          <w:tcPr>
            <w:tcW w:type="dxa" w:w="1300"/>
            <w:shd w:fill="FFFFFF" w:color="auto" w:val="clear"/>
            <w:tcMar>
              <w:top w:type="dxa" w:w="40"/>
              <w:left w:type="dxa" w:w="70"/>
              <w:bottom w:type="dxa" w:w="40"/>
              <w:right w:type="dxa" w:w="70"/>
            </w:tcMar>
          </w:tcPr>
          <w:p>
            <w:pPr>
              <w:spacing w:after="0"/>
            </w:pPr>
            <w:r>
              <w:rPr>
                <w:sz w:val="17"/>
                <w:szCs w:val="17"/>
              </w:rPr>
              <w:t xml:space="preserve">44 · 0.8</w:t>
            </w:r>
          </w:p>
        </w:tc>
        <w:tc>
          <w:tcPr>
            <w:tcW w:type="dxa" w:w="1000"/>
            <w:shd w:fill="FFFFFF" w:color="auto" w:val="clear"/>
            <w:tcMar>
              <w:top w:type="dxa" w:w="40"/>
              <w:left w:type="dxa" w:w="70"/>
              <w:bottom w:type="dxa" w:w="40"/>
              <w:right w:type="dxa" w:w="70"/>
            </w:tcMar>
          </w:tcPr>
          <w:p>
            <w:pPr>
              <w:spacing w:after="0"/>
            </w:pPr>
            <w:r>
              <w:rPr>
                <w:sz w:val="17"/>
                <w:szCs w:val="17"/>
              </w:rPr>
              <w:t xml:space="preserve">22.7%</w:t>
            </w:r>
          </w:p>
        </w:tc>
        <w:tc>
          <w:tcPr>
            <w:tcW w:type="dxa" w:w="1000"/>
            <w:shd w:fill="FFFFFF" w:color="auto" w:val="clear"/>
            <w:tcMar>
              <w:top w:type="dxa" w:w="40"/>
              <w:left w:type="dxa" w:w="70"/>
              <w:bottom w:type="dxa" w:w="40"/>
              <w:right w:type="dxa" w:w="70"/>
            </w:tcMar>
          </w:tcPr>
          <w:p>
            <w:pPr>
              <w:spacing w:after="0"/>
            </w:pPr>
            <w:r>
              <w:rPr>
                <w:sz w:val="17"/>
                <w:szCs w:val="17"/>
              </w:rPr>
              <w:t xml:space="preserve">10.0</w:t>
            </w:r>
          </w:p>
        </w:tc>
        <w:tc>
          <w:tcPr>
            <w:tcW w:type="dxa" w:w="1500"/>
            <w:shd w:fill="FFFFFF" w:color="auto" w:val="clear"/>
            <w:tcMar>
              <w:top w:type="dxa" w:w="40"/>
              <w:left w:type="dxa" w:w="70"/>
              <w:bottom w:type="dxa" w:w="40"/>
              <w:right w:type="dxa" w:w="70"/>
            </w:tcMar>
          </w:tcPr>
          <w:p>
            <w:pPr>
              <w:spacing w:after="0"/>
            </w:pPr>
            <w:r>
              <w:rPr>
                <w:sz w:val="17"/>
                <w:szCs w:val="17"/>
              </w:rPr>
              <w:t xml:space="preserve">$7.71 ($8.86)</w:t>
            </w:r>
          </w:p>
        </w:tc>
        <w:tc>
          <w:tcPr>
            <w:tcW w:type="dxa" w:w="1772"/>
            <w:shd w:fill="FFFFFF" w:color="auto" w:val="clear"/>
            <w:tcMar>
              <w:top w:type="dxa" w:w="40"/>
              <w:left w:type="dxa" w:w="70"/>
              <w:bottom w:type="dxa" w:w="40"/>
              <w:right w:type="dxa" w:w="70"/>
            </w:tcMar>
          </w:tcPr>
          <w:p>
            <w:pPr>
              <w:spacing w:after="0"/>
            </w:pPr>
            <w:r>
              <w:rPr>
                <w:sz w:val="17"/>
                <w:szCs w:val="17"/>
              </w:rPr>
              <w:t xml:space="preserve">$339</w:t>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 sheets king size</w:t>
            </w:r>
          </w:p>
        </w:tc>
        <w:tc>
          <w:tcPr>
            <w:tcW w:type="dxa" w:w="1100"/>
            <w:shd w:fill="F2F5F9" w:color="auto" w:val="clear"/>
            <w:tcMar>
              <w:top w:type="dxa" w:w="40"/>
              <w:left w:type="dxa" w:w="70"/>
              <w:bottom w:type="dxa" w:w="40"/>
              <w:right w:type="dxa" w:w="70"/>
            </w:tcMar>
          </w:tcPr>
          <w:p>
            <w:pPr>
              <w:spacing w:after="0"/>
            </w:pPr>
            <w:r>
              <w:rPr>
                <w:sz w:val="17"/>
                <w:szCs w:val="17"/>
              </w:rPr>
              <w:t xml:space="preserve">27 → 10</w:t>
            </w:r>
          </w:p>
        </w:tc>
        <w:tc>
          <w:tcPr>
            <w:tcW w:type="dxa" w:w="1300"/>
            <w:shd w:fill="F2F5F9" w:color="auto" w:val="clear"/>
            <w:tcMar>
              <w:top w:type="dxa" w:w="40"/>
              <w:left w:type="dxa" w:w="70"/>
              <w:bottom w:type="dxa" w:w="40"/>
              <w:right w:type="dxa" w:w="70"/>
            </w:tcMar>
          </w:tcPr>
          <w:p>
            <w:pPr>
              <w:spacing w:after="0"/>
            </w:pPr>
            <w:r>
              <w:rPr>
                <w:sz w:val="17"/>
                <w:szCs w:val="17"/>
              </w:rPr>
              <w:t xml:space="preserve">24 · 0.1</w:t>
            </w:r>
          </w:p>
        </w:tc>
        <w:tc>
          <w:tcPr>
            <w:tcW w:type="dxa" w:w="1000"/>
            <w:shd w:fill="F2F5F9" w:color="auto" w:val="clear"/>
            <w:tcMar>
              <w:top w:type="dxa" w:w="40"/>
              <w:left w:type="dxa" w:w="70"/>
              <w:bottom w:type="dxa" w:w="40"/>
              <w:right w:type="dxa" w:w="70"/>
            </w:tcMar>
          </w:tcPr>
          <w:p>
            <w:pPr>
              <w:spacing w:after="0"/>
            </w:pPr>
            <w:r>
              <w:rPr>
                <w:sz w:val="17"/>
                <w:szCs w:val="17"/>
              </w:rPr>
              <w:t xml:space="preserve">17.9%*</w:t>
            </w:r>
          </w:p>
        </w:tc>
        <w:tc>
          <w:tcPr>
            <w:tcW w:type="dxa" w:w="1000"/>
            <w:shd w:fill="F2F5F9" w:color="auto" w:val="clear"/>
            <w:tcMar>
              <w:top w:type="dxa" w:w="40"/>
              <w:left w:type="dxa" w:w="70"/>
              <w:bottom w:type="dxa" w:w="40"/>
              <w:right w:type="dxa" w:w="70"/>
            </w:tcMar>
          </w:tcPr>
          <w:p>
            <w:pPr>
              <w:spacing w:after="0"/>
            </w:pPr>
            <w:r>
              <w:rPr>
                <w:sz w:val="17"/>
                <w:szCs w:val="17"/>
              </w:rPr>
              <w:t xml:space="preserve">4.3</w:t>
            </w:r>
          </w:p>
        </w:tc>
        <w:tc>
          <w:tcPr>
            <w:tcW w:type="dxa" w:w="1500"/>
            <w:shd w:fill="F2F5F9" w:color="auto" w:val="clear"/>
            <w:tcMar>
              <w:top w:type="dxa" w:w="40"/>
              <w:left w:type="dxa" w:w="70"/>
              <w:bottom w:type="dxa" w:w="40"/>
              <w:right w:type="dxa" w:w="70"/>
            </w:tcMar>
          </w:tcPr>
          <w:p>
            <w:pPr>
              <w:spacing w:after="0"/>
            </w:pPr>
            <w:r>
              <w:rPr>
                <w:sz w:val="17"/>
                <w:szCs w:val="17"/>
              </w:rPr>
              <w:t xml:space="preserve">$5.29 ($5.72)</w:t>
            </w:r>
          </w:p>
        </w:tc>
        <w:tc>
          <w:tcPr>
            <w:tcW w:type="dxa" w:w="1772"/>
            <w:shd w:fill="F2F5F9" w:color="auto" w:val="clear"/>
            <w:tcMar>
              <w:top w:type="dxa" w:w="40"/>
              <w:left w:type="dxa" w:w="70"/>
              <w:bottom w:type="dxa" w:w="40"/>
              <w:right w:type="dxa" w:w="70"/>
            </w:tcMar>
          </w:tcPr>
          <w:p>
            <w:pPr>
              <w:spacing w:after="0"/>
            </w:pPr>
            <w:r>
              <w:rPr>
                <w:sz w:val="17"/>
                <w:szCs w:val="17"/>
              </w:rPr>
              <w:t xml:space="preserve">$127</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sheets full</w:t>
            </w:r>
          </w:p>
        </w:tc>
        <w:tc>
          <w:tcPr>
            <w:tcW w:type="dxa" w:w="1100"/>
            <w:shd w:fill="FFFFFF" w:color="auto" w:val="clear"/>
            <w:tcMar>
              <w:top w:type="dxa" w:w="40"/>
              <w:left w:type="dxa" w:w="70"/>
              <w:bottom w:type="dxa" w:w="40"/>
              <w:right w:type="dxa" w:w="70"/>
            </w:tcMar>
          </w:tcPr>
          <w:p>
            <w:pPr>
              <w:spacing w:after="0"/>
            </w:pPr>
            <w:r>
              <w:rPr>
                <w:sz w:val="17"/>
                <w:szCs w:val="17"/>
              </w:rPr>
              <w:t xml:space="preserve">18 → 2</w:t>
            </w:r>
          </w:p>
        </w:tc>
        <w:tc>
          <w:tcPr>
            <w:tcW w:type="dxa" w:w="1300"/>
            <w:shd w:fill="FFFFFF" w:color="auto" w:val="clear"/>
            <w:tcMar>
              <w:top w:type="dxa" w:w="40"/>
              <w:left w:type="dxa" w:w="70"/>
              <w:bottom w:type="dxa" w:w="40"/>
              <w:right w:type="dxa" w:w="70"/>
            </w:tcMar>
          </w:tcPr>
          <w:p>
            <w:pPr>
              <w:spacing w:after="0"/>
            </w:pPr>
            <w:r>
              <w:rPr>
                <w:sz w:val="17"/>
                <w:szCs w:val="17"/>
              </w:rPr>
              <w:t xml:space="preserve">22 · 0 (paused)</w:t>
            </w:r>
          </w:p>
        </w:tc>
        <w:tc>
          <w:tcPr>
            <w:tcW w:type="dxa" w:w="1000"/>
            <w:shd w:fill="FFFFFF" w:color="auto" w:val="clear"/>
            <w:tcMar>
              <w:top w:type="dxa" w:w="40"/>
              <w:left w:type="dxa" w:w="70"/>
              <w:bottom w:type="dxa" w:w="40"/>
              <w:right w:type="dxa" w:w="70"/>
            </w:tcMar>
          </w:tcPr>
          <w:p>
            <w:pPr>
              <w:spacing w:after="0"/>
            </w:pPr>
            <w:r>
              <w:rPr>
                <w:sz w:val="17"/>
                <w:szCs w:val="17"/>
              </w:rPr>
              <w:t xml:space="preserve">12.5%*</w:t>
            </w:r>
          </w:p>
        </w:tc>
        <w:tc>
          <w:tcPr>
            <w:tcW w:type="dxa" w:w="1000"/>
            <w:shd w:fill="FFFFFF" w:color="auto" w:val="clear"/>
            <w:tcMar>
              <w:top w:type="dxa" w:w="40"/>
              <w:left w:type="dxa" w:w="70"/>
              <w:bottom w:type="dxa" w:w="40"/>
              <w:right w:type="dxa" w:w="70"/>
            </w:tcMar>
          </w:tcPr>
          <w:p>
            <w:pPr>
              <w:spacing w:after="0"/>
            </w:pPr>
            <w:r>
              <w:rPr>
                <w:sz w:val="17"/>
                <w:szCs w:val="17"/>
              </w:rPr>
              <w:t xml:space="preserve">2.7</w:t>
            </w:r>
          </w:p>
        </w:tc>
        <w:tc>
          <w:tcPr>
            <w:tcW w:type="dxa" w:w="1500"/>
            <w:shd w:fill="FFFFFF" w:color="auto" w:val="clear"/>
            <w:tcMar>
              <w:top w:type="dxa" w:w="40"/>
              <w:left w:type="dxa" w:w="70"/>
              <w:bottom w:type="dxa" w:w="40"/>
              <w:right w:type="dxa" w:w="70"/>
            </w:tcMar>
          </w:tcPr>
          <w:p>
            <w:pPr>
              <w:spacing w:after="0"/>
            </w:pPr>
            <w:r>
              <w:rPr>
                <w:sz w:val="17"/>
                <w:szCs w:val="17"/>
              </w:rPr>
              <w:t xml:space="preserve">$5.52 ($5.52)</w:t>
            </w:r>
          </w:p>
        </w:tc>
        <w:tc>
          <w:tcPr>
            <w:tcW w:type="dxa" w:w="1772"/>
            <w:shd w:fill="FFFFFF" w:color="auto" w:val="clear"/>
            <w:tcMar>
              <w:top w:type="dxa" w:w="40"/>
              <w:left w:type="dxa" w:w="70"/>
              <w:bottom w:type="dxa" w:w="40"/>
              <w:right w:type="dxa" w:w="70"/>
            </w:tcMar>
          </w:tcPr>
          <w:p>
            <w:pPr>
              <w:spacing w:after="0"/>
            </w:pPr>
            <w:r>
              <w:rPr>
                <w:sz w:val="17"/>
                <w:szCs w:val="17"/>
              </w:rPr>
              <w:t xml:space="preserve">$121</w:t>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 cooling sheets</w:t>
            </w:r>
          </w:p>
        </w:tc>
        <w:tc>
          <w:tcPr>
            <w:tcW w:type="dxa" w:w="1100"/>
            <w:shd w:fill="F2F5F9" w:color="auto" w:val="clear"/>
            <w:tcMar>
              <w:top w:type="dxa" w:w="40"/>
              <w:left w:type="dxa" w:w="70"/>
              <w:bottom w:type="dxa" w:w="40"/>
              <w:right w:type="dxa" w:w="70"/>
            </w:tcMar>
          </w:tcPr>
          <w:p>
            <w:pPr>
              <w:spacing w:after="0"/>
            </w:pPr>
            <w:r>
              <w:rPr>
                <w:sz w:val="17"/>
                <w:szCs w:val="17"/>
              </w:rPr>
              <w:t xml:space="preserve">20 → 5</w:t>
            </w:r>
          </w:p>
        </w:tc>
        <w:tc>
          <w:tcPr>
            <w:tcW w:type="dxa" w:w="1300"/>
            <w:shd w:fill="F2F5F9" w:color="auto" w:val="clear"/>
            <w:tcMar>
              <w:top w:type="dxa" w:w="40"/>
              <w:left w:type="dxa" w:w="70"/>
              <w:bottom w:type="dxa" w:w="40"/>
              <w:right w:type="dxa" w:w="70"/>
            </w:tcMar>
          </w:tcPr>
          <w:p>
            <w:pPr>
              <w:spacing w:after="0"/>
            </w:pPr>
            <w:r>
              <w:rPr>
                <w:sz w:val="17"/>
                <w:szCs w:val="17"/>
              </w:rPr>
              <w:t xml:space="preserve">20 · 0.1</w:t>
            </w:r>
          </w:p>
        </w:tc>
        <w:tc>
          <w:tcPr>
            <w:tcW w:type="dxa" w:w="1000"/>
            <w:shd w:fill="F2F5F9" w:color="auto" w:val="clear"/>
            <w:tcMar>
              <w:top w:type="dxa" w:w="40"/>
              <w:left w:type="dxa" w:w="70"/>
              <w:bottom w:type="dxa" w:w="40"/>
              <w:right w:type="dxa" w:w="70"/>
            </w:tcMar>
          </w:tcPr>
          <w:p>
            <w:pPr>
              <w:spacing w:after="0"/>
            </w:pPr>
            <w:r>
              <w:rPr>
                <w:sz w:val="17"/>
                <w:szCs w:val="17"/>
              </w:rPr>
              <w:t xml:space="preserve">11.5%*</w:t>
            </w:r>
          </w:p>
        </w:tc>
        <w:tc>
          <w:tcPr>
            <w:tcW w:type="dxa" w:w="1000"/>
            <w:shd w:fill="F2F5F9" w:color="auto" w:val="clear"/>
            <w:tcMar>
              <w:top w:type="dxa" w:w="40"/>
              <w:left w:type="dxa" w:w="70"/>
              <w:bottom w:type="dxa" w:w="40"/>
              <w:right w:type="dxa" w:w="70"/>
            </w:tcMar>
          </w:tcPr>
          <w:p>
            <w:pPr>
              <w:spacing w:after="0"/>
            </w:pPr>
            <w:r>
              <w:rPr>
                <w:sz w:val="17"/>
                <w:szCs w:val="17"/>
              </w:rPr>
              <w:t xml:space="preserve">2.3</w:t>
            </w:r>
          </w:p>
        </w:tc>
        <w:tc>
          <w:tcPr>
            <w:tcW w:type="dxa" w:w="1500"/>
            <w:shd w:fill="F2F5F9" w:color="auto" w:val="clear"/>
            <w:tcMar>
              <w:top w:type="dxa" w:w="40"/>
              <w:left w:type="dxa" w:w="70"/>
              <w:bottom w:type="dxa" w:w="40"/>
              <w:right w:type="dxa" w:w="70"/>
            </w:tcMar>
          </w:tcPr>
          <w:p>
            <w:pPr>
              <w:spacing w:after="0"/>
            </w:pPr>
            <w:r>
              <w:rPr>
                <w:sz w:val="17"/>
                <w:szCs w:val="17"/>
              </w:rPr>
              <w:t xml:space="preserve">$4.11 ($4.49)</w:t>
            </w:r>
          </w:p>
        </w:tc>
        <w:tc>
          <w:tcPr>
            <w:tcW w:type="dxa" w:w="1772"/>
            <w:shd w:fill="F2F5F9" w:color="auto" w:val="clear"/>
            <w:tcMar>
              <w:top w:type="dxa" w:w="40"/>
              <w:left w:type="dxa" w:w="70"/>
              <w:bottom w:type="dxa" w:w="40"/>
              <w:right w:type="dxa" w:w="70"/>
            </w:tcMar>
          </w:tcPr>
          <w:p>
            <w:pPr>
              <w:spacing w:after="0"/>
            </w:pPr>
            <w:r>
              <w:rPr>
                <w:sz w:val="17"/>
                <w:szCs w:val="17"/>
              </w:rPr>
              <w:t xml:space="preserve">$82</w:t>
            </w:r>
          </w:p>
        </w:tc>
      </w:tr>
      <w:tr>
        <w:tc>
          <w:tcPr>
            <w:tcW w:type="dxa" w:w="2300"/>
            <w:shd w:fill="FFFFFF" w:color="auto" w:val="clear"/>
            <w:tcMar>
              <w:top w:type="dxa" w:w="40"/>
              <w:left w:type="dxa" w:w="70"/>
              <w:bottom w:type="dxa" w:w="40"/>
              <w:right w:type="dxa" w:w="70"/>
            </w:tcMar>
          </w:tcPr>
          <w:p>
            <w:pPr>
              <w:spacing w:after="0"/>
            </w:pPr>
            <w:r>
              <w:rPr>
                <w:sz w:val="17"/>
                <w:szCs w:val="17"/>
              </w:rPr>
              <w:t xml:space="preserve">Size and set terms</w:t>
            </w:r>
          </w:p>
        </w:tc>
        <w:tc>
          <w:tcPr>
            <w:tcW w:type="dxa" w:w="1100"/>
            <w:shd w:fill="FFFFFF" w:color="auto" w:val="clear"/>
            <w:tcMar>
              <w:top w:type="dxa" w:w="40"/>
              <w:left w:type="dxa" w:w="70"/>
              <w:bottom w:type="dxa" w:w="40"/>
              <w:right w:type="dxa" w:w="70"/>
            </w:tcMar>
          </w:tcPr>
          <w:p>
            <w:pPr>
              <w:spacing w:after="0"/>
            </w:pPr>
            <w:r>
              <w:rPr>
                <w:sz w:val="17"/>
                <w:szCs w:val="17"/>
              </w:rPr>
              <w:t xml:space="preserve"/>
            </w:r>
          </w:p>
        </w:tc>
        <w:tc>
          <w:tcPr>
            <w:tcW w:type="dxa" w:w="1300"/>
            <w:shd w:fill="FFFFFF" w:color="auto" w:val="clear"/>
            <w:tcMar>
              <w:top w:type="dxa" w:w="40"/>
              <w:left w:type="dxa" w:w="70"/>
              <w:bottom w:type="dxa" w:w="40"/>
              <w:right w:type="dxa" w:w="70"/>
            </w:tcMar>
          </w:tcPr>
          <w:p>
            <w:pPr>
              <w:spacing w:after="0"/>
            </w:pPr>
            <w:r>
              <w:rPr>
                <w:sz w:val="17"/>
                <w:szCs w:val="17"/>
              </w:rPr>
              <w:t xml:space="preserve"/>
            </w:r>
          </w:p>
        </w:tc>
        <w:tc>
          <w:tcPr>
            <w:tcW w:type="dxa" w:w="1000"/>
            <w:shd w:fill="FFFFFF" w:color="auto" w:val="clear"/>
            <w:tcMar>
              <w:top w:type="dxa" w:w="40"/>
              <w:left w:type="dxa" w:w="70"/>
              <w:bottom w:type="dxa" w:w="40"/>
              <w:right w:type="dxa" w:w="70"/>
            </w:tcMar>
          </w:tcPr>
          <w:p>
            <w:pPr>
              <w:spacing w:after="0"/>
            </w:pPr>
            <w:r>
              <w:rPr>
                <w:sz w:val="17"/>
                <w:szCs w:val="17"/>
              </w:rPr>
              <w:t xml:space="preserve"/>
            </w:r>
          </w:p>
        </w:tc>
        <w:tc>
          <w:tcPr>
            <w:tcW w:type="dxa" w:w="1000"/>
            <w:shd w:fill="FFFFFF" w:color="auto" w:val="clear"/>
            <w:tcMar>
              <w:top w:type="dxa" w:w="40"/>
              <w:left w:type="dxa" w:w="70"/>
              <w:bottom w:type="dxa" w:w="40"/>
              <w:right w:type="dxa" w:w="70"/>
            </w:tcMar>
          </w:tcPr>
          <w:p>
            <w:pPr>
              <w:spacing w:after="0"/>
            </w:pPr>
            <w:r>
              <w:rPr>
                <w:sz w:val="17"/>
                <w:szCs w:val="17"/>
              </w:rPr>
              <w:t xml:space="preserve"/>
            </w:r>
          </w:p>
        </w:tc>
        <w:tc>
          <w:tcPr>
            <w:tcW w:type="dxa" w:w="1500"/>
            <w:shd w:fill="FFFFFF" w:color="auto" w:val="clear"/>
            <w:tcMar>
              <w:top w:type="dxa" w:w="40"/>
              <w:left w:type="dxa" w:w="70"/>
              <w:bottom w:type="dxa" w:w="40"/>
              <w:right w:type="dxa" w:w="70"/>
            </w:tcMar>
          </w:tcPr>
          <w:p>
            <w:pPr>
              <w:spacing w:after="0"/>
            </w:pPr>
            <w:r>
              <w:rPr>
                <w:sz w:val="17"/>
                <w:szCs w:val="17"/>
              </w:rPr>
              <w:t xml:space="preserve"/>
            </w:r>
          </w:p>
        </w:tc>
        <w:tc>
          <w:tcPr>
            <w:tcW w:type="dxa" w:w="1772"/>
            <w:shd w:fill="FFFFFF" w:color="auto" w:val="clear"/>
            <w:tcMar>
              <w:top w:type="dxa" w:w="40"/>
              <w:left w:type="dxa" w:w="70"/>
              <w:bottom w:type="dxa" w:w="40"/>
              <w:right w:type="dxa" w:w="70"/>
            </w:tcMar>
          </w:tcPr>
          <w:p>
            <w:pPr>
              <w:spacing w:after="0"/>
            </w:pPr>
            <w:r>
              <w:rPr>
                <w:sz w:val="17"/>
                <w:szCs w:val="17"/>
              </w:rPr>
              <w:t xml:space="preserve"/>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 sheets king</w:t>
            </w:r>
          </w:p>
        </w:tc>
        <w:tc>
          <w:tcPr>
            <w:tcW w:type="dxa" w:w="1100"/>
            <w:shd w:fill="F2F5F9" w:color="auto" w:val="clear"/>
            <w:tcMar>
              <w:top w:type="dxa" w:w="40"/>
              <w:left w:type="dxa" w:w="70"/>
              <w:bottom w:type="dxa" w:w="40"/>
              <w:right w:type="dxa" w:w="70"/>
            </w:tcMar>
          </w:tcPr>
          <w:p>
            <w:pPr>
              <w:spacing w:after="0"/>
            </w:pPr>
            <w:r>
              <w:rPr>
                <w:sz w:val="17"/>
                <w:szCs w:val="17"/>
              </w:rPr>
              <w:t xml:space="preserve">19 → 9</w:t>
            </w:r>
          </w:p>
        </w:tc>
        <w:tc>
          <w:tcPr>
            <w:tcW w:type="dxa" w:w="1300"/>
            <w:shd w:fill="F2F5F9" w:color="auto" w:val="clear"/>
            <w:tcMar>
              <w:top w:type="dxa" w:w="40"/>
              <w:left w:type="dxa" w:w="70"/>
              <w:bottom w:type="dxa" w:w="40"/>
              <w:right w:type="dxa" w:w="70"/>
            </w:tcMar>
          </w:tcPr>
          <w:p>
            <w:pPr>
              <w:spacing w:after="0"/>
            </w:pPr>
            <w:r>
              <w:rPr>
                <w:sz w:val="17"/>
                <w:szCs w:val="17"/>
              </w:rPr>
              <w:t xml:space="preserve">11 · —</w:t>
            </w:r>
          </w:p>
        </w:tc>
        <w:tc>
          <w:tcPr>
            <w:tcW w:type="dxa" w:w="1000"/>
            <w:shd w:fill="F2F5F9" w:color="auto" w:val="clear"/>
            <w:tcMar>
              <w:top w:type="dxa" w:w="40"/>
              <w:left w:type="dxa" w:w="70"/>
              <w:bottom w:type="dxa" w:w="40"/>
              <w:right w:type="dxa" w:w="70"/>
            </w:tcMar>
          </w:tcPr>
          <w:p>
            <w:pPr>
              <w:spacing w:after="0"/>
            </w:pPr>
            <w:r>
              <w:rPr>
                <w:sz w:val="17"/>
                <w:szCs w:val="17"/>
              </w:rPr>
              <w:t xml:space="preserve">12.1%*</w:t>
            </w:r>
          </w:p>
        </w:tc>
        <w:tc>
          <w:tcPr>
            <w:tcW w:type="dxa" w:w="1000"/>
            <w:shd w:fill="F2F5F9" w:color="auto" w:val="clear"/>
            <w:tcMar>
              <w:top w:type="dxa" w:w="40"/>
              <w:left w:type="dxa" w:w="70"/>
              <w:bottom w:type="dxa" w:w="40"/>
              <w:right w:type="dxa" w:w="70"/>
            </w:tcMar>
          </w:tcPr>
          <w:p>
            <w:pPr>
              <w:spacing w:after="0"/>
            </w:pPr>
            <w:r>
              <w:rPr>
                <w:sz w:val="17"/>
                <w:szCs w:val="17"/>
              </w:rPr>
              <w:t xml:space="preserve">1.3</w:t>
            </w:r>
          </w:p>
        </w:tc>
        <w:tc>
          <w:tcPr>
            <w:tcW w:type="dxa" w:w="1500"/>
            <w:shd w:fill="F2F5F9" w:color="auto" w:val="clear"/>
            <w:tcMar>
              <w:top w:type="dxa" w:w="40"/>
              <w:left w:type="dxa" w:w="70"/>
              <w:bottom w:type="dxa" w:w="40"/>
              <w:right w:type="dxa" w:w="70"/>
            </w:tcMar>
          </w:tcPr>
          <w:p>
            <w:pPr>
              <w:spacing w:after="0"/>
            </w:pPr>
            <w:r>
              <w:rPr>
                <w:sz w:val="17"/>
                <w:szCs w:val="17"/>
              </w:rPr>
              <w:t xml:space="preserve">$3.09 ($3.86)</w:t>
            </w:r>
          </w:p>
        </w:tc>
        <w:tc>
          <w:tcPr>
            <w:tcW w:type="dxa" w:w="1772"/>
            <w:shd w:fill="F2F5F9" w:color="auto" w:val="clear"/>
            <w:tcMar>
              <w:top w:type="dxa" w:w="40"/>
              <w:left w:type="dxa" w:w="70"/>
              <w:bottom w:type="dxa" w:w="40"/>
              <w:right w:type="dxa" w:w="70"/>
            </w:tcMar>
          </w:tcPr>
          <w:p>
            <w:pPr>
              <w:spacing w:after="0"/>
            </w:pPr>
            <w:r>
              <w:rPr>
                <w:sz w:val="17"/>
                <w:szCs w:val="17"/>
              </w:rPr>
              <w:t xml:space="preserve">$34</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bed sheets</w:t>
            </w:r>
          </w:p>
        </w:tc>
        <w:tc>
          <w:tcPr>
            <w:tcW w:type="dxa" w:w="1100"/>
            <w:shd w:fill="FFFFFF" w:color="auto" w:val="clear"/>
            <w:tcMar>
              <w:top w:type="dxa" w:w="40"/>
              <w:left w:type="dxa" w:w="70"/>
              <w:bottom w:type="dxa" w:w="40"/>
              <w:right w:type="dxa" w:w="70"/>
            </w:tcMar>
          </w:tcPr>
          <w:p>
            <w:pPr>
              <w:spacing w:after="0"/>
            </w:pPr>
            <w:r>
              <w:rPr>
                <w:sz w:val="17"/>
                <w:szCs w:val="17"/>
              </w:rPr>
              <w:t xml:space="preserve">23 → 6</w:t>
            </w:r>
          </w:p>
        </w:tc>
        <w:tc>
          <w:tcPr>
            <w:tcW w:type="dxa" w:w="1300"/>
            <w:shd w:fill="FFFFFF" w:color="auto" w:val="clear"/>
            <w:tcMar>
              <w:top w:type="dxa" w:w="40"/>
              <w:left w:type="dxa" w:w="70"/>
              <w:bottom w:type="dxa" w:w="40"/>
              <w:right w:type="dxa" w:w="70"/>
            </w:tcMar>
          </w:tcPr>
          <w:p>
            <w:pPr>
              <w:spacing w:after="0"/>
            </w:pPr>
            <w:r>
              <w:rPr>
                <w:sz w:val="17"/>
                <w:szCs w:val="17"/>
              </w:rPr>
              <w:t xml:space="preserve">7.7 · 0.9</w:t>
            </w:r>
          </w:p>
        </w:tc>
        <w:tc>
          <w:tcPr>
            <w:tcW w:type="dxa" w:w="1000"/>
            <w:shd w:fill="FFFFFF" w:color="auto" w:val="clear"/>
            <w:tcMar>
              <w:top w:type="dxa" w:w="40"/>
              <w:left w:type="dxa" w:w="70"/>
              <w:bottom w:type="dxa" w:w="40"/>
              <w:right w:type="dxa" w:w="70"/>
            </w:tcMar>
          </w:tcPr>
          <w:p>
            <w:pPr>
              <w:spacing w:after="0"/>
            </w:pPr>
            <w:r>
              <w:rPr>
                <w:sz w:val="17"/>
                <w:szCs w:val="17"/>
              </w:rPr>
              <w:t xml:space="preserve">21.7%</w:t>
            </w:r>
          </w:p>
        </w:tc>
        <w:tc>
          <w:tcPr>
            <w:tcW w:type="dxa" w:w="1000"/>
            <w:shd w:fill="FFFFFF" w:color="auto" w:val="clear"/>
            <w:tcMar>
              <w:top w:type="dxa" w:w="40"/>
              <w:left w:type="dxa" w:w="70"/>
              <w:bottom w:type="dxa" w:w="40"/>
              <w:right w:type="dxa" w:w="70"/>
            </w:tcMar>
          </w:tcPr>
          <w:p>
            <w:pPr>
              <w:spacing w:after="0"/>
            </w:pPr>
            <w:r>
              <w:rPr>
                <w:sz w:val="17"/>
                <w:szCs w:val="17"/>
              </w:rPr>
              <w:t xml:space="preserve">1.7</w:t>
            </w:r>
          </w:p>
        </w:tc>
        <w:tc>
          <w:tcPr>
            <w:tcW w:type="dxa" w:w="1500"/>
            <w:shd w:fill="FFFFFF" w:color="auto" w:val="clear"/>
            <w:tcMar>
              <w:top w:type="dxa" w:w="40"/>
              <w:left w:type="dxa" w:w="70"/>
              <w:bottom w:type="dxa" w:w="40"/>
              <w:right w:type="dxa" w:w="70"/>
            </w:tcMar>
          </w:tcPr>
          <w:p>
            <w:pPr>
              <w:spacing w:after="0"/>
            </w:pPr>
            <w:r>
              <w:rPr>
                <w:sz w:val="17"/>
                <w:szCs w:val="17"/>
              </w:rPr>
              <w:t xml:space="preserve">$6.93 ($6.93)</w:t>
            </w:r>
          </w:p>
        </w:tc>
        <w:tc>
          <w:tcPr>
            <w:tcW w:type="dxa" w:w="1772"/>
            <w:shd w:fill="FFFFFF" w:color="auto" w:val="clear"/>
            <w:tcMar>
              <w:top w:type="dxa" w:w="40"/>
              <w:left w:type="dxa" w:w="70"/>
              <w:bottom w:type="dxa" w:w="40"/>
              <w:right w:type="dxa" w:w="70"/>
            </w:tcMar>
          </w:tcPr>
          <w:p>
            <w:pPr>
              <w:spacing w:after="0"/>
            </w:pPr>
            <w:r>
              <w:rPr>
                <w:sz w:val="17"/>
                <w:szCs w:val="17"/>
              </w:rPr>
              <w:t xml:space="preserve">$53</w:t>
            </w:r>
          </w:p>
        </w:tc>
      </w:tr>
      <w:tr>
        <w:tc>
          <w:tcPr>
            <w:tcW w:type="dxa" w:w="2300"/>
            <w:shd w:fill="F2F5F9" w:color="auto" w:val="clear"/>
            <w:tcMar>
              <w:top w:type="dxa" w:w="40"/>
              <w:left w:type="dxa" w:w="70"/>
              <w:bottom w:type="dxa" w:w="40"/>
              <w:right w:type="dxa" w:w="70"/>
            </w:tcMar>
          </w:tcPr>
          <w:p>
            <w:pPr>
              <w:spacing w:after="0"/>
            </w:pPr>
            <w:r>
              <w:rPr>
                <w:sz w:val="17"/>
                <w:szCs w:val="17"/>
              </w:rPr>
              <w:t xml:space="preserve">full size bamboo sheets</w:t>
            </w:r>
          </w:p>
        </w:tc>
        <w:tc>
          <w:tcPr>
            <w:tcW w:type="dxa" w:w="1100"/>
            <w:shd w:fill="F2F5F9" w:color="auto" w:val="clear"/>
            <w:tcMar>
              <w:top w:type="dxa" w:w="40"/>
              <w:left w:type="dxa" w:w="70"/>
              <w:bottom w:type="dxa" w:w="40"/>
              <w:right w:type="dxa" w:w="70"/>
            </w:tcMar>
          </w:tcPr>
          <w:p>
            <w:pPr>
              <w:spacing w:after="0"/>
            </w:pPr>
            <w:r>
              <w:rPr>
                <w:sz w:val="17"/>
                <w:szCs w:val="17"/>
              </w:rPr>
              <w:t xml:space="preserve">23 → 10</w:t>
            </w:r>
          </w:p>
        </w:tc>
        <w:tc>
          <w:tcPr>
            <w:tcW w:type="dxa" w:w="1300"/>
            <w:shd w:fill="F2F5F9" w:color="auto" w:val="clear"/>
            <w:tcMar>
              <w:top w:type="dxa" w:w="40"/>
              <w:left w:type="dxa" w:w="70"/>
              <w:bottom w:type="dxa" w:w="40"/>
              <w:right w:type="dxa" w:w="70"/>
            </w:tcMar>
          </w:tcPr>
          <w:p>
            <w:pPr>
              <w:spacing w:after="0"/>
            </w:pPr>
            <w:r>
              <w:rPr>
                <w:sz w:val="17"/>
                <w:szCs w:val="17"/>
              </w:rPr>
              <w:t xml:space="preserve">7 · 1.4</w:t>
            </w:r>
          </w:p>
        </w:tc>
        <w:tc>
          <w:tcPr>
            <w:tcW w:type="dxa" w:w="1000"/>
            <w:shd w:fill="F2F5F9" w:color="auto" w:val="clear"/>
            <w:tcMar>
              <w:top w:type="dxa" w:w="40"/>
              <w:left w:type="dxa" w:w="70"/>
              <w:bottom w:type="dxa" w:w="40"/>
              <w:right w:type="dxa" w:w="70"/>
            </w:tcMar>
          </w:tcPr>
          <w:p>
            <w:pPr>
              <w:spacing w:after="0"/>
            </w:pPr>
            <w:r>
              <w:rPr>
                <w:sz w:val="17"/>
                <w:szCs w:val="17"/>
              </w:rPr>
              <w:t xml:space="preserve">12.5%</w:t>
            </w:r>
          </w:p>
        </w:tc>
        <w:tc>
          <w:tcPr>
            <w:tcW w:type="dxa" w:w="1000"/>
            <w:shd w:fill="F2F5F9" w:color="auto" w:val="clear"/>
            <w:tcMar>
              <w:top w:type="dxa" w:w="40"/>
              <w:left w:type="dxa" w:w="70"/>
              <w:bottom w:type="dxa" w:w="40"/>
              <w:right w:type="dxa" w:w="70"/>
            </w:tcMar>
          </w:tcPr>
          <w:p>
            <w:pPr>
              <w:spacing w:after="0"/>
            </w:pPr>
            <w:r>
              <w:rPr>
                <w:sz w:val="17"/>
                <w:szCs w:val="17"/>
              </w:rPr>
              <w:t xml:space="preserve">0.8</w:t>
            </w:r>
          </w:p>
        </w:tc>
        <w:tc>
          <w:tcPr>
            <w:tcW w:type="dxa" w:w="1500"/>
            <w:shd w:fill="F2F5F9" w:color="auto" w:val="clear"/>
            <w:tcMar>
              <w:top w:type="dxa" w:w="40"/>
              <w:left w:type="dxa" w:w="70"/>
              <w:bottom w:type="dxa" w:w="40"/>
              <w:right w:type="dxa" w:w="70"/>
            </w:tcMar>
          </w:tcPr>
          <w:p>
            <w:pPr>
              <w:spacing w:after="0"/>
            </w:pPr>
            <w:r>
              <w:rPr>
                <w:sz w:val="17"/>
                <w:szCs w:val="17"/>
              </w:rPr>
              <w:t xml:space="preserve">$5.28 ($6.40)</w:t>
            </w:r>
          </w:p>
        </w:tc>
        <w:tc>
          <w:tcPr>
            <w:tcW w:type="dxa" w:w="1772"/>
            <w:shd w:fill="F2F5F9" w:color="auto" w:val="clear"/>
            <w:tcMar>
              <w:top w:type="dxa" w:w="40"/>
              <w:left w:type="dxa" w:w="70"/>
              <w:bottom w:type="dxa" w:w="40"/>
              <w:right w:type="dxa" w:w="70"/>
            </w:tcMar>
          </w:tcPr>
          <w:p>
            <w:pPr>
              <w:spacing w:after="0"/>
            </w:pPr>
            <w:r>
              <w:rPr>
                <w:sz w:val="17"/>
                <w:szCs w:val="17"/>
              </w:rPr>
              <w:t xml:space="preserve">$35</w:t>
            </w:r>
          </w:p>
        </w:tc>
      </w:tr>
      <w:tr>
        <w:tc>
          <w:tcPr>
            <w:tcW w:type="dxa" w:w="2300"/>
            <w:shd w:fill="FFFFFF" w:color="auto" w:val="clear"/>
            <w:tcMar>
              <w:top w:type="dxa" w:w="40"/>
              <w:left w:type="dxa" w:w="70"/>
              <w:bottom w:type="dxa" w:w="40"/>
              <w:right w:type="dxa" w:w="70"/>
            </w:tcMar>
          </w:tcPr>
          <w:p>
            <w:pPr>
              <w:spacing w:after="0"/>
            </w:pPr>
            <w:r>
              <w:rPr>
                <w:sz w:val="17"/>
                <w:szCs w:val="17"/>
              </w:rPr>
              <w:t xml:space="preserve">queen bamboo sheet set</w:t>
            </w:r>
          </w:p>
        </w:tc>
        <w:tc>
          <w:tcPr>
            <w:tcW w:type="dxa" w:w="1100"/>
            <w:shd w:fill="FFFFFF" w:color="auto" w:val="clear"/>
            <w:tcMar>
              <w:top w:type="dxa" w:w="40"/>
              <w:left w:type="dxa" w:w="70"/>
              <w:bottom w:type="dxa" w:w="40"/>
              <w:right w:type="dxa" w:w="70"/>
            </w:tcMar>
          </w:tcPr>
          <w:p>
            <w:pPr>
              <w:spacing w:after="0"/>
            </w:pPr>
            <w:r>
              <w:rPr>
                <w:sz w:val="17"/>
                <w:szCs w:val="17"/>
              </w:rPr>
              <w:t xml:space="preserve">25 → 6</w:t>
            </w:r>
          </w:p>
        </w:tc>
        <w:tc>
          <w:tcPr>
            <w:tcW w:type="dxa" w:w="1300"/>
            <w:shd w:fill="FFFFFF" w:color="auto" w:val="clear"/>
            <w:tcMar>
              <w:top w:type="dxa" w:w="40"/>
              <w:left w:type="dxa" w:w="70"/>
              <w:bottom w:type="dxa" w:w="40"/>
              <w:right w:type="dxa" w:w="70"/>
            </w:tcMar>
          </w:tcPr>
          <w:p>
            <w:pPr>
              <w:spacing w:after="0"/>
            </w:pPr>
            <w:r>
              <w:rPr>
                <w:sz w:val="17"/>
                <w:szCs w:val="17"/>
              </w:rPr>
              <w:t xml:space="preserve">5 · 0.9</w:t>
            </w:r>
          </w:p>
        </w:tc>
        <w:tc>
          <w:tcPr>
            <w:tcW w:type="dxa" w:w="1000"/>
            <w:shd w:fill="FFFFFF" w:color="auto" w:val="clear"/>
            <w:tcMar>
              <w:top w:type="dxa" w:w="40"/>
              <w:left w:type="dxa" w:w="70"/>
              <w:bottom w:type="dxa" w:w="40"/>
              <w:right w:type="dxa" w:w="70"/>
            </w:tcMar>
          </w:tcPr>
          <w:p>
            <w:pPr>
              <w:spacing w:after="0"/>
            </w:pPr>
            <w:r>
              <w:rPr>
                <w:sz w:val="17"/>
                <w:szCs w:val="17"/>
              </w:rPr>
              <w:t xml:space="preserve">21.1%</w:t>
            </w:r>
          </w:p>
        </w:tc>
        <w:tc>
          <w:tcPr>
            <w:tcW w:type="dxa" w:w="1000"/>
            <w:shd w:fill="FFFFFF" w:color="auto" w:val="clear"/>
            <w:tcMar>
              <w:top w:type="dxa" w:w="40"/>
              <w:left w:type="dxa" w:w="70"/>
              <w:bottom w:type="dxa" w:w="40"/>
              <w:right w:type="dxa" w:w="70"/>
            </w:tcMar>
          </w:tcPr>
          <w:p>
            <w:pPr>
              <w:spacing w:after="0"/>
            </w:pPr>
            <w:r>
              <w:rPr>
                <w:sz w:val="17"/>
                <w:szCs w:val="17"/>
              </w:rPr>
              <w:t xml:space="preserve">1.1</w:t>
            </w:r>
          </w:p>
        </w:tc>
        <w:tc>
          <w:tcPr>
            <w:tcW w:type="dxa" w:w="1500"/>
            <w:shd w:fill="FFFFFF" w:color="auto" w:val="clear"/>
            <w:tcMar>
              <w:top w:type="dxa" w:w="40"/>
              <w:left w:type="dxa" w:w="70"/>
              <w:bottom w:type="dxa" w:w="40"/>
              <w:right w:type="dxa" w:w="70"/>
            </w:tcMar>
          </w:tcPr>
          <w:p>
            <w:pPr>
              <w:spacing w:after="0"/>
            </w:pPr>
            <w:r>
              <w:rPr>
                <w:sz w:val="17"/>
                <w:szCs w:val="17"/>
              </w:rPr>
              <w:t xml:space="preserve">$7.10 ($7.10)</w:t>
            </w:r>
          </w:p>
        </w:tc>
        <w:tc>
          <w:tcPr>
            <w:tcW w:type="dxa" w:w="1772"/>
            <w:shd w:fill="FFFFFF" w:color="auto" w:val="clear"/>
            <w:tcMar>
              <w:top w:type="dxa" w:w="40"/>
              <w:left w:type="dxa" w:w="70"/>
              <w:bottom w:type="dxa" w:w="40"/>
              <w:right w:type="dxa" w:w="70"/>
            </w:tcMar>
          </w:tcPr>
          <w:p>
            <w:pPr>
              <w:spacing w:after="0"/>
            </w:pPr>
            <w:r>
              <w:rPr>
                <w:sz w:val="17"/>
                <w:szCs w:val="17"/>
              </w:rPr>
              <w:t xml:space="preserve">$36</w:t>
            </w:r>
          </w:p>
        </w:tc>
      </w:tr>
      <w:tr>
        <w:tc>
          <w:tcPr>
            <w:tcW w:type="dxa" w:w="2300"/>
            <w:shd w:fill="F2F5F9" w:color="auto" w:val="clear"/>
            <w:tcMar>
              <w:top w:type="dxa" w:w="40"/>
              <w:left w:type="dxa" w:w="70"/>
              <w:bottom w:type="dxa" w:w="40"/>
              <w:right w:type="dxa" w:w="70"/>
            </w:tcMar>
          </w:tcPr>
          <w:p>
            <w:pPr>
              <w:spacing w:after="0"/>
            </w:pPr>
            <w:r>
              <w:rPr>
                <w:sz w:val="17"/>
                <w:szCs w:val="17"/>
              </w:rPr>
              <w:t xml:space="preserve">king bamboo sheets</w:t>
            </w:r>
          </w:p>
        </w:tc>
        <w:tc>
          <w:tcPr>
            <w:tcW w:type="dxa" w:w="1100"/>
            <w:shd w:fill="F2F5F9" w:color="auto" w:val="clear"/>
            <w:tcMar>
              <w:top w:type="dxa" w:w="40"/>
              <w:left w:type="dxa" w:w="70"/>
              <w:bottom w:type="dxa" w:w="40"/>
              <w:right w:type="dxa" w:w="70"/>
            </w:tcMar>
          </w:tcPr>
          <w:p>
            <w:pPr>
              <w:spacing w:after="0"/>
            </w:pPr>
            <w:r>
              <w:rPr>
                <w:sz w:val="17"/>
                <w:szCs w:val="17"/>
              </w:rPr>
              <w:t xml:space="preserve">15 → 10</w:t>
            </w:r>
          </w:p>
        </w:tc>
        <w:tc>
          <w:tcPr>
            <w:tcW w:type="dxa" w:w="1300"/>
            <w:shd w:fill="F2F5F9" w:color="auto" w:val="clear"/>
            <w:tcMar>
              <w:top w:type="dxa" w:w="40"/>
              <w:left w:type="dxa" w:w="70"/>
              <w:bottom w:type="dxa" w:w="40"/>
              <w:right w:type="dxa" w:w="70"/>
            </w:tcMar>
          </w:tcPr>
          <w:p>
            <w:pPr>
              <w:spacing w:after="0"/>
            </w:pPr>
            <w:r>
              <w:rPr>
                <w:sz w:val="17"/>
                <w:szCs w:val="17"/>
              </w:rPr>
              <w:t xml:space="preserve">4.3 · 0</w:t>
            </w:r>
          </w:p>
        </w:tc>
        <w:tc>
          <w:tcPr>
            <w:tcW w:type="dxa" w:w="1000"/>
            <w:shd w:fill="F2F5F9" w:color="auto" w:val="clear"/>
            <w:tcMar>
              <w:top w:type="dxa" w:w="40"/>
              <w:left w:type="dxa" w:w="70"/>
              <w:bottom w:type="dxa" w:w="40"/>
              <w:right w:type="dxa" w:w="70"/>
            </w:tcMar>
          </w:tcPr>
          <w:p>
            <w:pPr>
              <w:spacing w:after="0"/>
            </w:pPr>
            <w:r>
              <w:rPr>
                <w:sz w:val="17"/>
                <w:szCs w:val="17"/>
              </w:rPr>
              <w:t xml:space="preserve">19.2%</w:t>
            </w:r>
          </w:p>
        </w:tc>
        <w:tc>
          <w:tcPr>
            <w:tcW w:type="dxa" w:w="1000"/>
            <w:shd w:fill="F2F5F9" w:color="auto" w:val="clear"/>
            <w:tcMar>
              <w:top w:type="dxa" w:w="40"/>
              <w:left w:type="dxa" w:w="70"/>
              <w:bottom w:type="dxa" w:w="40"/>
              <w:right w:type="dxa" w:w="70"/>
            </w:tcMar>
          </w:tcPr>
          <w:p>
            <w:pPr>
              <w:spacing w:after="0"/>
            </w:pPr>
            <w:r>
              <w:rPr>
                <w:sz w:val="17"/>
                <w:szCs w:val="17"/>
              </w:rPr>
              <w:t xml:space="preserve">0.8</w:t>
            </w:r>
          </w:p>
        </w:tc>
        <w:tc>
          <w:tcPr>
            <w:tcW w:type="dxa" w:w="1500"/>
            <w:shd w:fill="F2F5F9" w:color="auto" w:val="clear"/>
            <w:tcMar>
              <w:top w:type="dxa" w:w="40"/>
              <w:left w:type="dxa" w:w="70"/>
              <w:bottom w:type="dxa" w:w="40"/>
              <w:right w:type="dxa" w:w="70"/>
            </w:tcMar>
          </w:tcPr>
          <w:p>
            <w:pPr>
              <w:spacing w:after="0"/>
            </w:pPr>
            <w:r>
              <w:rPr>
                <w:sz w:val="17"/>
                <w:szCs w:val="17"/>
              </w:rPr>
              <w:t xml:space="preserve">$3.83 ($6.12)</w:t>
            </w:r>
          </w:p>
        </w:tc>
        <w:tc>
          <w:tcPr>
            <w:tcW w:type="dxa" w:w="1772"/>
            <w:shd w:fill="F2F5F9" w:color="auto" w:val="clear"/>
            <w:tcMar>
              <w:top w:type="dxa" w:w="40"/>
              <w:left w:type="dxa" w:w="70"/>
              <w:bottom w:type="dxa" w:w="40"/>
              <w:right w:type="dxa" w:w="70"/>
            </w:tcMar>
          </w:tcPr>
          <w:p>
            <w:pPr>
              <w:spacing w:after="0"/>
            </w:pPr>
            <w:r>
              <w:rPr>
                <w:sz w:val="17"/>
                <w:szCs w:val="17"/>
              </w:rPr>
              <w:t xml:space="preserve">$16</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king sheets</w:t>
            </w:r>
          </w:p>
        </w:tc>
        <w:tc>
          <w:tcPr>
            <w:tcW w:type="dxa" w:w="1100"/>
            <w:shd w:fill="FFFFFF" w:color="auto" w:val="clear"/>
            <w:tcMar>
              <w:top w:type="dxa" w:w="40"/>
              <w:left w:type="dxa" w:w="70"/>
              <w:bottom w:type="dxa" w:w="40"/>
              <w:right w:type="dxa" w:w="70"/>
            </w:tcMar>
          </w:tcPr>
          <w:p>
            <w:pPr>
              <w:spacing w:after="0"/>
            </w:pPr>
            <w:r>
              <w:rPr>
                <w:sz w:val="17"/>
                <w:szCs w:val="17"/>
              </w:rPr>
              <w:t xml:space="preserve">23 → 9</w:t>
            </w:r>
          </w:p>
        </w:tc>
        <w:tc>
          <w:tcPr>
            <w:tcW w:type="dxa" w:w="1300"/>
            <w:shd w:fill="FFFFFF" w:color="auto" w:val="clear"/>
            <w:tcMar>
              <w:top w:type="dxa" w:w="40"/>
              <w:left w:type="dxa" w:w="70"/>
              <w:bottom w:type="dxa" w:w="40"/>
              <w:right w:type="dxa" w:w="70"/>
            </w:tcMar>
          </w:tcPr>
          <w:p>
            <w:pPr>
              <w:spacing w:after="0"/>
            </w:pPr>
            <w:r>
              <w:rPr>
                <w:sz w:val="17"/>
                <w:szCs w:val="17"/>
              </w:rPr>
              <w:t xml:space="preserve">3.9 · 0 (paused)</w:t>
            </w:r>
          </w:p>
        </w:tc>
        <w:tc>
          <w:tcPr>
            <w:tcW w:type="dxa" w:w="1000"/>
            <w:shd w:fill="FFFFFF" w:color="auto" w:val="clear"/>
            <w:tcMar>
              <w:top w:type="dxa" w:w="40"/>
              <w:left w:type="dxa" w:w="70"/>
              <w:bottom w:type="dxa" w:w="40"/>
              <w:right w:type="dxa" w:w="70"/>
            </w:tcMar>
          </w:tcPr>
          <w:p>
            <w:pPr>
              <w:spacing w:after="0"/>
            </w:pPr>
            <w:r>
              <w:rPr>
                <w:sz w:val="17"/>
                <w:szCs w:val="17"/>
              </w:rPr>
              <w:t xml:space="preserve">12.7%*</w:t>
            </w:r>
          </w:p>
        </w:tc>
        <w:tc>
          <w:tcPr>
            <w:tcW w:type="dxa" w:w="1000"/>
            <w:shd w:fill="FFFFFF" w:color="auto" w:val="clear"/>
            <w:tcMar>
              <w:top w:type="dxa" w:w="40"/>
              <w:left w:type="dxa" w:w="70"/>
              <w:bottom w:type="dxa" w:w="40"/>
              <w:right w:type="dxa" w:w="70"/>
            </w:tcMar>
          </w:tcPr>
          <w:p>
            <w:pPr>
              <w:spacing w:after="0"/>
            </w:pPr>
            <w:r>
              <w:rPr>
                <w:sz w:val="17"/>
                <w:szCs w:val="17"/>
              </w:rPr>
              <w:t xml:space="preserve">0.5</w:t>
            </w:r>
          </w:p>
        </w:tc>
        <w:tc>
          <w:tcPr>
            <w:tcW w:type="dxa" w:w="1500"/>
            <w:shd w:fill="FFFFFF" w:color="auto" w:val="clear"/>
            <w:tcMar>
              <w:top w:type="dxa" w:w="40"/>
              <w:left w:type="dxa" w:w="70"/>
              <w:bottom w:type="dxa" w:w="40"/>
              <w:right w:type="dxa" w:w="70"/>
            </w:tcMar>
          </w:tcPr>
          <w:p>
            <w:pPr>
              <w:spacing w:after="0"/>
            </w:pPr>
            <w:r>
              <w:rPr>
                <w:sz w:val="17"/>
                <w:szCs w:val="17"/>
              </w:rPr>
              <w:t xml:space="preserve">$3.61 ($4.06)</w:t>
            </w:r>
          </w:p>
        </w:tc>
        <w:tc>
          <w:tcPr>
            <w:tcW w:type="dxa" w:w="1772"/>
            <w:shd w:fill="FFFFFF" w:color="auto" w:val="clear"/>
            <w:tcMar>
              <w:top w:type="dxa" w:w="40"/>
              <w:left w:type="dxa" w:w="70"/>
              <w:bottom w:type="dxa" w:w="40"/>
              <w:right w:type="dxa" w:w="70"/>
            </w:tcMar>
          </w:tcPr>
          <w:p>
            <w:pPr>
              <w:spacing w:after="0"/>
            </w:pPr>
            <w:r>
              <w:rPr>
                <w:sz w:val="17"/>
                <w:szCs w:val="17"/>
              </w:rPr>
              <w:t xml:space="preserve">$14</w:t>
            </w:r>
          </w:p>
        </w:tc>
      </w:tr>
      <w:tr>
        <w:tc>
          <w:tcPr>
            <w:tcW w:type="dxa" w:w="2300"/>
            <w:shd w:fill="F2F5F9" w:color="auto" w:val="clear"/>
            <w:tcMar>
              <w:top w:type="dxa" w:w="40"/>
              <w:left w:type="dxa" w:w="70"/>
              <w:bottom w:type="dxa" w:w="40"/>
              <w:right w:type="dxa" w:w="70"/>
            </w:tcMar>
          </w:tcPr>
          <w:p>
            <w:pPr>
              <w:spacing w:after="0"/>
            </w:pPr>
            <w:r>
              <w:rPr>
                <w:sz w:val="17"/>
                <w:szCs w:val="17"/>
              </w:rPr>
              <w:t xml:space="preserve">Near the top</w:t>
            </w:r>
          </w:p>
        </w:tc>
        <w:tc>
          <w:tcPr>
            <w:tcW w:type="dxa" w:w="1100"/>
            <w:shd w:fill="F2F5F9" w:color="auto" w:val="clear"/>
            <w:tcMar>
              <w:top w:type="dxa" w:w="40"/>
              <w:left w:type="dxa" w:w="70"/>
              <w:bottom w:type="dxa" w:w="40"/>
              <w:right w:type="dxa" w:w="70"/>
            </w:tcMar>
          </w:tcPr>
          <w:p>
            <w:pPr>
              <w:spacing w:after="0"/>
            </w:pPr>
            <w:r>
              <w:rPr>
                <w:sz w:val="17"/>
                <w:szCs w:val="17"/>
              </w:rPr>
              <w:t xml:space="preserve"/>
            </w:r>
          </w:p>
        </w:tc>
        <w:tc>
          <w:tcPr>
            <w:tcW w:type="dxa" w:w="1300"/>
            <w:shd w:fill="F2F5F9" w:color="auto" w:val="clear"/>
            <w:tcMar>
              <w:top w:type="dxa" w:w="40"/>
              <w:left w:type="dxa" w:w="70"/>
              <w:bottom w:type="dxa" w:w="40"/>
              <w:right w:type="dxa" w:w="70"/>
            </w:tcMar>
          </w:tcPr>
          <w:p>
            <w:pPr>
              <w:spacing w:after="0"/>
            </w:pPr>
            <w:r>
              <w:rPr>
                <w:sz w:val="17"/>
                <w:szCs w:val="17"/>
              </w:rPr>
              <w:t xml:space="preserve"/>
            </w:r>
          </w:p>
        </w:tc>
        <w:tc>
          <w:tcPr>
            <w:tcW w:type="dxa" w:w="1000"/>
            <w:shd w:fill="F2F5F9" w:color="auto" w:val="clear"/>
            <w:tcMar>
              <w:top w:type="dxa" w:w="40"/>
              <w:left w:type="dxa" w:w="70"/>
              <w:bottom w:type="dxa" w:w="40"/>
              <w:right w:type="dxa" w:w="70"/>
            </w:tcMar>
          </w:tcPr>
          <w:p>
            <w:pPr>
              <w:spacing w:after="0"/>
            </w:pPr>
            <w:r>
              <w:rPr>
                <w:sz w:val="17"/>
                <w:szCs w:val="17"/>
              </w:rPr>
              <w:t xml:space="preserve"/>
            </w:r>
          </w:p>
        </w:tc>
        <w:tc>
          <w:tcPr>
            <w:tcW w:type="dxa" w:w="1000"/>
            <w:shd w:fill="F2F5F9" w:color="auto" w:val="clear"/>
            <w:tcMar>
              <w:top w:type="dxa" w:w="40"/>
              <w:left w:type="dxa" w:w="70"/>
              <w:bottom w:type="dxa" w:w="40"/>
              <w:right w:type="dxa" w:w="70"/>
            </w:tcMar>
          </w:tcPr>
          <w:p>
            <w:pPr>
              <w:spacing w:after="0"/>
            </w:pPr>
            <w:r>
              <w:rPr>
                <w:sz w:val="17"/>
                <w:szCs w:val="17"/>
              </w:rPr>
              <w:t xml:space="preserve"/>
            </w:r>
          </w:p>
        </w:tc>
        <w:tc>
          <w:tcPr>
            <w:tcW w:type="dxa" w:w="1500"/>
            <w:shd w:fill="F2F5F9" w:color="auto" w:val="clear"/>
            <w:tcMar>
              <w:top w:type="dxa" w:w="40"/>
              <w:left w:type="dxa" w:w="70"/>
              <w:bottom w:type="dxa" w:w="40"/>
              <w:right w:type="dxa" w:w="70"/>
            </w:tcMar>
          </w:tcPr>
          <w:p>
            <w:pPr>
              <w:spacing w:after="0"/>
            </w:pPr>
            <w:r>
              <w:rPr>
                <w:sz w:val="17"/>
                <w:szCs w:val="17"/>
              </w:rPr>
              <w:t xml:space="preserve"/>
            </w:r>
          </w:p>
        </w:tc>
        <w:tc>
          <w:tcPr>
            <w:tcW w:type="dxa" w:w="1772"/>
            <w:shd w:fill="F2F5F9" w:color="auto" w:val="clear"/>
            <w:tcMar>
              <w:top w:type="dxa" w:w="40"/>
              <w:left w:type="dxa" w:w="70"/>
              <w:bottom w:type="dxa" w:w="40"/>
              <w:right w:type="dxa" w:w="70"/>
            </w:tcMar>
          </w:tcPr>
          <w:p>
            <w:pPr>
              <w:spacing w:after="0"/>
            </w:pPr>
            <w:r>
              <w:rPr>
                <w:sz w:val="17"/>
                <w:szCs w:val="17"/>
              </w:rPr>
              <w:t xml:space="preserve"/>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sheets with corner straps</w:t>
            </w:r>
          </w:p>
        </w:tc>
        <w:tc>
          <w:tcPr>
            <w:tcW w:type="dxa" w:w="1100"/>
            <w:shd w:fill="FFFFFF" w:color="auto" w:val="clear"/>
            <w:tcMar>
              <w:top w:type="dxa" w:w="40"/>
              <w:left w:type="dxa" w:w="70"/>
              <w:bottom w:type="dxa" w:w="40"/>
              <w:right w:type="dxa" w:w="70"/>
            </w:tcMar>
          </w:tcPr>
          <w:p>
            <w:pPr>
              <w:spacing w:after="0"/>
            </w:pPr>
            <w:r>
              <w:rPr>
                <w:sz w:val="17"/>
                <w:szCs w:val="17"/>
              </w:rPr>
              <w:t xml:space="preserve">7 → 1</w:t>
            </w:r>
          </w:p>
        </w:tc>
        <w:tc>
          <w:tcPr>
            <w:tcW w:type="dxa" w:w="1300"/>
            <w:shd w:fill="FFFFFF" w:color="auto" w:val="clear"/>
            <w:tcMar>
              <w:top w:type="dxa" w:w="40"/>
              <w:left w:type="dxa" w:w="70"/>
              <w:bottom w:type="dxa" w:w="40"/>
              <w:right w:type="dxa" w:w="70"/>
            </w:tcMar>
          </w:tcPr>
          <w:p>
            <w:pPr>
              <w:spacing w:after="0"/>
            </w:pPr>
            <w:r>
              <w:rPr>
                <w:sz w:val="17"/>
                <w:szCs w:val="17"/>
              </w:rPr>
              <w:t xml:space="preserve">2.4 · 0.4</w:t>
            </w:r>
          </w:p>
        </w:tc>
        <w:tc>
          <w:tcPr>
            <w:tcW w:type="dxa" w:w="1000"/>
            <w:shd w:fill="FFFFFF" w:color="auto" w:val="clear"/>
            <w:tcMar>
              <w:top w:type="dxa" w:w="40"/>
              <w:left w:type="dxa" w:w="70"/>
              <w:bottom w:type="dxa" w:w="40"/>
              <w:right w:type="dxa" w:w="70"/>
            </w:tcMar>
          </w:tcPr>
          <w:p>
            <w:pPr>
              <w:spacing w:after="0"/>
            </w:pPr>
            <w:r>
              <w:rPr>
                <w:sz w:val="17"/>
                <w:szCs w:val="17"/>
              </w:rPr>
              <w:t xml:space="preserve">22.0%</w:t>
            </w:r>
          </w:p>
        </w:tc>
        <w:tc>
          <w:tcPr>
            <w:tcW w:type="dxa" w:w="1000"/>
            <w:shd w:fill="FFFFFF" w:color="auto" w:val="clear"/>
            <w:tcMar>
              <w:top w:type="dxa" w:w="40"/>
              <w:left w:type="dxa" w:w="70"/>
              <w:bottom w:type="dxa" w:w="40"/>
              <w:right w:type="dxa" w:w="70"/>
            </w:tcMar>
          </w:tcPr>
          <w:p>
            <w:pPr>
              <w:spacing w:after="0"/>
            </w:pPr>
            <w:r>
              <w:rPr>
                <w:sz w:val="17"/>
                <w:szCs w:val="17"/>
              </w:rPr>
              <w:t xml:space="preserve">0.5</w:t>
            </w:r>
          </w:p>
        </w:tc>
        <w:tc>
          <w:tcPr>
            <w:tcW w:type="dxa" w:w="1500"/>
            <w:shd w:fill="FFFFFF" w:color="auto" w:val="clear"/>
            <w:tcMar>
              <w:top w:type="dxa" w:w="40"/>
              <w:left w:type="dxa" w:w="70"/>
              <w:bottom w:type="dxa" w:w="40"/>
              <w:right w:type="dxa" w:w="70"/>
            </w:tcMar>
          </w:tcPr>
          <w:p>
            <w:pPr>
              <w:spacing w:after="0"/>
            </w:pPr>
            <w:r>
              <w:rPr>
                <w:sz w:val="17"/>
                <w:szCs w:val="17"/>
              </w:rPr>
              <w:t xml:space="preserve">$7.03 ($7.03)</w:t>
            </w:r>
          </w:p>
        </w:tc>
        <w:tc>
          <w:tcPr>
            <w:tcW w:type="dxa" w:w="1772"/>
            <w:shd w:fill="FFFFFF" w:color="auto" w:val="clear"/>
            <w:tcMar>
              <w:top w:type="dxa" w:w="40"/>
              <w:left w:type="dxa" w:w="70"/>
              <w:bottom w:type="dxa" w:w="40"/>
              <w:right w:type="dxa" w:w="70"/>
            </w:tcMar>
          </w:tcPr>
          <w:p>
            <w:pPr>
              <w:spacing w:after="0"/>
            </w:pPr>
            <w:r>
              <w:rPr>
                <w:sz w:val="17"/>
                <w:szCs w:val="17"/>
              </w:rPr>
              <w:t xml:space="preserve">$17</w:t>
            </w:r>
          </w:p>
        </w:tc>
      </w:tr>
      <w:tr>
        <w:tc>
          <w:tcPr>
            <w:tcW w:type="dxa" w:w="2300"/>
            <w:shd w:fill="F2F5F9" w:color="auto" w:val="clear"/>
            <w:tcMar>
              <w:top w:type="dxa" w:w="40"/>
              <w:left w:type="dxa" w:w="70"/>
              <w:bottom w:type="dxa" w:w="40"/>
              <w:right w:type="dxa" w:w="70"/>
            </w:tcMar>
          </w:tcPr>
          <w:p>
            <w:pPr>
              <w:spacing w:after="0"/>
            </w:pPr>
            <w:r>
              <w:rPr>
                <w:sz w:val="17"/>
                <w:szCs w:val="17"/>
              </w:rPr>
              <w:t xml:space="preserve">viscose bamboo sheets</w:t>
            </w:r>
          </w:p>
        </w:tc>
        <w:tc>
          <w:tcPr>
            <w:tcW w:type="dxa" w:w="1100"/>
            <w:shd w:fill="F2F5F9" w:color="auto" w:val="clear"/>
            <w:tcMar>
              <w:top w:type="dxa" w:w="40"/>
              <w:left w:type="dxa" w:w="70"/>
              <w:bottom w:type="dxa" w:w="40"/>
              <w:right w:type="dxa" w:w="70"/>
            </w:tcMar>
          </w:tcPr>
          <w:p>
            <w:pPr>
              <w:spacing w:after="0"/>
            </w:pPr>
            <w:r>
              <w:rPr>
                <w:sz w:val="17"/>
                <w:szCs w:val="17"/>
              </w:rPr>
              <w:t xml:space="preserve">8 → 1</w:t>
            </w:r>
          </w:p>
        </w:tc>
        <w:tc>
          <w:tcPr>
            <w:tcW w:type="dxa" w:w="1300"/>
            <w:shd w:fill="F2F5F9" w:color="auto" w:val="clear"/>
            <w:tcMar>
              <w:top w:type="dxa" w:w="40"/>
              <w:left w:type="dxa" w:w="70"/>
              <w:bottom w:type="dxa" w:w="40"/>
              <w:right w:type="dxa" w:w="70"/>
            </w:tcMar>
          </w:tcPr>
          <w:p>
            <w:pPr>
              <w:spacing w:after="0"/>
            </w:pPr>
            <w:r>
              <w:rPr>
                <w:sz w:val="17"/>
                <w:szCs w:val="17"/>
              </w:rPr>
              <w:t xml:space="preserve">1.1 · 2.5</w:t>
            </w:r>
          </w:p>
        </w:tc>
        <w:tc>
          <w:tcPr>
            <w:tcW w:type="dxa" w:w="1000"/>
            <w:shd w:fill="F2F5F9" w:color="auto" w:val="clear"/>
            <w:tcMar>
              <w:top w:type="dxa" w:w="40"/>
              <w:left w:type="dxa" w:w="70"/>
              <w:bottom w:type="dxa" w:w="40"/>
              <w:right w:type="dxa" w:w="70"/>
            </w:tcMar>
          </w:tcPr>
          <w:p>
            <w:pPr>
              <w:spacing w:after="0"/>
            </w:pPr>
            <w:r>
              <w:rPr>
                <w:sz w:val="17"/>
                <w:szCs w:val="17"/>
              </w:rPr>
              <w:t xml:space="preserve">15.7%</w:t>
            </w:r>
          </w:p>
        </w:tc>
        <w:tc>
          <w:tcPr>
            <w:tcW w:type="dxa" w:w="1000"/>
            <w:shd w:fill="F2F5F9" w:color="auto" w:val="clear"/>
            <w:tcMar>
              <w:top w:type="dxa" w:w="40"/>
              <w:left w:type="dxa" w:w="70"/>
              <w:bottom w:type="dxa" w:w="40"/>
              <w:right w:type="dxa" w:w="70"/>
            </w:tcMar>
          </w:tcPr>
          <w:p>
            <w:pPr>
              <w:spacing w:after="0"/>
            </w:pPr>
            <w:r>
              <w:rPr>
                <w:sz w:val="17"/>
                <w:szCs w:val="17"/>
              </w:rPr>
              <w:t xml:space="preserve">0.2</w:t>
            </w:r>
          </w:p>
        </w:tc>
        <w:tc>
          <w:tcPr>
            <w:tcW w:type="dxa" w:w="1500"/>
            <w:shd w:fill="F2F5F9" w:color="auto" w:val="clear"/>
            <w:tcMar>
              <w:top w:type="dxa" w:w="40"/>
              <w:left w:type="dxa" w:w="70"/>
              <w:bottom w:type="dxa" w:w="40"/>
              <w:right w:type="dxa" w:w="70"/>
            </w:tcMar>
          </w:tcPr>
          <w:p>
            <w:pPr>
              <w:spacing w:after="0"/>
            </w:pPr>
            <w:r>
              <w:rPr>
                <w:sz w:val="17"/>
                <w:szCs w:val="17"/>
              </w:rPr>
              <w:t xml:space="preserve">$6.13 ($6.13)</w:t>
            </w:r>
          </w:p>
        </w:tc>
        <w:tc>
          <w:tcPr>
            <w:tcW w:type="dxa" w:w="1772"/>
            <w:shd w:fill="F2F5F9" w:color="auto" w:val="clear"/>
            <w:tcMar>
              <w:top w:type="dxa" w:w="40"/>
              <w:left w:type="dxa" w:w="70"/>
              <w:bottom w:type="dxa" w:w="40"/>
              <w:right w:type="dxa" w:w="70"/>
            </w:tcMar>
          </w:tcPr>
          <w:p>
            <w:pPr>
              <w:spacing w:after="0"/>
            </w:pPr>
            <w:r>
              <w:rPr>
                <w:sz w:val="17"/>
                <w:szCs w:val="17"/>
              </w:rPr>
              <w:t xml:space="preserve">$7</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sheets queen (after the fix in Section 13)</w:t>
            </w:r>
          </w:p>
        </w:tc>
        <w:tc>
          <w:tcPr>
            <w:tcW w:type="dxa" w:w="1100"/>
            <w:shd w:fill="FFFFFF" w:color="auto" w:val="clear"/>
            <w:tcMar>
              <w:top w:type="dxa" w:w="40"/>
              <w:left w:type="dxa" w:w="70"/>
              <w:bottom w:type="dxa" w:w="40"/>
              <w:right w:type="dxa" w:w="70"/>
            </w:tcMar>
          </w:tcPr>
          <w:p>
            <w:pPr>
              <w:spacing w:after="0"/>
            </w:pPr>
            <w:r>
              <w:rPr>
                <w:sz w:val="17"/>
                <w:szCs w:val="17"/>
              </w:rPr>
              <w:t xml:space="preserve">58 → 5</w:t>
            </w:r>
          </w:p>
        </w:tc>
        <w:tc>
          <w:tcPr>
            <w:tcW w:type="dxa" w:w="1300"/>
            <w:shd w:fill="FFFFFF" w:color="auto" w:val="clear"/>
            <w:tcMar>
              <w:top w:type="dxa" w:w="40"/>
              <w:left w:type="dxa" w:w="70"/>
              <w:bottom w:type="dxa" w:w="40"/>
              <w:right w:type="dxa" w:w="70"/>
            </w:tcMar>
          </w:tcPr>
          <w:p>
            <w:pPr>
              <w:spacing w:after="0"/>
            </w:pPr>
            <w:r>
              <w:rPr>
                <w:sz w:val="17"/>
                <w:szCs w:val="17"/>
              </w:rPr>
              <w:t xml:space="preserve">1.8 · 0.4</w:t>
            </w:r>
          </w:p>
        </w:tc>
        <w:tc>
          <w:tcPr>
            <w:tcW w:type="dxa" w:w="1000"/>
            <w:shd w:fill="FFFFFF" w:color="auto" w:val="clear"/>
            <w:tcMar>
              <w:top w:type="dxa" w:w="40"/>
              <w:left w:type="dxa" w:w="70"/>
              <w:bottom w:type="dxa" w:w="40"/>
              <w:right w:type="dxa" w:w="70"/>
            </w:tcMar>
          </w:tcPr>
          <w:p>
            <w:pPr>
              <w:spacing w:after="0"/>
            </w:pPr>
            <w:r>
              <w:rPr>
                <w:sz w:val="17"/>
                <w:szCs w:val="17"/>
              </w:rPr>
              <w:t xml:space="preserve">25.4%</w:t>
            </w:r>
          </w:p>
        </w:tc>
        <w:tc>
          <w:tcPr>
            <w:tcW w:type="dxa" w:w="1000"/>
            <w:shd w:fill="FFFFFF" w:color="auto" w:val="clear"/>
            <w:tcMar>
              <w:top w:type="dxa" w:w="40"/>
              <w:left w:type="dxa" w:w="70"/>
              <w:bottom w:type="dxa" w:w="40"/>
              <w:right w:type="dxa" w:w="70"/>
            </w:tcMar>
          </w:tcPr>
          <w:p>
            <w:pPr>
              <w:spacing w:after="0"/>
            </w:pPr>
            <w:r>
              <w:rPr>
                <w:sz w:val="17"/>
                <w:szCs w:val="17"/>
              </w:rPr>
              <w:t xml:space="preserve">0.5</w:t>
            </w:r>
          </w:p>
        </w:tc>
        <w:tc>
          <w:tcPr>
            <w:tcW w:type="dxa" w:w="1500"/>
            <w:shd w:fill="FFFFFF" w:color="auto" w:val="clear"/>
            <w:tcMar>
              <w:top w:type="dxa" w:w="40"/>
              <w:left w:type="dxa" w:w="70"/>
              <w:bottom w:type="dxa" w:w="40"/>
              <w:right w:type="dxa" w:w="70"/>
            </w:tcMar>
          </w:tcPr>
          <w:p>
            <w:pPr>
              <w:spacing w:after="0"/>
            </w:pPr>
            <w:r>
              <w:rPr>
                <w:sz w:val="17"/>
                <w:szCs w:val="17"/>
              </w:rPr>
              <w:t xml:space="preserve">$4.18 ($9.92)</w:t>
            </w:r>
          </w:p>
        </w:tc>
        <w:tc>
          <w:tcPr>
            <w:tcW w:type="dxa" w:w="1772"/>
            <w:shd w:fill="FFFFFF" w:color="auto" w:val="clear"/>
            <w:tcMar>
              <w:top w:type="dxa" w:w="40"/>
              <w:left w:type="dxa" w:w="70"/>
              <w:bottom w:type="dxa" w:w="40"/>
              <w:right w:type="dxa" w:w="70"/>
            </w:tcMar>
          </w:tcPr>
          <w:p>
            <w:pPr>
              <w:spacing w:after="0"/>
            </w:pPr>
            <w:r>
              <w:rPr>
                <w:sz w:val="17"/>
                <w:szCs w:val="17"/>
              </w:rPr>
              <w:t xml:space="preserve">$8</w:t>
            </w:r>
          </w:p>
        </w:tc>
      </w:tr>
      <w:tr>
        <w:tc>
          <w:tcPr>
            <w:tcW w:type="dxa" w:w="2300"/>
            <w:shd w:fill="F2F5F9" w:color="auto" w:val="clear"/>
            <w:tcMar>
              <w:top w:type="dxa" w:w="40"/>
              <w:left w:type="dxa" w:w="70"/>
              <w:bottom w:type="dxa" w:w="40"/>
              <w:right w:type="dxa" w:w="70"/>
            </w:tcMar>
          </w:tcPr>
          <w:p>
            <w:pPr>
              <w:spacing w:after="0"/>
            </w:pPr>
            <w:r>
              <w:rPr>
                <w:sz w:val="17"/>
                <w:szCs w:val="17"/>
              </w:rPr>
              <w:t xml:space="preserve">Cooling terms: new exact campaigns on White</w:t>
            </w:r>
          </w:p>
        </w:tc>
        <w:tc>
          <w:tcPr>
            <w:tcW w:type="dxa" w:w="1100"/>
            <w:shd w:fill="F2F5F9" w:color="auto" w:val="clear"/>
            <w:tcMar>
              <w:top w:type="dxa" w:w="40"/>
              <w:left w:type="dxa" w:w="70"/>
              <w:bottom w:type="dxa" w:w="40"/>
              <w:right w:type="dxa" w:w="70"/>
            </w:tcMar>
          </w:tcPr>
          <w:p>
            <w:pPr>
              <w:spacing w:after="0"/>
            </w:pPr>
            <w:r>
              <w:rPr>
                <w:sz w:val="17"/>
                <w:szCs w:val="17"/>
              </w:rPr>
              <w:t xml:space="preserve"/>
            </w:r>
          </w:p>
        </w:tc>
        <w:tc>
          <w:tcPr>
            <w:tcW w:type="dxa" w:w="1300"/>
            <w:shd w:fill="F2F5F9" w:color="auto" w:val="clear"/>
            <w:tcMar>
              <w:top w:type="dxa" w:w="40"/>
              <w:left w:type="dxa" w:w="70"/>
              <w:bottom w:type="dxa" w:w="40"/>
              <w:right w:type="dxa" w:w="70"/>
            </w:tcMar>
          </w:tcPr>
          <w:p>
            <w:pPr>
              <w:spacing w:after="0"/>
            </w:pPr>
            <w:r>
              <w:rPr>
                <w:sz w:val="17"/>
                <w:szCs w:val="17"/>
              </w:rPr>
              <w:t xml:space="preserve"/>
            </w:r>
          </w:p>
        </w:tc>
        <w:tc>
          <w:tcPr>
            <w:tcW w:type="dxa" w:w="1000"/>
            <w:shd w:fill="F2F5F9" w:color="auto" w:val="clear"/>
            <w:tcMar>
              <w:top w:type="dxa" w:w="40"/>
              <w:left w:type="dxa" w:w="70"/>
              <w:bottom w:type="dxa" w:w="40"/>
              <w:right w:type="dxa" w:w="70"/>
            </w:tcMar>
          </w:tcPr>
          <w:p>
            <w:pPr>
              <w:spacing w:after="0"/>
            </w:pPr>
            <w:r>
              <w:rPr>
                <w:sz w:val="17"/>
                <w:szCs w:val="17"/>
              </w:rPr>
              <w:t xml:space="preserve"/>
            </w:r>
          </w:p>
        </w:tc>
        <w:tc>
          <w:tcPr>
            <w:tcW w:type="dxa" w:w="1000"/>
            <w:shd w:fill="F2F5F9" w:color="auto" w:val="clear"/>
            <w:tcMar>
              <w:top w:type="dxa" w:w="40"/>
              <w:left w:type="dxa" w:w="70"/>
              <w:bottom w:type="dxa" w:w="40"/>
              <w:right w:type="dxa" w:w="70"/>
            </w:tcMar>
          </w:tcPr>
          <w:p>
            <w:pPr>
              <w:spacing w:after="0"/>
            </w:pPr>
            <w:r>
              <w:rPr>
                <w:sz w:val="17"/>
                <w:szCs w:val="17"/>
              </w:rPr>
              <w:t xml:space="preserve"/>
            </w:r>
          </w:p>
        </w:tc>
        <w:tc>
          <w:tcPr>
            <w:tcW w:type="dxa" w:w="1500"/>
            <w:shd w:fill="F2F5F9" w:color="auto" w:val="clear"/>
            <w:tcMar>
              <w:top w:type="dxa" w:w="40"/>
              <w:left w:type="dxa" w:w="70"/>
              <w:bottom w:type="dxa" w:w="40"/>
              <w:right w:type="dxa" w:w="70"/>
            </w:tcMar>
          </w:tcPr>
          <w:p>
            <w:pPr>
              <w:spacing w:after="0"/>
            </w:pPr>
            <w:r>
              <w:rPr>
                <w:sz w:val="17"/>
                <w:szCs w:val="17"/>
              </w:rPr>
              <w:t xml:space="preserve"/>
            </w:r>
          </w:p>
        </w:tc>
        <w:tc>
          <w:tcPr>
            <w:tcW w:type="dxa" w:w="1772"/>
            <w:shd w:fill="F2F5F9" w:color="auto" w:val="clear"/>
            <w:tcMar>
              <w:top w:type="dxa" w:w="40"/>
              <w:left w:type="dxa" w:w="70"/>
              <w:bottom w:type="dxa" w:w="40"/>
              <w:right w:type="dxa" w:w="70"/>
            </w:tcMar>
          </w:tcPr>
          <w:p>
            <w:pPr>
              <w:spacing w:after="0"/>
            </w:pPr>
            <w:r>
              <w:rPr>
                <w:sz w:val="17"/>
                <w:szCs w:val="17"/>
              </w:rPr>
              <w:t xml:space="preserve"/>
            </w:r>
          </w:p>
        </w:tc>
      </w:tr>
      <w:tr>
        <w:tc>
          <w:tcPr>
            <w:tcW w:type="dxa" w:w="2300"/>
            <w:shd w:fill="FFFFFF" w:color="auto" w:val="clear"/>
            <w:tcMar>
              <w:top w:type="dxa" w:w="40"/>
              <w:left w:type="dxa" w:w="70"/>
              <w:bottom w:type="dxa" w:w="40"/>
              <w:right w:type="dxa" w:w="70"/>
            </w:tcMar>
          </w:tcPr>
          <w:p>
            <w:pPr>
              <w:spacing w:after="0"/>
            </w:pPr>
            <w:r>
              <w:rPr>
                <w:sz w:val="17"/>
                <w:szCs w:val="17"/>
              </w:rPr>
              <w:t xml:space="preserve">cooling sheets king size</w:t>
            </w:r>
          </w:p>
        </w:tc>
        <w:tc>
          <w:tcPr>
            <w:tcW w:type="dxa" w:w="1100"/>
            <w:shd w:fill="FFFFFF" w:color="auto" w:val="clear"/>
            <w:tcMar>
              <w:top w:type="dxa" w:w="40"/>
              <w:left w:type="dxa" w:w="70"/>
              <w:bottom w:type="dxa" w:w="40"/>
              <w:right w:type="dxa" w:w="70"/>
            </w:tcMar>
          </w:tcPr>
          <w:p>
            <w:pPr>
              <w:spacing w:after="0"/>
            </w:pPr>
            <w:r>
              <w:rPr>
                <w:sz w:val="17"/>
                <w:szCs w:val="17"/>
              </w:rPr>
              <w:t xml:space="preserve">True Bamboo 14 → 10</w:t>
            </w:r>
          </w:p>
        </w:tc>
        <w:tc>
          <w:tcPr>
            <w:tcW w:type="dxa" w:w="1300"/>
            <w:shd w:fill="FFFFFF" w:color="auto" w:val="clear"/>
            <w:tcMar>
              <w:top w:type="dxa" w:w="40"/>
              <w:left w:type="dxa" w:w="70"/>
              <w:bottom w:type="dxa" w:w="40"/>
              <w:right w:type="dxa" w:w="70"/>
            </w:tcMar>
          </w:tcPr>
          <w:p>
            <w:pPr>
              <w:spacing w:after="0"/>
            </w:pPr>
            <w:r>
              <w:rPr>
                <w:sz w:val="17"/>
                <w:szCs w:val="17"/>
              </w:rPr>
              <w:t xml:space="preserve">34 · 0</w:t>
            </w:r>
          </w:p>
        </w:tc>
        <w:tc>
          <w:tcPr>
            <w:tcW w:type="dxa" w:w="1000"/>
            <w:shd w:fill="FFFFFF" w:color="auto" w:val="clear"/>
            <w:tcMar>
              <w:top w:type="dxa" w:w="40"/>
              <w:left w:type="dxa" w:w="70"/>
              <w:bottom w:type="dxa" w:w="40"/>
              <w:right w:type="dxa" w:w="70"/>
            </w:tcMar>
          </w:tcPr>
          <w:p>
            <w:pPr>
              <w:spacing w:after="0"/>
            </w:pPr>
            <w:r>
              <w:rPr>
                <w:sz w:val="17"/>
                <w:szCs w:val="17"/>
              </w:rPr>
              <w:t xml:space="preserve">11.5%†</w:t>
            </w:r>
          </w:p>
        </w:tc>
        <w:tc>
          <w:tcPr>
            <w:tcW w:type="dxa" w:w="1000"/>
            <w:shd w:fill="FFFFFF" w:color="auto" w:val="clear"/>
            <w:tcMar>
              <w:top w:type="dxa" w:w="40"/>
              <w:left w:type="dxa" w:w="70"/>
              <w:bottom w:type="dxa" w:w="40"/>
              <w:right w:type="dxa" w:w="70"/>
            </w:tcMar>
          </w:tcPr>
          <w:p>
            <w:pPr>
              <w:spacing w:after="0"/>
            </w:pPr>
            <w:r>
              <w:rPr>
                <w:sz w:val="17"/>
                <w:szCs w:val="17"/>
              </w:rPr>
              <w:t xml:space="preserve">3.9</w:t>
            </w:r>
          </w:p>
        </w:tc>
        <w:tc>
          <w:tcPr>
            <w:tcW w:type="dxa" w:w="1500"/>
            <w:shd w:fill="FFFFFF" w:color="auto" w:val="clear"/>
            <w:tcMar>
              <w:top w:type="dxa" w:w="40"/>
              <w:left w:type="dxa" w:w="70"/>
              <w:bottom w:type="dxa" w:w="40"/>
              <w:right w:type="dxa" w:w="70"/>
            </w:tcMar>
          </w:tcPr>
          <w:p>
            <w:pPr>
              <w:spacing w:after="0"/>
            </w:pPr>
            <w:r>
              <w:rPr>
                <w:sz w:val="17"/>
                <w:szCs w:val="17"/>
              </w:rPr>
              <w:t xml:space="preserve">$3.67 ($3.67)</w:t>
            </w:r>
          </w:p>
        </w:tc>
        <w:tc>
          <w:tcPr>
            <w:tcW w:type="dxa" w:w="1772"/>
            <w:shd w:fill="FFFFFF" w:color="auto" w:val="clear"/>
            <w:tcMar>
              <w:top w:type="dxa" w:w="40"/>
              <w:left w:type="dxa" w:w="70"/>
              <w:bottom w:type="dxa" w:w="40"/>
              <w:right w:type="dxa" w:w="70"/>
            </w:tcMar>
          </w:tcPr>
          <w:p>
            <w:pPr>
              <w:spacing w:after="0"/>
            </w:pPr>
            <w:r>
              <w:rPr>
                <w:sz w:val="17"/>
                <w:szCs w:val="17"/>
              </w:rPr>
              <w:t xml:space="preserve">$125</w:t>
            </w:r>
          </w:p>
        </w:tc>
      </w:tr>
      <w:tr>
        <w:tc>
          <w:tcPr>
            <w:tcW w:type="dxa" w:w="2300"/>
            <w:shd w:fill="F2F5F9" w:color="auto" w:val="clear"/>
            <w:tcMar>
              <w:top w:type="dxa" w:w="40"/>
              <w:left w:type="dxa" w:w="70"/>
              <w:bottom w:type="dxa" w:w="40"/>
              <w:right w:type="dxa" w:w="70"/>
            </w:tcMar>
          </w:tcPr>
          <w:p>
            <w:pPr>
              <w:spacing w:after="0"/>
            </w:pPr>
            <w:r>
              <w:rPr>
                <w:sz w:val="17"/>
                <w:szCs w:val="17"/>
              </w:rPr>
              <w:t xml:space="preserve">queen cooling sheets</w:t>
            </w:r>
          </w:p>
        </w:tc>
        <w:tc>
          <w:tcPr>
            <w:tcW w:type="dxa" w:w="1100"/>
            <w:shd w:fill="F2F5F9" w:color="auto" w:val="clear"/>
            <w:tcMar>
              <w:top w:type="dxa" w:w="40"/>
              <w:left w:type="dxa" w:w="70"/>
              <w:bottom w:type="dxa" w:w="40"/>
              <w:right w:type="dxa" w:w="70"/>
            </w:tcMar>
          </w:tcPr>
          <w:p>
            <w:pPr>
              <w:spacing w:after="0"/>
            </w:pPr>
            <w:r>
              <w:rPr>
                <w:sz w:val="17"/>
                <w:szCs w:val="17"/>
              </w:rPr>
              <w:t xml:space="preserve">— → 7</w:t>
            </w:r>
          </w:p>
        </w:tc>
        <w:tc>
          <w:tcPr>
            <w:tcW w:type="dxa" w:w="1300"/>
            <w:shd w:fill="F2F5F9" w:color="auto" w:val="clear"/>
            <w:tcMar>
              <w:top w:type="dxa" w:w="40"/>
              <w:left w:type="dxa" w:w="70"/>
              <w:bottom w:type="dxa" w:w="40"/>
              <w:right w:type="dxa" w:w="70"/>
            </w:tcMar>
          </w:tcPr>
          <w:p>
            <w:pPr>
              <w:spacing w:after="0"/>
            </w:pPr>
            <w:r>
              <w:rPr>
                <w:sz w:val="17"/>
                <w:szCs w:val="17"/>
              </w:rPr>
              <w:t xml:space="preserve">10.3 · 0</w:t>
            </w:r>
          </w:p>
        </w:tc>
        <w:tc>
          <w:tcPr>
            <w:tcW w:type="dxa" w:w="1000"/>
            <w:shd w:fill="F2F5F9" w:color="auto" w:val="clear"/>
            <w:tcMar>
              <w:top w:type="dxa" w:w="40"/>
              <w:left w:type="dxa" w:w="70"/>
              <w:bottom w:type="dxa" w:w="40"/>
              <w:right w:type="dxa" w:w="70"/>
            </w:tcMar>
          </w:tcPr>
          <w:p>
            <w:pPr>
              <w:spacing w:after="0"/>
            </w:pPr>
            <w:r>
              <w:rPr>
                <w:sz w:val="17"/>
                <w:szCs w:val="17"/>
              </w:rPr>
              <w:t xml:space="preserve">11.5%†</w:t>
            </w:r>
          </w:p>
        </w:tc>
        <w:tc>
          <w:tcPr>
            <w:tcW w:type="dxa" w:w="1000"/>
            <w:shd w:fill="F2F5F9" w:color="auto" w:val="clear"/>
            <w:tcMar>
              <w:top w:type="dxa" w:w="40"/>
              <w:left w:type="dxa" w:w="70"/>
              <w:bottom w:type="dxa" w:w="40"/>
              <w:right w:type="dxa" w:w="70"/>
            </w:tcMar>
          </w:tcPr>
          <w:p>
            <w:pPr>
              <w:spacing w:after="0"/>
            </w:pPr>
            <w:r>
              <w:rPr>
                <w:sz w:val="17"/>
                <w:szCs w:val="17"/>
              </w:rPr>
              <w:t xml:space="preserve">1.2</w:t>
            </w:r>
          </w:p>
        </w:tc>
        <w:tc>
          <w:tcPr>
            <w:tcW w:type="dxa" w:w="1500"/>
            <w:shd w:fill="F2F5F9" w:color="auto" w:val="clear"/>
            <w:tcMar>
              <w:top w:type="dxa" w:w="40"/>
              <w:left w:type="dxa" w:w="70"/>
              <w:bottom w:type="dxa" w:w="40"/>
              <w:right w:type="dxa" w:w="70"/>
            </w:tcMar>
          </w:tcPr>
          <w:p>
            <w:pPr>
              <w:spacing w:after="0"/>
            </w:pPr>
            <w:r>
              <w:rPr>
                <w:sz w:val="17"/>
                <w:szCs w:val="17"/>
              </w:rPr>
              <w:t xml:space="preserve">$4.49 ($4.49)</w:t>
            </w:r>
          </w:p>
        </w:tc>
        <w:tc>
          <w:tcPr>
            <w:tcW w:type="dxa" w:w="1772"/>
            <w:shd w:fill="F2F5F9" w:color="auto" w:val="clear"/>
            <w:tcMar>
              <w:top w:type="dxa" w:w="40"/>
              <w:left w:type="dxa" w:w="70"/>
              <w:bottom w:type="dxa" w:w="40"/>
              <w:right w:type="dxa" w:w="70"/>
            </w:tcMar>
          </w:tcPr>
          <w:p>
            <w:pPr>
              <w:spacing w:after="0"/>
            </w:pPr>
            <w:r>
              <w:rPr>
                <w:sz w:val="17"/>
                <w:szCs w:val="17"/>
              </w:rPr>
              <w:t xml:space="preserve">$46</w:t>
            </w:r>
          </w:p>
        </w:tc>
      </w:tr>
      <w:tr>
        <w:tc>
          <w:tcPr>
            <w:tcW w:type="dxa" w:w="2300"/>
            <w:shd w:fill="FFFFFF" w:color="auto" w:val="clear"/>
            <w:tcMar>
              <w:top w:type="dxa" w:w="40"/>
              <w:left w:type="dxa" w:w="70"/>
              <w:bottom w:type="dxa" w:w="40"/>
              <w:right w:type="dxa" w:w="70"/>
            </w:tcMar>
          </w:tcPr>
          <w:p>
            <w:pPr>
              <w:spacing w:after="0"/>
            </w:pPr>
            <w:r>
              <w:rPr>
                <w:sz w:val="17"/>
                <w:szCs w:val="17"/>
              </w:rPr>
              <w:t xml:space="preserve">cooling sheets queen</w:t>
            </w:r>
          </w:p>
        </w:tc>
        <w:tc>
          <w:tcPr>
            <w:tcW w:type="dxa" w:w="1100"/>
            <w:shd w:fill="FFFFFF" w:color="auto" w:val="clear"/>
            <w:tcMar>
              <w:top w:type="dxa" w:w="40"/>
              <w:left w:type="dxa" w:w="70"/>
              <w:bottom w:type="dxa" w:w="40"/>
              <w:right w:type="dxa" w:w="70"/>
            </w:tcMar>
          </w:tcPr>
          <w:p>
            <w:pPr>
              <w:spacing w:after="0"/>
            </w:pPr>
            <w:r>
              <w:rPr>
                <w:sz w:val="17"/>
                <w:szCs w:val="17"/>
              </w:rPr>
              <w:t xml:space="preserve">True Bamboo 19 → 9</w:t>
            </w:r>
          </w:p>
        </w:tc>
        <w:tc>
          <w:tcPr>
            <w:tcW w:type="dxa" w:w="1300"/>
            <w:shd w:fill="FFFFFF" w:color="auto" w:val="clear"/>
            <w:tcMar>
              <w:top w:type="dxa" w:w="40"/>
              <w:left w:type="dxa" w:w="70"/>
              <w:bottom w:type="dxa" w:w="40"/>
              <w:right w:type="dxa" w:w="70"/>
            </w:tcMar>
          </w:tcPr>
          <w:p>
            <w:pPr>
              <w:spacing w:after="0"/>
            </w:pPr>
            <w:r>
              <w:rPr>
                <w:sz w:val="17"/>
                <w:szCs w:val="17"/>
              </w:rPr>
              <w:t xml:space="preserve">9.4 · 0</w:t>
            </w:r>
          </w:p>
        </w:tc>
        <w:tc>
          <w:tcPr>
            <w:tcW w:type="dxa" w:w="1000"/>
            <w:shd w:fill="FFFFFF" w:color="auto" w:val="clear"/>
            <w:tcMar>
              <w:top w:type="dxa" w:w="40"/>
              <w:left w:type="dxa" w:w="70"/>
              <w:bottom w:type="dxa" w:w="40"/>
              <w:right w:type="dxa" w:w="70"/>
            </w:tcMar>
          </w:tcPr>
          <w:p>
            <w:pPr>
              <w:spacing w:after="0"/>
            </w:pPr>
            <w:r>
              <w:rPr>
                <w:sz w:val="17"/>
                <w:szCs w:val="17"/>
              </w:rPr>
              <w:t xml:space="preserve">11.5%†</w:t>
            </w:r>
          </w:p>
        </w:tc>
        <w:tc>
          <w:tcPr>
            <w:tcW w:type="dxa" w:w="1000"/>
            <w:shd w:fill="FFFFFF" w:color="auto" w:val="clear"/>
            <w:tcMar>
              <w:top w:type="dxa" w:w="40"/>
              <w:left w:type="dxa" w:w="70"/>
              <w:bottom w:type="dxa" w:w="40"/>
              <w:right w:type="dxa" w:w="70"/>
            </w:tcMar>
          </w:tcPr>
          <w:p>
            <w:pPr>
              <w:spacing w:after="0"/>
            </w:pPr>
            <w:r>
              <w:rPr>
                <w:sz w:val="17"/>
                <w:szCs w:val="17"/>
              </w:rPr>
              <w:t xml:space="preserve">1.1</w:t>
            </w:r>
          </w:p>
        </w:tc>
        <w:tc>
          <w:tcPr>
            <w:tcW w:type="dxa" w:w="1500"/>
            <w:shd w:fill="FFFFFF" w:color="auto" w:val="clear"/>
            <w:tcMar>
              <w:top w:type="dxa" w:w="40"/>
              <w:left w:type="dxa" w:w="70"/>
              <w:bottom w:type="dxa" w:w="40"/>
              <w:right w:type="dxa" w:w="70"/>
            </w:tcMar>
          </w:tcPr>
          <w:p>
            <w:pPr>
              <w:spacing w:after="0"/>
            </w:pPr>
            <w:r>
              <w:rPr>
                <w:sz w:val="17"/>
                <w:szCs w:val="17"/>
              </w:rPr>
              <w:t xml:space="preserve">$4.49 ($4.49)</w:t>
            </w:r>
          </w:p>
        </w:tc>
        <w:tc>
          <w:tcPr>
            <w:tcW w:type="dxa" w:w="1772"/>
            <w:shd w:fill="FFFFFF" w:color="auto" w:val="clear"/>
            <w:tcMar>
              <w:top w:type="dxa" w:w="40"/>
              <w:left w:type="dxa" w:w="70"/>
              <w:bottom w:type="dxa" w:w="40"/>
              <w:right w:type="dxa" w:w="70"/>
            </w:tcMar>
          </w:tcPr>
          <w:p>
            <w:pPr>
              <w:spacing w:after="0"/>
            </w:pPr>
            <w:r>
              <w:rPr>
                <w:sz w:val="17"/>
                <w:szCs w:val="17"/>
              </w:rPr>
              <w:t xml:space="preserve">$42</w:t>
            </w:r>
          </w:p>
        </w:tc>
      </w:tr>
      <w:tr>
        <w:tc>
          <w:tcPr>
            <w:tcW w:type="dxa" w:w="2300"/>
            <w:shd w:fill="F2F5F9" w:color="auto" w:val="clear"/>
            <w:tcMar>
              <w:top w:type="dxa" w:w="40"/>
              <w:left w:type="dxa" w:w="70"/>
              <w:bottom w:type="dxa" w:w="40"/>
              <w:right w:type="dxa" w:w="70"/>
            </w:tcMar>
          </w:tcPr>
          <w:p>
            <w:pPr>
              <w:spacing w:after="0"/>
            </w:pPr>
            <w:r>
              <w:rPr>
                <w:sz w:val="17"/>
                <w:szCs w:val="17"/>
              </w:rPr>
              <w:t xml:space="preserve">Total (16 terms)</w:t>
            </w:r>
          </w:p>
        </w:tc>
        <w:tc>
          <w:tcPr>
            <w:tcW w:type="dxa" w:w="1100"/>
            <w:shd w:fill="F2F5F9" w:color="auto" w:val="clear"/>
            <w:tcMar>
              <w:top w:type="dxa" w:w="40"/>
              <w:left w:type="dxa" w:w="70"/>
              <w:bottom w:type="dxa" w:w="40"/>
              <w:right w:type="dxa" w:w="70"/>
            </w:tcMar>
          </w:tcPr>
          <w:p>
            <w:pPr>
              <w:spacing w:after="0"/>
            </w:pPr>
            <w:r>
              <w:rPr>
                <w:sz w:val="17"/>
                <w:szCs w:val="17"/>
              </w:rPr>
              <w:t xml:space="preserve"/>
            </w:r>
          </w:p>
        </w:tc>
        <w:tc>
          <w:tcPr>
            <w:tcW w:type="dxa" w:w="1300"/>
            <w:shd w:fill="F2F5F9" w:color="auto" w:val="clear"/>
            <w:tcMar>
              <w:top w:type="dxa" w:w="40"/>
              <w:left w:type="dxa" w:w="70"/>
              <w:bottom w:type="dxa" w:w="40"/>
              <w:right w:type="dxa" w:w="70"/>
            </w:tcMar>
          </w:tcPr>
          <w:p>
            <w:pPr>
              <w:spacing w:after="0"/>
            </w:pPr>
            <w:r>
              <w:rPr>
                <w:sz w:val="17"/>
                <w:szCs w:val="17"/>
              </w:rPr>
              <w:t xml:space="preserve">277</w:t>
            </w:r>
          </w:p>
        </w:tc>
        <w:tc>
          <w:tcPr>
            <w:tcW w:type="dxa" w:w="1000"/>
            <w:shd w:fill="F2F5F9" w:color="auto" w:val="clear"/>
            <w:tcMar>
              <w:top w:type="dxa" w:w="40"/>
              <w:left w:type="dxa" w:w="70"/>
              <w:bottom w:type="dxa" w:w="40"/>
              <w:right w:type="dxa" w:w="70"/>
            </w:tcMar>
          </w:tcPr>
          <w:p>
            <w:pPr>
              <w:spacing w:after="0"/>
            </w:pPr>
            <w:r>
              <w:rPr>
                <w:sz w:val="17"/>
                <w:szCs w:val="17"/>
              </w:rPr>
              <w:t xml:space="preserve"/>
            </w:r>
          </w:p>
        </w:tc>
        <w:tc>
          <w:tcPr>
            <w:tcW w:type="dxa" w:w="1000"/>
            <w:shd w:fill="F2F5F9" w:color="auto" w:val="clear"/>
            <w:tcMar>
              <w:top w:type="dxa" w:w="40"/>
              <w:left w:type="dxa" w:w="70"/>
              <w:bottom w:type="dxa" w:w="40"/>
              <w:right w:type="dxa" w:w="70"/>
            </w:tcMar>
          </w:tcPr>
          <w:p>
            <w:pPr>
              <w:spacing w:after="0"/>
            </w:pPr>
            <w:r>
              <w:rPr>
                <w:sz w:val="17"/>
                <w:szCs w:val="17"/>
              </w:rPr>
              <w:t xml:space="preserve">46</w:t>
            </w:r>
          </w:p>
        </w:tc>
        <w:tc>
          <w:tcPr>
            <w:tcW w:type="dxa" w:w="1500"/>
            <w:shd w:fill="F2F5F9" w:color="auto" w:val="clear"/>
            <w:tcMar>
              <w:top w:type="dxa" w:w="40"/>
              <w:left w:type="dxa" w:w="70"/>
              <w:bottom w:type="dxa" w:w="40"/>
              <w:right w:type="dxa" w:w="70"/>
            </w:tcMar>
          </w:tcPr>
          <w:p>
            <w:pPr>
              <w:spacing w:after="0"/>
            </w:pPr>
            <w:r>
              <w:rPr>
                <w:sz w:val="17"/>
                <w:szCs w:val="17"/>
              </w:rPr>
              <w:t xml:space="preserve"/>
            </w:r>
          </w:p>
        </w:tc>
        <w:tc>
          <w:tcPr>
            <w:tcW w:type="dxa" w:w="1772"/>
            <w:shd w:fill="F2F5F9" w:color="auto" w:val="clear"/>
            <w:tcMar>
              <w:top w:type="dxa" w:w="40"/>
              <w:left w:type="dxa" w:w="70"/>
              <w:bottom w:type="dxa" w:w="40"/>
              <w:right w:type="dxa" w:w="70"/>
            </w:tcMar>
          </w:tcPr>
          <w:p>
            <w:pPr>
              <w:spacing w:after="0"/>
            </w:pPr>
            <w:r>
              <w:rPr>
                <w:sz w:val="17"/>
                <w:szCs w:val="17"/>
              </w:rPr>
              <w:t xml:space="preserve">$1,527</w:t>
            </w:r>
          </w:p>
        </w:tc>
      </w:tr>
    </w:tbl>
    <w:p>
      <w:pPr>
        <w:spacing w:after="120"/>
      </w:pPr>
      <w:r>
        <w:rPr>
          <w:i/>
          <w:iCs/>
          <w:color w:val="555555"/>
          <w:sz w:val="17"/>
          <w:szCs w:val="17"/>
        </w:rPr>
        <w:t xml:space="preserve">Plan clicks = the audit’s plan for the target rank (units the rank sells ÷ conversion), before the overlap scaling in Section 12; where the audit has no plan, the register’s requirement before scaling. * The campaign’s overall conversion, which beats the market; these terms have barely been shown at the top, which is the problem the push fixes. † Stand-in: our cooling campaigns’ conversion. B6 has almost no data of its own on these terms (“cooling sheets queen”: 23 clicks and 1 order in 90 days through auto and broad; “cooling sheets king size”: none), so the stop rule below decides once they have 50 top-of-search clicks. Budget = plan clicks × this week’s price; add the product-page clicks the base still buys. Ceiling = twice break-even on the advertised colour’s margin.</w:t>
      </w:r>
    </w:p>
    <w:p>
      <w:pPr>
        <w:spacing w:after="100"/>
      </w:pPr>
      <w:r>
        <w:t xml:space="preserve">At the full plan this costs about $1,530 a day and should bring about 46 orders a day at about 41% ACoS. The terms share shoppers, so the real total will be lower. Scaled for that overlap (×0.62, Section 12), it is about $950 a day and 29 orders. The full plan is approved as a deliberate, time-boxed investment: three weeks from 29 September, tuned weekly.</w:t>
      </w:r>
    </w:p>
    <w:p>
      <w:pPr>
        <w:spacing w:after="100"/>
      </w:pPr>
      <w:r>
        <w:t xml:space="preserve">The three cooling terms are pushed now, not after tracking starts. Build one exact campaign each on King White or Queen White, at the ceiling, on fixed bidding. Read their rank from ASinsight until our rank tracker has them. Their ceilings are low ($3.67–$4.49) because the stand-in conversion is modest; if they can’t hold the top at the ceiling for 3 days, the rule below brings them to you.</w:t>
      </w:r>
    </w:p>
    <w:p>
      <w:pPr>
        <w:spacing w:after="100"/>
      </w:pPr>
      <w:r>
        <w:t xml:space="preserve">Left out for now, and why:</w:t>
      </w:r>
    </w:p>
    <w:p>
      <w:pPr>
        <w:pStyle w:val="ListParagraph"/>
        <w:numPr>
          <w:ilvl w:val="0"/>
          <w:numId w:val="3"/>
        </w:numPr>
        <w:spacing w:after="60"/>
      </w:pPr>
      <w:r>
        <w:t xml:space="preserve">“cooling sheets” (rank 142): too far to reach yet.</w:t>
      </w:r>
    </w:p>
    <w:p>
      <w:pPr>
        <w:pStyle w:val="ListParagraph"/>
        <w:numPr>
          <w:ilvl w:val="0"/>
          <w:numId w:val="3"/>
        </w:numPr>
        <w:spacing w:after="60"/>
      </w:pPr>
      <w:r>
        <w:t xml:space="preserve">“cooling bed sheets”: its rank collapsed; find the cause first.</w:t>
      </w:r>
    </w:p>
    <w:p>
      <w:pPr>
        <w:pStyle w:val="ListParagraph"/>
        <w:numPr>
          <w:ilvl w:val="0"/>
          <w:numId w:val="3"/>
        </w:numPr>
        <w:spacing w:after="60"/>
      </w:pPr>
      <w:r>
        <w:t xml:space="preserve">Colour terms such as “black bamboo sheets”: these are conversions terms (Section 9).</w:t>
      </w:r>
    </w:p>
    <w:p>
      <w:pPr>
        <w:pStyle w:val="ListParagraph"/>
        <w:numPr>
          <w:ilvl w:val="0"/>
          <w:numId w:val="3"/>
        </w:numPr>
        <w:spacing w:after="60"/>
      </w:pPr>
      <w:r>
        <w:t xml:space="preserve">“king size bamboo sheets set”: a plan of 5 clicks a week.</w:t>
      </w:r>
    </w:p>
    <w:p>
      <w:pPr>
        <w:pStyle w:val="ListParagraph"/>
        <w:numPr>
          <w:ilvl w:val="0"/>
          <w:numId w:val="3"/>
        </w:numPr>
        <w:spacing w:after="60"/>
      </w:pPr>
      <w:r>
        <w:t xml:space="preserve">The rank-1 targets with no campaign and no data, such as “organic sheets queen”, “queen size deep pocket sheets” and “6 piece king size sheets set”: build them and add them after the first weekly review.</w:t>
      </w:r>
    </w:p>
    <w:p>
      <w:pPr>
        <w:spacing w:after="100"/>
      </w:pPr>
      <w:r>
        <w:t xml:space="preserve">How each push term is tuned:</w:t>
      </w:r>
    </w:p>
    <w:p>
      <w:pPr>
        <w:pStyle w:val="ListParagraph"/>
        <w:numPr>
          <w:ilvl w:val="0"/>
          <w:numId w:val="3"/>
        </w:numPr>
        <w:spacing w:after="60"/>
      </w:pPr>
      <w:r>
        <w:rPr>
          <w:b/>
          <w:bCs/>
        </w:rPr>
        <w:t xml:space="preserve">Daily: </w:t>
      </w:r>
      <w:r>
        <w:t xml:space="preserve">step each price up by up to 30% until the term holds a top-3 sponsored position most hours and at least 30% of top-of-search impressions, never above its ceiling.</w:t>
      </w:r>
    </w:p>
    <w:p>
      <w:pPr>
        <w:pStyle w:val="ListParagraph"/>
        <w:numPr>
          <w:ilvl w:val="0"/>
          <w:numId w:val="3"/>
        </w:numPr>
        <w:spacing w:after="60"/>
      </w:pPr>
      <w:r>
        <w:rPr>
          <w:b/>
          <w:bCs/>
        </w:rPr>
        <w:t xml:space="preserve">At the ceiling for 3 days without holding the top: </w:t>
      </w:r>
      <w:r>
        <w:t xml:space="preserve">bring it to you, to raise that term’s ceiling for a set time or swap the term.</w:t>
      </w:r>
    </w:p>
    <w:p>
      <w:pPr>
        <w:pStyle w:val="ListParagraph"/>
        <w:numPr>
          <w:ilvl w:val="0"/>
          <w:numId w:val="3"/>
        </w:numPr>
        <w:spacing w:after="60"/>
      </w:pPr>
      <w:r>
        <w:rPr>
          <w:b/>
          <w:bCs/>
        </w:rPr>
        <w:t xml:space="preserve">Weekly: </w:t>
      </w:r>
      <w:r>
        <w:t xml:space="preserve">keep funding what moves; for a term that held the top for a week without moving, check the listing, stock and conversion before spending more.</w:t>
      </w:r>
    </w:p>
    <w:p>
      <w:pPr>
        <w:pStyle w:val="ListParagraph"/>
        <w:numPr>
          <w:ilvl w:val="0"/>
          <w:numId w:val="3"/>
        </w:numPr>
        <w:spacing w:after="60"/>
      </w:pPr>
      <w:r>
        <w:rPr>
          <w:b/>
          <w:bCs/>
        </w:rPr>
        <w:t xml:space="preserve">Stop: </w:t>
      </w:r>
      <w:r>
        <w:t xml:space="preserve">a term whose top-of-search conversion falls below the market on 50+ clicks.</w:t>
      </w:r>
    </w:p>
    <w:p>
      <w:pPr>
        <w:spacing w:after="100"/>
      </w:pPr>
      <w:r>
        <w:rPr>
          <w:b/>
          <w:bCs/>
          <w:color w:val="1F3A5F"/>
        </w:rPr>
        <w:t xml:space="preserve">Approved. </w:t>
      </w:r>
      <w:r>
        <w:t xml:space="preserve">The full plan, about $1,530 a day, for three weeks from 29 September.</w:t>
      </w:r>
    </w:p>
    <w:p>
      <w:pPr>
        <w:pStyle w:val="Heading2"/>
      </w:pPr>
      <w:r>
        <w:t xml:space="preserve">5.4 Which terms qualify</w:t>
      </w:r>
    </w:p>
    <w:p>
      <w:pPr>
        <w:spacing w:after="100"/>
      </w:pPr>
      <w:r>
        <w:t xml:space="preserve">Nine B6 terms beat the market at top of search on both click-through and conversion and have 7+ days of Available stock. Most also leak to product pages, so the base cut goes in the same write as the push price.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800"/>
        <w:gridCol w:w="1200"/>
        <w:gridCol w:w="1900"/>
        <w:gridCol w:w="2272"/>
      </w:tblGrid>
      <w:tr>
        <w:trPr>
          <w:tblHeader/>
        </w:trPr>
        <w:tc>
          <w:tcPr>
            <w:tcW w:type="dxa" w:w="2500"/>
            <w:shd w:fill="1F3A5F" w:color="auto" w:val="clear"/>
            <w:tcMar>
              <w:top w:type="dxa" w:w="40"/>
              <w:left w:type="dxa" w:w="70"/>
              <w:bottom w:type="dxa" w:w="40"/>
              <w:right w:type="dxa" w:w="70"/>
            </w:tcMar>
          </w:tcPr>
          <w:p>
            <w:pPr>
              <w:spacing w:after="0"/>
            </w:pPr>
            <w:r>
              <w:rPr>
                <w:b/>
                <w:bCs/>
                <w:color w:val="FFFFFF"/>
                <w:sz w:val="17"/>
                <w:szCs w:val="17"/>
              </w:rPr>
              <w:t xml:space="preserve">Term</w:t>
            </w:r>
          </w:p>
        </w:tc>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Colour advertised</w:t>
            </w:r>
          </w:p>
        </w:tc>
        <w:tc>
          <w:tcPr>
            <w:tcW w:type="dxa" w:w="800"/>
            <w:shd w:fill="1F3A5F" w:color="auto" w:val="clear"/>
            <w:tcMar>
              <w:top w:type="dxa" w:w="40"/>
              <w:left w:type="dxa" w:w="70"/>
              <w:bottom w:type="dxa" w:w="40"/>
              <w:right w:type="dxa" w:w="70"/>
            </w:tcMar>
          </w:tcPr>
          <w:p>
            <w:pPr>
              <w:spacing w:after="0"/>
            </w:pPr>
            <w:r>
              <w:rPr>
                <w:b/>
                <w:bCs/>
                <w:color w:val="FFFFFF"/>
                <w:sz w:val="17"/>
                <w:szCs w:val="17"/>
              </w:rPr>
              <w:t xml:space="preserve">In focus?</w:t>
            </w:r>
          </w:p>
        </w:tc>
        <w:tc>
          <w:tcPr>
            <w:tcW w:type="dxa" w:w="1200"/>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1900"/>
            <w:shd w:fill="1F3A5F" w:color="auto" w:val="clear"/>
            <w:tcMar>
              <w:top w:type="dxa" w:w="40"/>
              <w:left w:type="dxa" w:w="70"/>
              <w:bottom w:type="dxa" w:w="40"/>
              <w:right w:type="dxa" w:w="70"/>
            </w:tcMar>
          </w:tcPr>
          <w:p>
            <w:pPr>
              <w:spacing w:after="0"/>
            </w:pPr>
            <w:r>
              <w:rPr>
                <w:b/>
                <w:bCs/>
                <w:color w:val="FFFFFF"/>
                <w:sz w:val="17"/>
                <w:szCs w:val="17"/>
              </w:rPr>
              <w:t xml:space="preserve">Top-of-search conversion vs market</w:t>
            </w:r>
          </w:p>
        </w:tc>
        <w:tc>
          <w:tcPr>
            <w:tcW w:type="dxa" w:w="2272"/>
            <w:shd w:fill="1F3A5F" w:color="auto" w:val="clear"/>
            <w:tcMar>
              <w:top w:type="dxa" w:w="40"/>
              <w:left w:type="dxa" w:w="70"/>
              <w:bottom w:type="dxa" w:w="40"/>
              <w:right w:type="dxa" w:w="70"/>
            </w:tcMar>
          </w:tcPr>
          <w:p>
            <w:pPr>
              <w:spacing w:after="0"/>
            </w:pPr>
            <w:r>
              <w:rPr>
                <w:b/>
                <w:bCs/>
                <w:color w:val="FFFFFF"/>
                <w:sz w:val="17"/>
                <w:szCs w:val="17"/>
              </w:rPr>
              <w:t xml:space="preserve">Move</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sheets</w:t>
            </w:r>
          </w:p>
        </w:tc>
        <w:tc>
          <w:tcPr>
            <w:tcW w:type="dxa" w:w="1300"/>
            <w:shd w:fill="FFFFFF" w:color="auto" w:val="clear"/>
            <w:tcMar>
              <w:top w:type="dxa" w:w="40"/>
              <w:left w:type="dxa" w:w="70"/>
              <w:bottom w:type="dxa" w:w="40"/>
              <w:right w:type="dxa" w:w="70"/>
            </w:tcMar>
          </w:tcPr>
          <w:p>
            <w:pPr>
              <w:spacing w:after="0"/>
            </w:pPr>
            <w:r>
              <w:rPr>
                <w:sz w:val="17"/>
                <w:szCs w:val="17"/>
              </w:rPr>
              <w:t xml:space="preserve">King White</w:t>
            </w:r>
          </w:p>
        </w:tc>
        <w:tc>
          <w:tcPr>
            <w:tcW w:type="dxa" w:w="800"/>
            <w:shd w:fill="FFFFFF" w:color="auto" w:val="clear"/>
            <w:tcMar>
              <w:top w:type="dxa" w:w="40"/>
              <w:left w:type="dxa" w:w="70"/>
              <w:bottom w:type="dxa" w:w="40"/>
              <w:right w:type="dxa" w:w="70"/>
            </w:tcMar>
          </w:tcPr>
          <w:p>
            <w:pPr>
              <w:spacing w:after="0"/>
            </w:pPr>
            <w:r>
              <w:rPr>
                <w:sz w:val="17"/>
                <w:szCs w:val="17"/>
              </w:rPr>
              <w:t xml:space="preserve">added to the push</w:t>
            </w:r>
          </w:p>
        </w:tc>
        <w:tc>
          <w:tcPr>
            <w:tcW w:type="dxa" w:w="1200"/>
            <w:shd w:fill="FFFFFF" w:color="auto" w:val="clear"/>
            <w:tcMar>
              <w:top w:type="dxa" w:w="40"/>
              <w:left w:type="dxa" w:w="70"/>
              <w:bottom w:type="dxa" w:w="40"/>
              <w:right w:type="dxa" w:w="70"/>
            </w:tcMar>
          </w:tcPr>
          <w:p>
            <w:pPr>
              <w:spacing w:after="0"/>
            </w:pPr>
            <w:r>
              <w:rPr>
                <w:sz w:val="17"/>
                <w:szCs w:val="17"/>
              </w:rPr>
              <w:t xml:space="preserve">29 · 9</w:t>
            </w:r>
          </w:p>
        </w:tc>
        <w:tc>
          <w:tcPr>
            <w:tcW w:type="dxa" w:w="1900"/>
            <w:shd w:fill="FFFFFF" w:color="auto" w:val="clear"/>
            <w:tcMar>
              <w:top w:type="dxa" w:w="40"/>
              <w:left w:type="dxa" w:w="70"/>
              <w:bottom w:type="dxa" w:w="40"/>
              <w:right w:type="dxa" w:w="70"/>
            </w:tcMar>
          </w:tcPr>
          <w:p>
            <w:pPr>
              <w:spacing w:after="0"/>
            </w:pPr>
            <w:r>
              <w:rPr>
                <w:sz w:val="17"/>
                <w:szCs w:val="17"/>
              </w:rPr>
              <w:t xml:space="preserve">19.3% vs 2.7%</w:t>
            </w:r>
          </w:p>
        </w:tc>
        <w:tc>
          <w:tcPr>
            <w:tcW w:type="dxa" w:w="2272"/>
            <w:shd w:fill="FFFFFF" w:color="auto" w:val="clear"/>
            <w:tcMar>
              <w:top w:type="dxa" w:w="40"/>
              <w:left w:type="dxa" w:w="70"/>
              <w:bottom w:type="dxa" w:w="40"/>
              <w:right w:type="dxa" w:w="70"/>
            </w:tcMar>
          </w:tcPr>
          <w:p>
            <w:pPr>
              <w:spacing w:after="0"/>
            </w:pPr>
            <w:r>
              <w:rPr>
                <w:sz w:val="17"/>
                <w:szCs w:val="17"/>
              </w:rPr>
              <w:t xml:space="preserve">Push (Section 5.6)</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sheets queen size</w:t>
            </w:r>
          </w:p>
        </w:tc>
        <w:tc>
          <w:tcPr>
            <w:tcW w:type="dxa" w:w="1300"/>
            <w:shd w:fill="F2F5F9" w:color="auto" w:val="clear"/>
            <w:tcMar>
              <w:top w:type="dxa" w:w="40"/>
              <w:left w:type="dxa" w:w="70"/>
              <w:bottom w:type="dxa" w:w="40"/>
              <w:right w:type="dxa" w:w="70"/>
            </w:tcMar>
          </w:tcPr>
          <w:p>
            <w:pPr>
              <w:spacing w:after="0"/>
            </w:pPr>
            <w:r>
              <w:rPr>
                <w:sz w:val="17"/>
                <w:szCs w:val="17"/>
              </w:rPr>
              <w:t xml:space="preserve">Queen White</w:t>
            </w:r>
          </w:p>
        </w:tc>
        <w:tc>
          <w:tcPr>
            <w:tcW w:type="dxa" w:w="800"/>
            <w:shd w:fill="F2F5F9" w:color="auto" w:val="clear"/>
            <w:tcMar>
              <w:top w:type="dxa" w:w="40"/>
              <w:left w:type="dxa" w:w="70"/>
              <w:bottom w:type="dxa" w:w="40"/>
              <w:right w:type="dxa" w:w="70"/>
            </w:tcMar>
          </w:tcPr>
          <w:p>
            <w:pPr>
              <w:spacing w:after="0"/>
            </w:pPr>
            <w:r>
              <w:rPr>
                <w:sz w:val="17"/>
                <w:szCs w:val="17"/>
              </w:rPr>
              <w:t xml:space="preserve">yes</w:t>
            </w:r>
          </w:p>
        </w:tc>
        <w:tc>
          <w:tcPr>
            <w:tcW w:type="dxa" w:w="1200"/>
            <w:shd w:fill="F2F5F9" w:color="auto" w:val="clear"/>
            <w:tcMar>
              <w:top w:type="dxa" w:w="40"/>
              <w:left w:type="dxa" w:w="70"/>
              <w:bottom w:type="dxa" w:w="40"/>
              <w:right w:type="dxa" w:w="70"/>
            </w:tcMar>
          </w:tcPr>
          <w:p>
            <w:pPr>
              <w:spacing w:after="0"/>
            </w:pPr>
            <w:r>
              <w:rPr>
                <w:sz w:val="17"/>
                <w:szCs w:val="17"/>
              </w:rPr>
              <w:t xml:space="preserve">21 · 5</w:t>
            </w:r>
          </w:p>
        </w:tc>
        <w:tc>
          <w:tcPr>
            <w:tcW w:type="dxa" w:w="1900"/>
            <w:shd w:fill="F2F5F9" w:color="auto" w:val="clear"/>
            <w:tcMar>
              <w:top w:type="dxa" w:w="40"/>
              <w:left w:type="dxa" w:w="70"/>
              <w:bottom w:type="dxa" w:w="40"/>
              <w:right w:type="dxa" w:w="70"/>
            </w:tcMar>
          </w:tcPr>
          <w:p>
            <w:pPr>
              <w:spacing w:after="0"/>
            </w:pPr>
            <w:r>
              <w:rPr>
                <w:sz w:val="17"/>
                <w:szCs w:val="17"/>
              </w:rPr>
              <w:t xml:space="preserve">22.7% vs 4.4%</w:t>
            </w:r>
          </w:p>
        </w:tc>
        <w:tc>
          <w:tcPr>
            <w:tcW w:type="dxa" w:w="2272"/>
            <w:shd w:fill="F2F5F9" w:color="auto" w:val="clear"/>
            <w:tcMar>
              <w:top w:type="dxa" w:w="40"/>
              <w:left w:type="dxa" w:w="70"/>
              <w:bottom w:type="dxa" w:w="40"/>
              <w:right w:type="dxa" w:w="70"/>
            </w:tcMar>
          </w:tcPr>
          <w:p>
            <w:pPr>
              <w:spacing w:after="0"/>
            </w:pPr>
            <w:r>
              <w:rPr>
                <w:sz w:val="17"/>
                <w:szCs w:val="17"/>
              </w:rPr>
              <w:t xml:space="preserve">Push; base cut in the same write (product pages 64%)</w:t>
            </w:r>
          </w:p>
        </w:tc>
      </w:tr>
      <w:tr>
        <w:tc>
          <w:tcPr>
            <w:tcW w:type="dxa" w:w="2500"/>
            <w:shd w:fill="FFFFFF" w:color="auto" w:val="clear"/>
            <w:tcMar>
              <w:top w:type="dxa" w:w="40"/>
              <w:left w:type="dxa" w:w="70"/>
              <w:bottom w:type="dxa" w:w="40"/>
              <w:right w:type="dxa" w:w="70"/>
            </w:tcMar>
          </w:tcPr>
          <w:p>
            <w:pPr>
              <w:spacing w:after="0"/>
            </w:pPr>
            <w:r>
              <w:rPr>
                <w:sz w:val="17"/>
                <w:szCs w:val="17"/>
              </w:rPr>
              <w:t xml:space="preserve">full size bamboo sheets</w:t>
            </w:r>
          </w:p>
        </w:tc>
        <w:tc>
          <w:tcPr>
            <w:tcW w:type="dxa" w:w="1300"/>
            <w:shd w:fill="FFFFFF" w:color="auto" w:val="clear"/>
            <w:tcMar>
              <w:top w:type="dxa" w:w="40"/>
              <w:left w:type="dxa" w:w="70"/>
              <w:bottom w:type="dxa" w:w="40"/>
              <w:right w:type="dxa" w:w="70"/>
            </w:tcMar>
          </w:tcPr>
          <w:p>
            <w:pPr>
              <w:spacing w:after="0"/>
            </w:pPr>
            <w:r>
              <w:rPr>
                <w:sz w:val="17"/>
                <w:szCs w:val="17"/>
              </w:rPr>
              <w:t xml:space="preserve">Full White</w:t>
            </w:r>
          </w:p>
        </w:tc>
        <w:tc>
          <w:tcPr>
            <w:tcW w:type="dxa" w:w="800"/>
            <w:shd w:fill="FFFFFF" w:color="auto" w:val="clear"/>
            <w:tcMar>
              <w:top w:type="dxa" w:w="40"/>
              <w:left w:type="dxa" w:w="70"/>
              <w:bottom w:type="dxa" w:w="40"/>
              <w:right w:type="dxa" w:w="70"/>
            </w:tcMar>
          </w:tcPr>
          <w:p>
            <w:pPr>
              <w:spacing w:after="0"/>
            </w:pPr>
            <w:r>
              <w:rPr>
                <w:sz w:val="17"/>
                <w:szCs w:val="17"/>
              </w:rPr>
              <w:t xml:space="preserve">yes</w:t>
            </w:r>
          </w:p>
        </w:tc>
        <w:tc>
          <w:tcPr>
            <w:tcW w:type="dxa" w:w="1200"/>
            <w:shd w:fill="FFFFFF" w:color="auto" w:val="clear"/>
            <w:tcMar>
              <w:top w:type="dxa" w:w="40"/>
              <w:left w:type="dxa" w:w="70"/>
              <w:bottom w:type="dxa" w:w="40"/>
              <w:right w:type="dxa" w:w="70"/>
            </w:tcMar>
          </w:tcPr>
          <w:p>
            <w:pPr>
              <w:spacing w:after="0"/>
            </w:pPr>
            <w:r>
              <w:rPr>
                <w:sz w:val="17"/>
                <w:szCs w:val="17"/>
              </w:rPr>
              <w:t xml:space="preserve">23 · 10</w:t>
            </w:r>
          </w:p>
        </w:tc>
        <w:tc>
          <w:tcPr>
            <w:tcW w:type="dxa" w:w="1900"/>
            <w:shd w:fill="FFFFFF" w:color="auto" w:val="clear"/>
            <w:tcMar>
              <w:top w:type="dxa" w:w="40"/>
              <w:left w:type="dxa" w:w="70"/>
              <w:bottom w:type="dxa" w:w="40"/>
              <w:right w:type="dxa" w:w="70"/>
            </w:tcMar>
          </w:tcPr>
          <w:p>
            <w:pPr>
              <w:spacing w:after="0"/>
            </w:pPr>
            <w:r>
              <w:rPr>
                <w:sz w:val="17"/>
                <w:szCs w:val="17"/>
              </w:rPr>
              <w:t xml:space="preserve">12.5% vs 4.0%</w:t>
            </w:r>
          </w:p>
        </w:tc>
        <w:tc>
          <w:tcPr>
            <w:tcW w:type="dxa" w:w="2272"/>
            <w:shd w:fill="FFFFFF" w:color="auto" w:val="clear"/>
            <w:tcMar>
              <w:top w:type="dxa" w:w="40"/>
              <w:left w:type="dxa" w:w="70"/>
              <w:bottom w:type="dxa" w:w="40"/>
              <w:right w:type="dxa" w:w="70"/>
            </w:tcMar>
          </w:tcPr>
          <w:p>
            <w:pPr>
              <w:spacing w:after="0"/>
            </w:pPr>
            <w:r>
              <w:rPr>
                <w:sz w:val="17"/>
                <w:szCs w:val="17"/>
              </w:rPr>
              <w:t xml:space="preserve">Push</w:t>
            </w:r>
          </w:p>
        </w:tc>
      </w:tr>
      <w:tr>
        <w:tc>
          <w:tcPr>
            <w:tcW w:type="dxa" w:w="2500"/>
            <w:shd w:fill="F2F5F9" w:color="auto" w:val="clear"/>
            <w:tcMar>
              <w:top w:type="dxa" w:w="40"/>
              <w:left w:type="dxa" w:w="70"/>
              <w:bottom w:type="dxa" w:w="40"/>
              <w:right w:type="dxa" w:w="70"/>
            </w:tcMar>
          </w:tcPr>
          <w:p>
            <w:pPr>
              <w:spacing w:after="0"/>
            </w:pPr>
            <w:r>
              <w:rPr>
                <w:sz w:val="17"/>
                <w:szCs w:val="17"/>
              </w:rPr>
              <w:t xml:space="preserve">queen bamboo sheet set</w:t>
            </w:r>
          </w:p>
        </w:tc>
        <w:tc>
          <w:tcPr>
            <w:tcW w:type="dxa" w:w="1300"/>
            <w:shd w:fill="F2F5F9" w:color="auto" w:val="clear"/>
            <w:tcMar>
              <w:top w:type="dxa" w:w="40"/>
              <w:left w:type="dxa" w:w="70"/>
              <w:bottom w:type="dxa" w:w="40"/>
              <w:right w:type="dxa" w:w="70"/>
            </w:tcMar>
          </w:tcPr>
          <w:p>
            <w:pPr>
              <w:spacing w:after="0"/>
            </w:pPr>
            <w:r>
              <w:rPr>
                <w:sz w:val="17"/>
                <w:szCs w:val="17"/>
              </w:rPr>
              <w:t xml:space="preserve">Queen Olive</w:t>
            </w:r>
          </w:p>
        </w:tc>
        <w:tc>
          <w:tcPr>
            <w:tcW w:type="dxa" w:w="800"/>
            <w:shd w:fill="F2F5F9" w:color="auto" w:val="clear"/>
            <w:tcMar>
              <w:top w:type="dxa" w:w="40"/>
              <w:left w:type="dxa" w:w="70"/>
              <w:bottom w:type="dxa" w:w="40"/>
              <w:right w:type="dxa" w:w="70"/>
            </w:tcMar>
          </w:tcPr>
          <w:p>
            <w:pPr>
              <w:spacing w:after="0"/>
            </w:pPr>
            <w:r>
              <w:rPr>
                <w:sz w:val="17"/>
                <w:szCs w:val="17"/>
              </w:rPr>
              <w:t xml:space="preserve">yes</w:t>
            </w:r>
          </w:p>
        </w:tc>
        <w:tc>
          <w:tcPr>
            <w:tcW w:type="dxa" w:w="1200"/>
            <w:shd w:fill="F2F5F9" w:color="auto" w:val="clear"/>
            <w:tcMar>
              <w:top w:type="dxa" w:w="40"/>
              <w:left w:type="dxa" w:w="70"/>
              <w:bottom w:type="dxa" w:w="40"/>
              <w:right w:type="dxa" w:w="70"/>
            </w:tcMar>
          </w:tcPr>
          <w:p>
            <w:pPr>
              <w:spacing w:after="0"/>
            </w:pPr>
            <w:r>
              <w:rPr>
                <w:sz w:val="17"/>
                <w:szCs w:val="17"/>
              </w:rPr>
              <w:t xml:space="preserve">25 · 6</w:t>
            </w:r>
          </w:p>
        </w:tc>
        <w:tc>
          <w:tcPr>
            <w:tcW w:type="dxa" w:w="1900"/>
            <w:shd w:fill="F2F5F9" w:color="auto" w:val="clear"/>
            <w:tcMar>
              <w:top w:type="dxa" w:w="40"/>
              <w:left w:type="dxa" w:w="70"/>
              <w:bottom w:type="dxa" w:w="40"/>
              <w:right w:type="dxa" w:w="70"/>
            </w:tcMar>
          </w:tcPr>
          <w:p>
            <w:pPr>
              <w:spacing w:after="0"/>
            </w:pPr>
            <w:r>
              <w:rPr>
                <w:sz w:val="17"/>
                <w:szCs w:val="17"/>
              </w:rPr>
              <w:t xml:space="preserve">21.1% vs 4.4%</w:t>
            </w:r>
          </w:p>
        </w:tc>
        <w:tc>
          <w:tcPr>
            <w:tcW w:type="dxa" w:w="2272"/>
            <w:shd w:fill="F2F5F9" w:color="auto" w:val="clear"/>
            <w:tcMar>
              <w:top w:type="dxa" w:w="40"/>
              <w:left w:type="dxa" w:w="70"/>
              <w:bottom w:type="dxa" w:w="40"/>
              <w:right w:type="dxa" w:w="70"/>
            </w:tcMar>
          </w:tcPr>
          <w:p>
            <w:pPr>
              <w:spacing w:after="0"/>
            </w:pPr>
            <w:r>
              <w:rPr>
                <w:sz w:val="17"/>
                <w:szCs w:val="17"/>
              </w:rPr>
              <w:t xml:space="preserve">Push on Queen White; base cut in the same write (52%)</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sheets queen</w:t>
            </w:r>
          </w:p>
        </w:tc>
        <w:tc>
          <w:tcPr>
            <w:tcW w:type="dxa" w:w="1300"/>
            <w:shd w:fill="FFFFFF" w:color="auto" w:val="clear"/>
            <w:tcMar>
              <w:top w:type="dxa" w:w="40"/>
              <w:left w:type="dxa" w:w="70"/>
              <w:bottom w:type="dxa" w:w="40"/>
              <w:right w:type="dxa" w:w="70"/>
            </w:tcMar>
          </w:tcPr>
          <w:p>
            <w:pPr>
              <w:spacing w:after="0"/>
            </w:pPr>
            <w:r>
              <w:rPr>
                <w:sz w:val="17"/>
                <w:szCs w:val="17"/>
              </w:rPr>
              <w:t xml:space="preserve">Queen Creme</w:t>
            </w:r>
          </w:p>
        </w:tc>
        <w:tc>
          <w:tcPr>
            <w:tcW w:type="dxa" w:w="800"/>
            <w:shd w:fill="FFFFFF" w:color="auto" w:val="clear"/>
            <w:tcMar>
              <w:top w:type="dxa" w:w="40"/>
              <w:left w:type="dxa" w:w="70"/>
              <w:bottom w:type="dxa" w:w="40"/>
              <w:right w:type="dxa" w:w="70"/>
            </w:tcMar>
          </w:tcPr>
          <w:p>
            <w:pPr>
              <w:spacing w:after="0"/>
            </w:pPr>
            <w:r>
              <w:rPr>
                <w:sz w:val="17"/>
                <w:szCs w:val="17"/>
              </w:rPr>
              <w:t xml:space="preserve">yes</w:t>
            </w:r>
          </w:p>
        </w:tc>
        <w:tc>
          <w:tcPr>
            <w:tcW w:type="dxa" w:w="1200"/>
            <w:shd w:fill="FFFFFF" w:color="auto" w:val="clear"/>
            <w:tcMar>
              <w:top w:type="dxa" w:w="40"/>
              <w:left w:type="dxa" w:w="70"/>
              <w:bottom w:type="dxa" w:w="40"/>
              <w:right w:type="dxa" w:w="70"/>
            </w:tcMar>
          </w:tcPr>
          <w:p>
            <w:pPr>
              <w:spacing w:after="0"/>
            </w:pPr>
            <w:r>
              <w:rPr>
                <w:sz w:val="17"/>
                <w:szCs w:val="17"/>
              </w:rPr>
              <w:t xml:space="preserve">58 · 5</w:t>
            </w:r>
          </w:p>
        </w:tc>
        <w:tc>
          <w:tcPr>
            <w:tcW w:type="dxa" w:w="1900"/>
            <w:shd w:fill="FFFFFF" w:color="auto" w:val="clear"/>
            <w:tcMar>
              <w:top w:type="dxa" w:w="40"/>
              <w:left w:type="dxa" w:w="70"/>
              <w:bottom w:type="dxa" w:w="40"/>
              <w:right w:type="dxa" w:w="70"/>
            </w:tcMar>
          </w:tcPr>
          <w:p>
            <w:pPr>
              <w:spacing w:after="0"/>
            </w:pPr>
            <w:r>
              <w:rPr>
                <w:sz w:val="17"/>
                <w:szCs w:val="17"/>
              </w:rPr>
              <w:t xml:space="preserve">30.6% vs 4.4%</w:t>
            </w:r>
          </w:p>
        </w:tc>
        <w:tc>
          <w:tcPr>
            <w:tcW w:type="dxa" w:w="2272"/>
            <w:shd w:fill="FFFFFF" w:color="auto" w:val="clear"/>
            <w:tcMar>
              <w:top w:type="dxa" w:w="40"/>
              <w:left w:type="dxa" w:w="70"/>
              <w:bottom w:type="dxa" w:w="40"/>
              <w:right w:type="dxa" w:w="70"/>
            </w:tcMar>
          </w:tcPr>
          <w:p>
            <w:pPr>
              <w:spacing w:after="0"/>
            </w:pPr>
            <w:r>
              <w:rPr>
                <w:sz w:val="17"/>
                <w:szCs w:val="17"/>
              </w:rPr>
              <w:t xml:space="preserve">Rank collapsing: fix the cause first (Section 13)</w:t>
            </w:r>
          </w:p>
        </w:tc>
      </w:tr>
      <w:tr>
        <w:tc>
          <w:tcPr>
            <w:tcW w:type="dxa" w:w="2500"/>
            <w:shd w:fill="F2F5F9" w:color="auto" w:val="clear"/>
            <w:tcMar>
              <w:top w:type="dxa" w:w="40"/>
              <w:left w:type="dxa" w:w="70"/>
              <w:bottom w:type="dxa" w:w="40"/>
              <w:right w:type="dxa" w:w="70"/>
            </w:tcMar>
          </w:tcPr>
          <w:p>
            <w:pPr>
              <w:spacing w:after="0"/>
            </w:pPr>
            <w:r>
              <w:rPr>
                <w:sz w:val="17"/>
                <w:szCs w:val="17"/>
              </w:rPr>
              <w:t xml:space="preserve">viscose bamboo sheets</w:t>
            </w:r>
          </w:p>
        </w:tc>
        <w:tc>
          <w:tcPr>
            <w:tcW w:type="dxa" w:w="1300"/>
            <w:shd w:fill="F2F5F9" w:color="auto" w:val="clear"/>
            <w:tcMar>
              <w:top w:type="dxa" w:w="40"/>
              <w:left w:type="dxa" w:w="70"/>
              <w:bottom w:type="dxa" w:w="40"/>
              <w:right w:type="dxa" w:w="70"/>
            </w:tcMar>
          </w:tcPr>
          <w:p>
            <w:pPr>
              <w:spacing w:after="0"/>
            </w:pPr>
            <w:r>
              <w:rPr>
                <w:sz w:val="17"/>
                <w:szCs w:val="17"/>
              </w:rPr>
              <w:t xml:space="preserve">Queen Olive</w:t>
            </w:r>
          </w:p>
        </w:tc>
        <w:tc>
          <w:tcPr>
            <w:tcW w:type="dxa" w:w="800"/>
            <w:shd w:fill="F2F5F9" w:color="auto" w:val="clear"/>
            <w:tcMar>
              <w:top w:type="dxa" w:w="40"/>
              <w:left w:type="dxa" w:w="70"/>
              <w:bottom w:type="dxa" w:w="40"/>
              <w:right w:type="dxa" w:w="70"/>
            </w:tcMar>
          </w:tcPr>
          <w:p>
            <w:pPr>
              <w:spacing w:after="0"/>
            </w:pPr>
            <w:r>
              <w:rPr>
                <w:sz w:val="17"/>
                <w:szCs w:val="17"/>
              </w:rPr>
              <w:t xml:space="preserve">added to the push</w:t>
            </w:r>
          </w:p>
        </w:tc>
        <w:tc>
          <w:tcPr>
            <w:tcW w:type="dxa" w:w="1200"/>
            <w:shd w:fill="F2F5F9" w:color="auto" w:val="clear"/>
            <w:tcMar>
              <w:top w:type="dxa" w:w="40"/>
              <w:left w:type="dxa" w:w="70"/>
              <w:bottom w:type="dxa" w:w="40"/>
              <w:right w:type="dxa" w:w="70"/>
            </w:tcMar>
          </w:tcPr>
          <w:p>
            <w:pPr>
              <w:spacing w:after="0"/>
            </w:pPr>
            <w:r>
              <w:rPr>
                <w:sz w:val="17"/>
                <w:szCs w:val="17"/>
              </w:rPr>
              <w:t xml:space="preserve">8 · 1</w:t>
            </w:r>
          </w:p>
        </w:tc>
        <w:tc>
          <w:tcPr>
            <w:tcW w:type="dxa" w:w="1900"/>
            <w:shd w:fill="F2F5F9" w:color="auto" w:val="clear"/>
            <w:tcMar>
              <w:top w:type="dxa" w:w="40"/>
              <w:left w:type="dxa" w:w="70"/>
              <w:bottom w:type="dxa" w:w="40"/>
              <w:right w:type="dxa" w:w="70"/>
            </w:tcMar>
          </w:tcPr>
          <w:p>
            <w:pPr>
              <w:spacing w:after="0"/>
            </w:pPr>
            <w:r>
              <w:rPr>
                <w:sz w:val="17"/>
                <w:szCs w:val="17"/>
              </w:rPr>
              <w:t xml:space="preserve">15.7% vs 2.7%</w:t>
            </w:r>
          </w:p>
        </w:tc>
        <w:tc>
          <w:tcPr>
            <w:tcW w:type="dxa" w:w="2272"/>
            <w:shd w:fill="F2F5F9" w:color="auto" w:val="clear"/>
            <w:tcMar>
              <w:top w:type="dxa" w:w="40"/>
              <w:left w:type="dxa" w:w="70"/>
              <w:bottom w:type="dxa" w:w="40"/>
              <w:right w:type="dxa" w:w="70"/>
            </w:tcMar>
          </w:tcPr>
          <w:p>
            <w:pPr>
              <w:spacing w:after="0"/>
            </w:pPr>
            <w:r>
              <w:rPr>
                <w:sz w:val="17"/>
                <w:szCs w:val="17"/>
              </w:rPr>
              <w:t xml:space="preserve">Push on Queen White; base cut in the same write (63%)</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sheets with corner straps</w:t>
            </w:r>
          </w:p>
        </w:tc>
        <w:tc>
          <w:tcPr>
            <w:tcW w:type="dxa" w:w="1300"/>
            <w:shd w:fill="FFFFFF" w:color="auto" w:val="clear"/>
            <w:tcMar>
              <w:top w:type="dxa" w:w="40"/>
              <w:left w:type="dxa" w:w="70"/>
              <w:bottom w:type="dxa" w:w="40"/>
              <w:right w:type="dxa" w:w="70"/>
            </w:tcMar>
          </w:tcPr>
          <w:p>
            <w:pPr>
              <w:spacing w:after="0"/>
            </w:pPr>
            <w:r>
              <w:rPr>
                <w:sz w:val="17"/>
                <w:szCs w:val="17"/>
              </w:rPr>
              <w:t xml:space="preserve">King White</w:t>
            </w:r>
          </w:p>
        </w:tc>
        <w:tc>
          <w:tcPr>
            <w:tcW w:type="dxa" w:w="800"/>
            <w:shd w:fill="FFFFFF" w:color="auto" w:val="clear"/>
            <w:tcMar>
              <w:top w:type="dxa" w:w="40"/>
              <w:left w:type="dxa" w:w="70"/>
              <w:bottom w:type="dxa" w:w="40"/>
              <w:right w:type="dxa" w:w="70"/>
            </w:tcMar>
          </w:tcPr>
          <w:p>
            <w:pPr>
              <w:spacing w:after="0"/>
            </w:pPr>
            <w:r>
              <w:rPr>
                <w:sz w:val="17"/>
                <w:szCs w:val="17"/>
              </w:rPr>
              <w:t xml:space="preserve">added to the push</w:t>
            </w:r>
          </w:p>
        </w:tc>
        <w:tc>
          <w:tcPr>
            <w:tcW w:type="dxa" w:w="1200"/>
            <w:shd w:fill="FFFFFF" w:color="auto" w:val="clear"/>
            <w:tcMar>
              <w:top w:type="dxa" w:w="40"/>
              <w:left w:type="dxa" w:w="70"/>
              <w:bottom w:type="dxa" w:w="40"/>
              <w:right w:type="dxa" w:w="70"/>
            </w:tcMar>
          </w:tcPr>
          <w:p>
            <w:pPr>
              <w:spacing w:after="0"/>
            </w:pPr>
            <w:r>
              <w:rPr>
                <w:sz w:val="17"/>
                <w:szCs w:val="17"/>
              </w:rPr>
              <w:t xml:space="preserve">7 · 1</w:t>
            </w:r>
          </w:p>
        </w:tc>
        <w:tc>
          <w:tcPr>
            <w:tcW w:type="dxa" w:w="1900"/>
            <w:shd w:fill="FFFFFF" w:color="auto" w:val="clear"/>
            <w:tcMar>
              <w:top w:type="dxa" w:w="40"/>
              <w:left w:type="dxa" w:w="70"/>
              <w:bottom w:type="dxa" w:w="40"/>
              <w:right w:type="dxa" w:w="70"/>
            </w:tcMar>
          </w:tcPr>
          <w:p>
            <w:pPr>
              <w:spacing w:after="0"/>
            </w:pPr>
            <w:r>
              <w:rPr>
                <w:sz w:val="17"/>
                <w:szCs w:val="17"/>
              </w:rPr>
              <w:t xml:space="preserve">22.0% vs 2.7%</w:t>
            </w:r>
          </w:p>
        </w:tc>
        <w:tc>
          <w:tcPr>
            <w:tcW w:type="dxa" w:w="2272"/>
            <w:shd w:fill="FFFFFF" w:color="auto" w:val="clear"/>
            <w:tcMar>
              <w:top w:type="dxa" w:w="40"/>
              <w:left w:type="dxa" w:w="70"/>
              <w:bottom w:type="dxa" w:w="40"/>
              <w:right w:type="dxa" w:w="70"/>
            </w:tcMar>
          </w:tcPr>
          <w:p>
            <w:pPr>
              <w:spacing w:after="0"/>
            </w:pPr>
            <w:r>
              <w:rPr>
                <w:sz w:val="17"/>
                <w:szCs w:val="17"/>
              </w:rPr>
              <w:t xml:space="preserve">Push; base cut in the same write (70%)</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bed sheets</w:t>
            </w:r>
          </w:p>
        </w:tc>
        <w:tc>
          <w:tcPr>
            <w:tcW w:type="dxa" w:w="1300"/>
            <w:shd w:fill="F2F5F9" w:color="auto" w:val="clear"/>
            <w:tcMar>
              <w:top w:type="dxa" w:w="40"/>
              <w:left w:type="dxa" w:w="70"/>
              <w:bottom w:type="dxa" w:w="40"/>
              <w:right w:type="dxa" w:w="70"/>
            </w:tcMar>
          </w:tcPr>
          <w:p>
            <w:pPr>
              <w:spacing w:after="0"/>
            </w:pPr>
            <w:r>
              <w:rPr>
                <w:sz w:val="17"/>
                <w:szCs w:val="17"/>
              </w:rPr>
              <w:t xml:space="preserve">King White</w:t>
            </w:r>
          </w:p>
        </w:tc>
        <w:tc>
          <w:tcPr>
            <w:tcW w:type="dxa" w:w="800"/>
            <w:shd w:fill="F2F5F9" w:color="auto" w:val="clear"/>
            <w:tcMar>
              <w:top w:type="dxa" w:w="40"/>
              <w:left w:type="dxa" w:w="70"/>
              <w:bottom w:type="dxa" w:w="40"/>
              <w:right w:type="dxa" w:w="70"/>
            </w:tcMar>
          </w:tcPr>
          <w:p>
            <w:pPr>
              <w:spacing w:after="0"/>
            </w:pPr>
            <w:r>
              <w:rPr>
                <w:sz w:val="17"/>
                <w:szCs w:val="17"/>
              </w:rPr>
              <w:t xml:space="preserve">added to the push</w:t>
            </w:r>
          </w:p>
        </w:tc>
        <w:tc>
          <w:tcPr>
            <w:tcW w:type="dxa" w:w="1200"/>
            <w:shd w:fill="F2F5F9" w:color="auto" w:val="clear"/>
            <w:tcMar>
              <w:top w:type="dxa" w:w="40"/>
              <w:left w:type="dxa" w:w="70"/>
              <w:bottom w:type="dxa" w:w="40"/>
              <w:right w:type="dxa" w:w="70"/>
            </w:tcMar>
          </w:tcPr>
          <w:p>
            <w:pPr>
              <w:spacing w:after="0"/>
            </w:pPr>
            <w:r>
              <w:rPr>
                <w:sz w:val="17"/>
                <w:szCs w:val="17"/>
              </w:rPr>
              <w:t xml:space="preserve">23 · 6</w:t>
            </w:r>
          </w:p>
        </w:tc>
        <w:tc>
          <w:tcPr>
            <w:tcW w:type="dxa" w:w="1900"/>
            <w:shd w:fill="F2F5F9" w:color="auto" w:val="clear"/>
            <w:tcMar>
              <w:top w:type="dxa" w:w="40"/>
              <w:left w:type="dxa" w:w="70"/>
              <w:bottom w:type="dxa" w:w="40"/>
              <w:right w:type="dxa" w:w="70"/>
            </w:tcMar>
          </w:tcPr>
          <w:p>
            <w:pPr>
              <w:spacing w:after="0"/>
            </w:pPr>
            <w:r>
              <w:rPr>
                <w:sz w:val="17"/>
                <w:szCs w:val="17"/>
              </w:rPr>
              <w:t xml:space="preserve">21.7% vs 2.7%</w:t>
            </w:r>
          </w:p>
        </w:tc>
        <w:tc>
          <w:tcPr>
            <w:tcW w:type="dxa" w:w="2272"/>
            <w:shd w:fill="F2F5F9" w:color="auto" w:val="clear"/>
            <w:tcMar>
              <w:top w:type="dxa" w:w="40"/>
              <w:left w:type="dxa" w:w="70"/>
              <w:bottom w:type="dxa" w:w="40"/>
              <w:right w:type="dxa" w:w="70"/>
            </w:tcMar>
          </w:tcPr>
          <w:p>
            <w:pPr>
              <w:spacing w:after="0"/>
            </w:pPr>
            <w:r>
              <w:rPr>
                <w:sz w:val="17"/>
                <w:szCs w:val="17"/>
              </w:rPr>
              <w:t xml:space="preserve">Push; base cut in the same write</w:t>
            </w:r>
          </w:p>
        </w:tc>
      </w:tr>
      <w:tr>
        <w:tc>
          <w:tcPr>
            <w:tcW w:type="dxa" w:w="2500"/>
            <w:shd w:fill="FFFFFF" w:color="auto" w:val="clear"/>
            <w:tcMar>
              <w:top w:type="dxa" w:w="40"/>
              <w:left w:type="dxa" w:w="70"/>
              <w:bottom w:type="dxa" w:w="40"/>
              <w:right w:type="dxa" w:w="70"/>
            </w:tcMar>
          </w:tcPr>
          <w:p>
            <w:pPr>
              <w:spacing w:after="0"/>
            </w:pPr>
            <w:r>
              <w:rPr>
                <w:sz w:val="17"/>
                <w:szCs w:val="17"/>
              </w:rPr>
              <w:t xml:space="preserve">black bamboo sheets</w:t>
            </w:r>
          </w:p>
        </w:tc>
        <w:tc>
          <w:tcPr>
            <w:tcW w:type="dxa" w:w="1300"/>
            <w:shd w:fill="FFFFFF" w:color="auto" w:val="clear"/>
            <w:tcMar>
              <w:top w:type="dxa" w:w="40"/>
              <w:left w:type="dxa" w:w="70"/>
              <w:bottom w:type="dxa" w:w="40"/>
              <w:right w:type="dxa" w:w="70"/>
            </w:tcMar>
          </w:tcPr>
          <w:p>
            <w:pPr>
              <w:spacing w:after="0"/>
            </w:pPr>
            <w:r>
              <w:rPr>
                <w:sz w:val="17"/>
                <w:szCs w:val="17"/>
              </w:rPr>
              <w:t xml:space="preserve">King Black</w:t>
            </w:r>
          </w:p>
        </w:tc>
        <w:tc>
          <w:tcPr>
            <w:tcW w:type="dxa" w:w="800"/>
            <w:shd w:fill="FFFFFF" w:color="auto" w:val="clear"/>
            <w:tcMar>
              <w:top w:type="dxa" w:w="40"/>
              <w:left w:type="dxa" w:w="70"/>
              <w:bottom w:type="dxa" w:w="40"/>
              <w:right w:type="dxa" w:w="70"/>
            </w:tcMar>
          </w:tcPr>
          <w:p>
            <w:pPr>
              <w:spacing w:after="0"/>
            </w:pPr>
            <w:r>
              <w:rPr>
                <w:sz w:val="17"/>
                <w:szCs w:val="17"/>
              </w:rPr>
              <w:t xml:space="preserve">no</w:t>
            </w:r>
          </w:p>
        </w:tc>
        <w:tc>
          <w:tcPr>
            <w:tcW w:type="dxa" w:w="1200"/>
            <w:shd w:fill="FFFFFF" w:color="auto" w:val="clear"/>
            <w:tcMar>
              <w:top w:type="dxa" w:w="40"/>
              <w:left w:type="dxa" w:w="70"/>
              <w:bottom w:type="dxa" w:w="40"/>
              <w:right w:type="dxa" w:w="70"/>
            </w:tcMar>
          </w:tcPr>
          <w:p>
            <w:pPr>
              <w:spacing w:after="0"/>
            </w:pPr>
            <w:r>
              <w:rPr>
                <w:sz w:val="17"/>
                <w:szCs w:val="17"/>
              </w:rPr>
              <w:t xml:space="preserve">not tracked · 5</w:t>
            </w:r>
          </w:p>
        </w:tc>
        <w:tc>
          <w:tcPr>
            <w:tcW w:type="dxa" w:w="1900"/>
            <w:shd w:fill="FFFFFF" w:color="auto" w:val="clear"/>
            <w:tcMar>
              <w:top w:type="dxa" w:w="40"/>
              <w:left w:type="dxa" w:w="70"/>
              <w:bottom w:type="dxa" w:w="40"/>
              <w:right w:type="dxa" w:w="70"/>
            </w:tcMar>
          </w:tcPr>
          <w:p>
            <w:pPr>
              <w:spacing w:after="0"/>
            </w:pPr>
            <w:r>
              <w:rPr>
                <w:sz w:val="17"/>
                <w:szCs w:val="17"/>
              </w:rPr>
              <w:t xml:space="preserve">18.2% vs 2.7%</w:t>
            </w:r>
          </w:p>
        </w:tc>
        <w:tc>
          <w:tcPr>
            <w:tcW w:type="dxa" w:w="2272"/>
            <w:shd w:fill="FFFFFF" w:color="auto" w:val="clear"/>
            <w:tcMar>
              <w:top w:type="dxa" w:w="40"/>
              <w:left w:type="dxa" w:w="70"/>
              <w:bottom w:type="dxa" w:w="40"/>
              <w:right w:type="dxa" w:w="70"/>
            </w:tcMar>
          </w:tcPr>
          <w:p>
            <w:pPr>
              <w:spacing w:after="0"/>
            </w:pPr>
            <w:r>
              <w:rPr>
                <w:sz w:val="17"/>
                <w:szCs w:val="17"/>
              </w:rPr>
              <w:t xml:space="preserve">Colour term: conversions, at break-even; base cut (57%)</w:t>
            </w:r>
          </w:p>
        </w:tc>
      </w:tr>
    </w:tbl>
    <w:p>
      <w:pPr>
        <w:spacing w:after="120"/>
      </w:pPr>
      <w:r>
        <w:rPr>
          <w:i/>
          <w:iCs/>
          <w:color w:val="555555"/>
          <w:sz w:val="17"/>
          <w:szCs w:val="17"/>
        </w:rPr>
        <w:t xml:space="preserve">Top-of-search conversion and product-page shares are 30–45-day reads from Amazon’s placement report. Ranks: our daily organic rank crawl, 28 September. The register uses a second rank table that differs by about 7–8 places on average, so its ranks can differ.</w:t>
      </w:r>
    </w:p>
    <w:p>
      <w:pPr>
        <w:pStyle w:val="Heading2"/>
      </w:pPr>
      <w:r>
        <w:t xml:space="preserve">5.5 How the correct price is worked out —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000"/>
        <w:gridCol w:w="1500"/>
        <w:gridCol w:w="1300"/>
        <w:gridCol w:w="2422"/>
      </w:tblGrid>
      <w:tr>
        <w:trPr>
          <w:tblHeader/>
        </w:trPr>
        <w:tc>
          <w:tcPr>
            <w:tcW w:type="dxa" w:w="25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250"/>
            <w:shd w:fill="1F3A5F" w:color="auto" w:val="clear"/>
            <w:tcMar>
              <w:top w:type="dxa" w:w="40"/>
              <w:left w:type="dxa" w:w="70"/>
              <w:bottom w:type="dxa" w:w="40"/>
              <w:right w:type="dxa" w:w="70"/>
            </w:tcMar>
          </w:tcPr>
          <w:p>
            <w:pPr>
              <w:spacing w:after="0"/>
            </w:pPr>
            <w:r>
              <w:rPr>
                <w:b/>
                <w:bCs/>
                <w:color w:val="FFFFFF"/>
                <w:sz w:val="17"/>
                <w:szCs w:val="17"/>
              </w:rPr>
              <w:t xml:space="preserve">Break-even</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Rank now → target</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Push price</w:t>
            </w:r>
          </w:p>
        </w:tc>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Now · audit</w:t>
            </w:r>
          </w:p>
        </w:tc>
        <w:tc>
          <w:tcPr>
            <w:tcW w:type="dxa" w:w="2422"/>
            <w:shd w:fill="1F3A5F" w:color="auto" w:val="clear"/>
            <w:tcMar>
              <w:top w:type="dxa" w:w="40"/>
              <w:left w:type="dxa" w:w="70"/>
              <w:bottom w:type="dxa" w:w="40"/>
              <w:right w:type="dxa" w:w="70"/>
            </w:tcMar>
          </w:tcPr>
          <w:p>
            <w:pPr>
              <w:spacing w:after="0"/>
            </w:pPr>
            <w:r>
              <w:rPr>
                <w:b/>
                <w:bCs/>
                <w:color w:val="FFFFFF"/>
                <w:sz w:val="17"/>
                <w:szCs w:val="17"/>
              </w:rPr>
              <w:t xml:space="preserve">Correct move</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 (VHSV), “bamboo sheets”</w:t>
            </w:r>
          </w:p>
        </w:tc>
        <w:tc>
          <w:tcPr>
            <w:tcW w:type="dxa" w:w="1250"/>
            <w:shd w:fill="FFFFFF" w:color="auto" w:val="clear"/>
            <w:tcMar>
              <w:top w:type="dxa" w:w="40"/>
              <w:left w:type="dxa" w:w="70"/>
              <w:bottom w:type="dxa" w:w="40"/>
              <w:right w:type="dxa" w:w="70"/>
            </w:tcMar>
          </w:tcPr>
          <w:p>
            <w:pPr>
              <w:spacing w:after="0"/>
            </w:pPr>
            <w:r>
              <w:rPr>
                <w:sz w:val="17"/>
                <w:szCs w:val="17"/>
              </w:rPr>
              <w:t xml:space="preserve">$3.08 = King White $15.97 × 19.3%</w:t>
            </w:r>
          </w:p>
        </w:tc>
        <w:tc>
          <w:tcPr>
            <w:tcW w:type="dxa" w:w="1000"/>
            <w:shd w:fill="FFFFFF" w:color="auto" w:val="clear"/>
            <w:tcMar>
              <w:top w:type="dxa" w:w="40"/>
              <w:left w:type="dxa" w:w="70"/>
              <w:bottom w:type="dxa" w:w="40"/>
              <w:right w:type="dxa" w:w="70"/>
            </w:tcMar>
          </w:tcPr>
          <w:p>
            <w:pPr>
              <w:spacing w:after="0"/>
            </w:pPr>
            <w:r>
              <w:rPr>
                <w:sz w:val="17"/>
                <w:szCs w:val="17"/>
              </w:rPr>
              <w:t xml:space="preserve">29 → 9</w:t>
            </w:r>
          </w:p>
        </w:tc>
        <w:tc>
          <w:tcPr>
            <w:tcW w:type="dxa" w:w="1500"/>
            <w:shd w:fill="FFFFFF" w:color="auto" w:val="clear"/>
            <w:tcMar>
              <w:top w:type="dxa" w:w="40"/>
              <w:left w:type="dxa" w:w="70"/>
              <w:bottom w:type="dxa" w:w="40"/>
              <w:right w:type="dxa" w:w="70"/>
            </w:tcMar>
          </w:tcPr>
          <w:p>
            <w:pPr>
              <w:spacing w:after="0"/>
            </w:pPr>
            <w:r>
              <w:rPr>
                <w:sz w:val="17"/>
                <w:szCs w:val="17"/>
              </w:rPr>
              <w:t xml:space="preserve">$3.08 × 2.11 = $6.50, capped at 2× = $6.16</w:t>
            </w:r>
          </w:p>
        </w:tc>
        <w:tc>
          <w:tcPr>
            <w:tcW w:type="dxa" w:w="1300"/>
            <w:shd w:fill="FFFFFF" w:color="auto" w:val="clear"/>
            <w:tcMar>
              <w:top w:type="dxa" w:w="40"/>
              <w:left w:type="dxa" w:w="70"/>
              <w:bottom w:type="dxa" w:w="40"/>
              <w:right w:type="dxa" w:w="70"/>
            </w:tcMar>
          </w:tcPr>
          <w:p>
            <w:pPr>
              <w:spacing w:after="0"/>
            </w:pPr>
            <w:r>
              <w:rPr>
                <w:sz w:val="17"/>
                <w:szCs w:val="17"/>
              </w:rPr>
              <w:t xml:space="preserve">$6.10 · $6.52</w:t>
            </w:r>
          </w:p>
        </w:tc>
        <w:tc>
          <w:tcPr>
            <w:tcW w:type="dxa" w:w="2422"/>
            <w:shd w:fill="FFFFFF" w:color="auto" w:val="clear"/>
            <w:tcMar>
              <w:top w:type="dxa" w:w="40"/>
              <w:left w:type="dxa" w:w="70"/>
              <w:bottom w:type="dxa" w:w="40"/>
              <w:right w:type="dxa" w:w="70"/>
            </w:tcMar>
          </w:tcPr>
          <w:p>
            <w:pPr>
              <w:spacing w:after="0"/>
            </w:pPr>
            <w:r>
              <w:rPr>
                <w:sz w:val="17"/>
                <w:szCs w:val="17"/>
              </w:rPr>
              <w:t xml:space="preserve">$6.16 on fixed bidding, with the base $1.60 → $1.20 and boost 413%</w:t>
            </w:r>
          </w:p>
        </w:tc>
      </w:tr>
      <w:tr>
        <w:tc>
          <w:tcPr>
            <w:tcW w:type="dxa" w:w="2500"/>
            <w:shd w:fill="F2F5F9" w:color="auto" w:val="clear"/>
            <w:tcMar>
              <w:top w:type="dxa" w:w="40"/>
              <w:left w:type="dxa" w:w="70"/>
              <w:bottom w:type="dxa" w:w="40"/>
              <w:right w:type="dxa" w:w="70"/>
            </w:tcMar>
          </w:tcPr>
          <w:p>
            <w:pPr>
              <w:spacing w:after="0"/>
            </w:pPr>
            <w:r>
              <w:rPr>
                <w:sz w:val="17"/>
                <w:szCs w:val="17"/>
              </w:rPr>
              <w:t xml:space="preserve">Full Size Bamboo Sheets [Full]</w:t>
            </w:r>
          </w:p>
        </w:tc>
        <w:tc>
          <w:tcPr>
            <w:tcW w:type="dxa" w:w="1250"/>
            <w:shd w:fill="F2F5F9" w:color="auto" w:val="clear"/>
            <w:tcMar>
              <w:top w:type="dxa" w:w="40"/>
              <w:left w:type="dxa" w:w="70"/>
              <w:bottom w:type="dxa" w:w="40"/>
              <w:right w:type="dxa" w:w="70"/>
            </w:tcMar>
          </w:tcPr>
          <w:p>
            <w:pPr>
              <w:spacing w:after="0"/>
            </w:pPr>
            <w:r>
              <w:rPr>
                <w:sz w:val="17"/>
                <w:szCs w:val="17"/>
              </w:rPr>
              <w:t xml:space="preserve">$3.20 = Full White $22.06 × 14.5%</w:t>
            </w:r>
          </w:p>
        </w:tc>
        <w:tc>
          <w:tcPr>
            <w:tcW w:type="dxa" w:w="1000"/>
            <w:shd w:fill="F2F5F9" w:color="auto" w:val="clear"/>
            <w:tcMar>
              <w:top w:type="dxa" w:w="40"/>
              <w:left w:type="dxa" w:w="70"/>
              <w:bottom w:type="dxa" w:w="40"/>
              <w:right w:type="dxa" w:w="70"/>
            </w:tcMar>
          </w:tcPr>
          <w:p>
            <w:pPr>
              <w:spacing w:after="0"/>
            </w:pPr>
            <w:r>
              <w:rPr>
                <w:sz w:val="17"/>
                <w:szCs w:val="17"/>
              </w:rPr>
              <w:t xml:space="preserve">23 → 10</w:t>
            </w:r>
          </w:p>
        </w:tc>
        <w:tc>
          <w:tcPr>
            <w:tcW w:type="dxa" w:w="1500"/>
            <w:shd w:fill="F2F5F9" w:color="auto" w:val="clear"/>
            <w:tcMar>
              <w:top w:type="dxa" w:w="40"/>
              <w:left w:type="dxa" w:w="70"/>
              <w:bottom w:type="dxa" w:w="40"/>
              <w:right w:type="dxa" w:w="70"/>
            </w:tcMar>
          </w:tcPr>
          <w:p>
            <w:pPr>
              <w:spacing w:after="0"/>
            </w:pPr>
            <w:r>
              <w:rPr>
                <w:sz w:val="17"/>
                <w:szCs w:val="17"/>
              </w:rPr>
              <w:t xml:space="preserve">$3.20 × 1.65 = $5.28</w:t>
            </w:r>
          </w:p>
        </w:tc>
        <w:tc>
          <w:tcPr>
            <w:tcW w:type="dxa" w:w="1300"/>
            <w:shd w:fill="F2F5F9" w:color="auto" w:val="clear"/>
            <w:tcMar>
              <w:top w:type="dxa" w:w="40"/>
              <w:left w:type="dxa" w:w="70"/>
              <w:bottom w:type="dxa" w:w="40"/>
              <w:right w:type="dxa" w:w="70"/>
            </w:tcMar>
          </w:tcPr>
          <w:p>
            <w:pPr>
              <w:spacing w:after="0"/>
            </w:pPr>
            <w:r>
              <w:rPr>
                <w:sz w:val="17"/>
                <w:szCs w:val="17"/>
              </w:rPr>
              <w:t xml:space="preserve">$8.43 · $14.77</w:t>
            </w:r>
          </w:p>
        </w:tc>
        <w:tc>
          <w:tcPr>
            <w:tcW w:type="dxa" w:w="2422"/>
            <w:shd w:fill="F2F5F9" w:color="auto" w:val="clear"/>
            <w:tcMar>
              <w:top w:type="dxa" w:w="40"/>
              <w:left w:type="dxa" w:w="70"/>
              <w:bottom w:type="dxa" w:w="40"/>
              <w:right w:type="dxa" w:w="70"/>
            </w:tcMar>
          </w:tcPr>
          <w:p>
            <w:pPr>
              <w:spacing w:after="0"/>
            </w:pPr>
            <w:r>
              <w:rPr>
                <w:sz w:val="17"/>
                <w:szCs w:val="17"/>
              </w:rPr>
              <w:t xml:space="preserve">$5.28 (−37%) on fixed bidding</w:t>
            </w:r>
          </w:p>
        </w:tc>
      </w:tr>
      <w:tr>
        <w:tc>
          <w:tcPr>
            <w:tcW w:type="dxa" w:w="2500"/>
            <w:shd w:fill="FFFFFF" w:color="auto" w:val="clear"/>
            <w:tcMar>
              <w:top w:type="dxa" w:w="40"/>
              <w:left w:type="dxa" w:w="70"/>
              <w:bottom w:type="dxa" w:w="40"/>
              <w:right w:type="dxa" w:w="70"/>
            </w:tcMar>
          </w:tcPr>
          <w:p>
            <w:pPr>
              <w:spacing w:after="0"/>
            </w:pPr>
            <w:r>
              <w:rPr>
                <w:sz w:val="17"/>
                <w:szCs w:val="17"/>
              </w:rPr>
              <w:t xml:space="preserve">Queen Size Bamboo Sheets Set [Queen], “queen bamboo sheet set”, on Queen Olive</w:t>
            </w:r>
          </w:p>
        </w:tc>
        <w:tc>
          <w:tcPr>
            <w:tcW w:type="dxa" w:w="1250"/>
            <w:shd w:fill="FFFFFF" w:color="auto" w:val="clear"/>
            <w:tcMar>
              <w:top w:type="dxa" w:w="40"/>
              <w:left w:type="dxa" w:w="70"/>
              <w:bottom w:type="dxa" w:w="40"/>
              <w:right w:type="dxa" w:w="70"/>
            </w:tcMar>
          </w:tcPr>
          <w:p>
            <w:pPr>
              <w:spacing w:after="0"/>
            </w:pPr>
            <w:r>
              <w:rPr>
                <w:sz w:val="17"/>
                <w:szCs w:val="17"/>
              </w:rPr>
              <w:t xml:space="preserve">$3.55 once on Queen White = $19.51 × 18.2% (on Olive today: $12.43 × 18.2% = $2.26)</w:t>
            </w:r>
          </w:p>
        </w:tc>
        <w:tc>
          <w:tcPr>
            <w:tcW w:type="dxa" w:w="1000"/>
            <w:shd w:fill="FFFFFF" w:color="auto" w:val="clear"/>
            <w:tcMar>
              <w:top w:type="dxa" w:w="40"/>
              <w:left w:type="dxa" w:w="70"/>
              <w:bottom w:type="dxa" w:w="40"/>
              <w:right w:type="dxa" w:w="70"/>
            </w:tcMar>
          </w:tcPr>
          <w:p>
            <w:pPr>
              <w:spacing w:after="0"/>
            </w:pPr>
            <w:r>
              <w:rPr>
                <w:sz w:val="17"/>
                <w:szCs w:val="17"/>
              </w:rPr>
              <w:t xml:space="preserve">25 → 6</w:t>
            </w:r>
          </w:p>
        </w:tc>
        <w:tc>
          <w:tcPr>
            <w:tcW w:type="dxa" w:w="1500"/>
            <w:shd w:fill="FFFFFF" w:color="auto" w:val="clear"/>
            <w:tcMar>
              <w:top w:type="dxa" w:w="40"/>
              <w:left w:type="dxa" w:w="70"/>
              <w:bottom w:type="dxa" w:w="40"/>
              <w:right w:type="dxa" w:w="70"/>
            </w:tcMar>
          </w:tcPr>
          <w:p>
            <w:pPr>
              <w:spacing w:after="0"/>
            </w:pPr>
            <w:r>
              <w:rPr>
                <w:sz w:val="17"/>
                <w:szCs w:val="17"/>
              </w:rPr>
              <w:t xml:space="preserve">$3.55 × 2.58 = $9.16, capped at 2× = $7.10</w:t>
            </w:r>
          </w:p>
        </w:tc>
        <w:tc>
          <w:tcPr>
            <w:tcW w:type="dxa" w:w="1300"/>
            <w:shd w:fill="FFFFFF" w:color="auto" w:val="clear"/>
            <w:tcMar>
              <w:top w:type="dxa" w:w="40"/>
              <w:left w:type="dxa" w:w="70"/>
              <w:bottom w:type="dxa" w:w="40"/>
              <w:right w:type="dxa" w:w="70"/>
            </w:tcMar>
          </w:tcPr>
          <w:p>
            <w:pPr>
              <w:spacing w:after="0"/>
            </w:pPr>
            <w:r>
              <w:rPr>
                <w:sz w:val="17"/>
                <w:szCs w:val="17"/>
              </w:rPr>
              <w:t xml:space="preserve">$7.89 · $13.80</w:t>
            </w:r>
          </w:p>
        </w:tc>
        <w:tc>
          <w:tcPr>
            <w:tcW w:type="dxa" w:w="2422"/>
            <w:shd w:fill="FFFFFF" w:color="auto" w:val="clear"/>
            <w:tcMar>
              <w:top w:type="dxa" w:w="40"/>
              <w:left w:type="dxa" w:w="70"/>
              <w:bottom w:type="dxa" w:w="40"/>
              <w:right w:type="dxa" w:w="70"/>
            </w:tcMar>
          </w:tcPr>
          <w:p>
            <w:pPr>
              <w:spacing w:after="0"/>
            </w:pPr>
            <w:r>
              <w:rPr>
                <w:sz w:val="17"/>
                <w:szCs w:val="17"/>
              </w:rPr>
              <w:t xml:space="preserve">Move the ad to Queen White, cut the base $1.70 → $1.28 and set $7.10, in one write</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Sheets Queen Size (HSV), Queen White</w:t>
            </w:r>
          </w:p>
        </w:tc>
        <w:tc>
          <w:tcPr>
            <w:tcW w:type="dxa" w:w="1250"/>
            <w:shd w:fill="F2F5F9" w:color="auto" w:val="clear"/>
            <w:tcMar>
              <w:top w:type="dxa" w:w="40"/>
              <w:left w:type="dxa" w:w="70"/>
              <w:bottom w:type="dxa" w:w="40"/>
              <w:right w:type="dxa" w:w="70"/>
            </w:tcMar>
          </w:tcPr>
          <w:p>
            <w:pPr>
              <w:spacing w:after="0"/>
            </w:pPr>
            <w:r>
              <w:rPr>
                <w:sz w:val="17"/>
                <w:szCs w:val="17"/>
              </w:rPr>
              <w:t xml:space="preserve">$4.43 = Queen White $19.51 × 22.7%</w:t>
            </w:r>
          </w:p>
        </w:tc>
        <w:tc>
          <w:tcPr>
            <w:tcW w:type="dxa" w:w="1000"/>
            <w:shd w:fill="F2F5F9" w:color="auto" w:val="clear"/>
            <w:tcMar>
              <w:top w:type="dxa" w:w="40"/>
              <w:left w:type="dxa" w:w="70"/>
              <w:bottom w:type="dxa" w:w="40"/>
              <w:right w:type="dxa" w:w="70"/>
            </w:tcMar>
          </w:tcPr>
          <w:p>
            <w:pPr>
              <w:spacing w:after="0"/>
            </w:pPr>
            <w:r>
              <w:rPr>
                <w:sz w:val="17"/>
                <w:szCs w:val="17"/>
              </w:rPr>
              <w:t xml:space="preserve">21 → 5</w:t>
            </w:r>
          </w:p>
        </w:tc>
        <w:tc>
          <w:tcPr>
            <w:tcW w:type="dxa" w:w="1500"/>
            <w:shd w:fill="F2F5F9" w:color="auto" w:val="clear"/>
            <w:tcMar>
              <w:top w:type="dxa" w:w="40"/>
              <w:left w:type="dxa" w:w="70"/>
              <w:bottom w:type="dxa" w:w="40"/>
              <w:right w:type="dxa" w:w="70"/>
            </w:tcMar>
          </w:tcPr>
          <w:p>
            <w:pPr>
              <w:spacing w:after="0"/>
            </w:pPr>
            <w:r>
              <w:rPr>
                <w:sz w:val="17"/>
                <w:szCs w:val="17"/>
              </w:rPr>
              <w:t xml:space="preserve">$11.52, capped at 2× = $8.86</w:t>
            </w:r>
          </w:p>
        </w:tc>
        <w:tc>
          <w:tcPr>
            <w:tcW w:type="dxa" w:w="1300"/>
            <w:shd w:fill="F2F5F9" w:color="auto" w:val="clear"/>
            <w:tcMar>
              <w:top w:type="dxa" w:w="40"/>
              <w:left w:type="dxa" w:w="70"/>
              <w:bottom w:type="dxa" w:w="40"/>
              <w:right w:type="dxa" w:w="70"/>
            </w:tcMar>
          </w:tcPr>
          <w:p>
            <w:pPr>
              <w:spacing w:after="0"/>
            </w:pPr>
            <w:r>
              <w:rPr>
                <w:sz w:val="17"/>
                <w:szCs w:val="17"/>
              </w:rPr>
              <w:t xml:space="preserve">$5.93 · no price change</w:t>
            </w:r>
          </w:p>
        </w:tc>
        <w:tc>
          <w:tcPr>
            <w:tcW w:type="dxa" w:w="2422"/>
            <w:shd w:fill="F2F5F9" w:color="auto" w:val="clear"/>
            <w:tcMar>
              <w:top w:type="dxa" w:w="40"/>
              <w:left w:type="dxa" w:w="70"/>
              <w:bottom w:type="dxa" w:w="40"/>
              <w:right w:type="dxa" w:w="70"/>
            </w:tcMar>
          </w:tcPr>
          <w:p>
            <w:pPr>
              <w:spacing w:after="0"/>
            </w:pPr>
            <w:r>
              <w:rPr>
                <w:sz w:val="17"/>
                <w:szCs w:val="17"/>
              </w:rPr>
              <w:t xml:space="preserve">Base $1.37 → $1.03 and top of search +30% to $7.71, in one write. Then up to 30% a day toward $8.86 until it holds the top. Stay on White (the audit moves it to Olive).</w:t>
            </w:r>
          </w:p>
        </w:tc>
      </w:tr>
      <w:tr>
        <w:tc>
          <w:tcPr>
            <w:tcW w:type="dxa" w:w="2500"/>
            <w:shd w:fill="FFFFFF" w:color="auto" w:val="clear"/>
            <w:tcMar>
              <w:top w:type="dxa" w:w="40"/>
              <w:left w:type="dxa" w:w="70"/>
              <w:bottom w:type="dxa" w:w="40"/>
              <w:right w:type="dxa" w:w="70"/>
            </w:tcMar>
          </w:tcPr>
          <w:p>
            <w:pPr>
              <w:spacing w:after="0"/>
            </w:pPr>
            <w:r>
              <w:rPr>
                <w:sz w:val="17"/>
                <w:szCs w:val="17"/>
              </w:rPr>
              <w:t xml:space="preserve">Bamboo Sheets Queen [MSV], on Queen Creme</w:t>
            </w:r>
          </w:p>
        </w:tc>
        <w:tc>
          <w:tcPr>
            <w:tcW w:type="dxa" w:w="1250"/>
            <w:shd w:fill="FFFFFF" w:color="auto" w:val="clear"/>
            <w:tcMar>
              <w:top w:type="dxa" w:w="40"/>
              <w:left w:type="dxa" w:w="70"/>
              <w:bottom w:type="dxa" w:w="40"/>
              <w:right w:type="dxa" w:w="70"/>
            </w:tcMar>
          </w:tcPr>
          <w:p>
            <w:pPr>
              <w:spacing w:after="0"/>
            </w:pPr>
            <w:r>
              <w:rPr>
                <w:sz w:val="17"/>
                <w:szCs w:val="17"/>
              </w:rPr>
              <w:t xml:space="preserve">$4.96 once on Queen White = $19.51 × 25.4% (on Creme today: $5.72)</w:t>
            </w:r>
          </w:p>
        </w:tc>
        <w:tc>
          <w:tcPr>
            <w:tcW w:type="dxa" w:w="1000"/>
            <w:shd w:fill="FFFFFF" w:color="auto" w:val="clear"/>
            <w:tcMar>
              <w:top w:type="dxa" w:w="40"/>
              <w:left w:type="dxa" w:w="70"/>
              <w:bottom w:type="dxa" w:w="40"/>
              <w:right w:type="dxa" w:w="70"/>
            </w:tcMar>
          </w:tcPr>
          <w:p>
            <w:pPr>
              <w:spacing w:after="0"/>
            </w:pPr>
            <w:r>
              <w:rPr>
                <w:sz w:val="17"/>
                <w:szCs w:val="17"/>
              </w:rPr>
              <w:t xml:space="preserve">58 → 5</w:t>
            </w:r>
          </w:p>
        </w:tc>
        <w:tc>
          <w:tcPr>
            <w:tcW w:type="dxa" w:w="1500"/>
            <w:shd w:fill="FFFFFF" w:color="auto" w:val="clear"/>
            <w:tcMar>
              <w:top w:type="dxa" w:w="40"/>
              <w:left w:type="dxa" w:w="70"/>
              <w:bottom w:type="dxa" w:w="40"/>
              <w:right w:type="dxa" w:w="70"/>
            </w:tcMar>
          </w:tcPr>
          <w:p>
            <w:pPr>
              <w:spacing w:after="0"/>
            </w:pPr>
            <w:r>
              <w:rPr>
                <w:sz w:val="17"/>
                <w:szCs w:val="17"/>
              </w:rPr>
              <w:t xml:space="preserve">none while rank collapses</w:t>
            </w:r>
          </w:p>
        </w:tc>
        <w:tc>
          <w:tcPr>
            <w:tcW w:type="dxa" w:w="1300"/>
            <w:shd w:fill="FFFFFF" w:color="auto" w:val="clear"/>
            <w:tcMar>
              <w:top w:type="dxa" w:w="40"/>
              <w:left w:type="dxa" w:w="70"/>
              <w:bottom w:type="dxa" w:w="40"/>
              <w:right w:type="dxa" w:w="70"/>
            </w:tcMar>
          </w:tcPr>
          <w:p>
            <w:pPr>
              <w:spacing w:after="0"/>
            </w:pPr>
            <w:r>
              <w:rPr>
                <w:sz w:val="17"/>
                <w:szCs w:val="17"/>
              </w:rPr>
              <w:t xml:space="preserve">$4.18 · $7.32</w:t>
            </w:r>
          </w:p>
        </w:tc>
        <w:tc>
          <w:tcPr>
            <w:tcW w:type="dxa" w:w="2422"/>
            <w:shd w:fill="FFFFFF" w:color="auto" w:val="clear"/>
            <w:tcMar>
              <w:top w:type="dxa" w:w="40"/>
              <w:left w:type="dxa" w:w="70"/>
              <w:bottom w:type="dxa" w:w="40"/>
              <w:right w:type="dxa" w:w="70"/>
            </w:tcMar>
          </w:tcPr>
          <w:p>
            <w:pPr>
              <w:spacing w:after="0"/>
            </w:pPr>
            <w:r>
              <w:rPr>
                <w:sz w:val="17"/>
                <w:szCs w:val="17"/>
              </w:rPr>
              <w:t xml:space="preserve">Hold $4.18, move the ad to Queen White, and fix the cause first (Section 13)</w:t>
            </w:r>
          </w:p>
        </w:tc>
      </w:tr>
      <w:tr>
        <w:tc>
          <w:tcPr>
            <w:tcW w:type="dxa" w:w="2500"/>
            <w:shd w:fill="F2F5F9" w:color="auto" w:val="clear"/>
            <w:tcMar>
              <w:top w:type="dxa" w:w="40"/>
              <w:left w:type="dxa" w:w="70"/>
              <w:bottom w:type="dxa" w:w="40"/>
              <w:right w:type="dxa" w:w="70"/>
            </w:tcMar>
          </w:tcPr>
          <w:p>
            <w:pPr>
              <w:spacing w:after="0"/>
            </w:pPr>
            <w:r>
              <w:rPr>
                <w:sz w:val="17"/>
                <w:szCs w:val="17"/>
              </w:rPr>
              <w:t xml:space="preserve">Bamboo Cooling Sheets (MSV), on Queen Creme</w:t>
            </w:r>
          </w:p>
        </w:tc>
        <w:tc>
          <w:tcPr>
            <w:tcW w:type="dxa" w:w="1250"/>
            <w:shd w:fill="F2F5F9" w:color="auto" w:val="clear"/>
            <w:tcMar>
              <w:top w:type="dxa" w:w="40"/>
              <w:left w:type="dxa" w:w="70"/>
              <w:bottom w:type="dxa" w:w="40"/>
              <w:right w:type="dxa" w:w="70"/>
            </w:tcMar>
          </w:tcPr>
          <w:p>
            <w:pPr>
              <w:spacing w:after="0"/>
            </w:pPr>
            <w:r>
              <w:rPr>
                <w:sz w:val="17"/>
                <w:szCs w:val="17"/>
              </w:rPr>
              <w:t xml:space="preserve">$2.24 once on Queen White = $19.51 × 11.5%</w:t>
            </w:r>
          </w:p>
        </w:tc>
        <w:tc>
          <w:tcPr>
            <w:tcW w:type="dxa" w:w="1000"/>
            <w:shd w:fill="F2F5F9" w:color="auto" w:val="clear"/>
            <w:tcMar>
              <w:top w:type="dxa" w:w="40"/>
              <w:left w:type="dxa" w:w="70"/>
              <w:bottom w:type="dxa" w:w="40"/>
              <w:right w:type="dxa" w:w="70"/>
            </w:tcMar>
          </w:tcPr>
          <w:p>
            <w:pPr>
              <w:spacing w:after="0"/>
            </w:pPr>
            <w:r>
              <w:rPr>
                <w:sz w:val="17"/>
                <w:szCs w:val="17"/>
              </w:rPr>
              <w:t xml:space="preserve">20 → 5</w:t>
            </w:r>
          </w:p>
        </w:tc>
        <w:tc>
          <w:tcPr>
            <w:tcW w:type="dxa" w:w="1500"/>
            <w:shd w:fill="F2F5F9" w:color="auto" w:val="clear"/>
            <w:tcMar>
              <w:top w:type="dxa" w:w="40"/>
              <w:left w:type="dxa" w:w="70"/>
              <w:bottom w:type="dxa" w:w="40"/>
              <w:right w:type="dxa" w:w="70"/>
            </w:tcMar>
          </w:tcPr>
          <w:p>
            <w:pPr>
              <w:spacing w:after="0"/>
            </w:pPr>
            <w:r>
              <w:rPr>
                <w:sz w:val="17"/>
                <w:szCs w:val="17"/>
              </w:rPr>
              <w:t xml:space="preserve">$5.61, capped at 2× = $4.49</w:t>
            </w:r>
          </w:p>
        </w:tc>
        <w:tc>
          <w:tcPr>
            <w:tcW w:type="dxa" w:w="1300"/>
            <w:shd w:fill="F2F5F9" w:color="auto" w:val="clear"/>
            <w:tcMar>
              <w:top w:type="dxa" w:w="40"/>
              <w:left w:type="dxa" w:w="70"/>
              <w:bottom w:type="dxa" w:w="40"/>
              <w:right w:type="dxa" w:w="70"/>
            </w:tcMar>
          </w:tcPr>
          <w:p>
            <w:pPr>
              <w:spacing w:after="0"/>
            </w:pPr>
            <w:r>
              <w:rPr>
                <w:sz w:val="17"/>
                <w:szCs w:val="17"/>
              </w:rPr>
              <w:t xml:space="preserve">$3.16 · $5.53</w:t>
            </w:r>
          </w:p>
        </w:tc>
        <w:tc>
          <w:tcPr>
            <w:tcW w:type="dxa" w:w="2422"/>
            <w:shd w:fill="F2F5F9" w:color="auto" w:val="clear"/>
            <w:tcMar>
              <w:top w:type="dxa" w:w="40"/>
              <w:left w:type="dxa" w:w="70"/>
              <w:bottom w:type="dxa" w:w="40"/>
              <w:right w:type="dxa" w:w="70"/>
            </w:tcMar>
          </w:tcPr>
          <w:p>
            <w:pPr>
              <w:spacing w:after="0"/>
            </w:pPr>
            <w:r>
              <w:rPr>
                <w:sz w:val="17"/>
                <w:szCs w:val="17"/>
              </w:rPr>
              <w:t xml:space="preserve">Move the ad to Queen White, cut the base $1.58 → $1.19 and set $4.11 (+30%), in one write; then up to 30% a day toward $4.49</w:t>
            </w:r>
          </w:p>
        </w:tc>
      </w:tr>
    </w:tbl>
    <w:p>
      <w:pPr>
        <w:spacing w:after="120"/>
      </w:pPr>
      <w:r>
        <w:rPr>
          <w:i/>
          <w:iCs/>
          <w:color w:val="555555"/>
          <w:sz w:val="17"/>
          <w:szCs w:val="17"/>
        </w:rPr>
        <w:t xml:space="preserve">Premium = (rank now ÷ target − 1) × 50%, or +25% when the ratio is 1.5 or less; the push price never exceeds twice break-even and steps up by at most 30% a day. Break-even = the advertised colour’s Sellerboard margin × the campaign’s top-of-search conversion; where the ad moves to White, it is priced on White’s margin. “Now · audit” = today’s top-of-search price and what the audit writes.</w:t>
      </w:r>
    </w:p>
    <w:p>
      <w:pPr>
        <w:pStyle w:val="Heading2"/>
      </w:pPr>
      <w:r>
        <w:t xml:space="preserve">5.6 “bamboo sheets”</w:t>
      </w:r>
    </w:p>
    <w:p>
      <w:pPr>
        <w:spacing w:after="100"/>
      </w:pPr>
      <w:r>
        <w:t xml:space="preserve">It is B6’s biggest term: about 116,000 searches a month, and 116 units a week in the audit’s plan at rank 9. In the last 30 days its exact campaign took 760 clicks at 15.3% conversion and spent $2,958. At the top it beats the market on click-through and on conversion (19.3% against 2.7%), and King White has 1,406 units Available. It meets every push condition.</w:t>
      </w:r>
    </w:p>
    <w:p>
      <w:pPr>
        <w:spacing w:after="100"/>
      </w:pPr>
      <w:r>
        <w:t xml:space="preserve">The audit marks it out of focus and contradicts itself three times:</w:t>
      </w:r>
    </w:p>
    <w:p>
      <w:pPr>
        <w:pStyle w:val="ListParagraph"/>
        <w:numPr>
          <w:ilvl w:val="0"/>
          <w:numId w:val="3"/>
        </w:numPr>
        <w:spacing w:after="60"/>
      </w:pPr>
      <w:r>
        <w:t xml:space="preserve">It calls its change a step down to $5.65.</w:t>
      </w:r>
    </w:p>
    <w:p>
      <w:pPr>
        <w:pStyle w:val="ListParagraph"/>
        <w:numPr>
          <w:ilvl w:val="0"/>
          <w:numId w:val="3"/>
        </w:numPr>
        <w:spacing w:after="60"/>
      </w:pPr>
      <w:r>
        <w:t xml:space="preserve">Its own check then holds that step down (“placement problem, not performance”).</w:t>
      </w:r>
    </w:p>
    <w:p>
      <w:pPr>
        <w:pStyle w:val="ListParagraph"/>
        <w:numPr>
          <w:ilvl w:val="0"/>
          <w:numId w:val="3"/>
        </w:numPr>
        <w:spacing w:after="60"/>
      </w:pPr>
      <w:r>
        <w:t xml:space="preserve">The change it actually writes (base $1.60 → $1.39, boost 281% → 369%) raises the price from $6.10 to $6.52, while its notes say the price holds to the cent.</w:t>
      </w:r>
    </w:p>
    <w:p>
      <w:pPr>
        <w:spacing w:after="100"/>
      </w:pPr>
      <w:r>
        <w:t xml:space="preserve">The push price here, $6.16, is within 6% of the audit’s number. The real correction is fixed bidding and a deeper base cut.</w:t>
      </w:r>
    </w:p>
    <w:p>
      <w:pPr>
        <w:spacing w:after="100"/>
      </w:pPr>
      <w:r>
        <w:t xml:space="preserve">It buys too little at the top: 39% of its clicks, against 57% on product pages, and 1.5% of the top-of-search impressions. The plan asks for 69 top-of-search clicks a day (about 40 after the overlap scaling in Section 12); it gets 7. The fix is the mix and fixed bidding more than a higher price:</w:t>
      </w:r>
    </w:p>
    <w:p>
      <w:pPr>
        <w:pStyle w:val="ListParagraph"/>
        <w:numPr>
          <w:ilvl w:val="0"/>
          <w:numId w:val="3"/>
        </w:numPr>
        <w:spacing w:after="60"/>
      </w:pPr>
      <w:r>
        <w:t xml:space="preserve">Base $1.60 → $1.20.</w:t>
      </w:r>
    </w:p>
    <w:p>
      <w:pPr>
        <w:pStyle w:val="ListParagraph"/>
        <w:numPr>
          <w:ilvl w:val="0"/>
          <w:numId w:val="3"/>
        </w:numPr>
        <w:spacing w:after="60"/>
      </w:pPr>
      <w:r>
        <w:t xml:space="preserve">Boost 413%.</w:t>
      </w:r>
    </w:p>
    <w:p>
      <w:pPr>
        <w:pStyle w:val="ListParagraph"/>
        <w:numPr>
          <w:ilvl w:val="0"/>
          <w:numId w:val="3"/>
        </w:numPr>
        <w:spacing w:after="60"/>
      </w:pPr>
      <w:r>
        <w:t xml:space="preserve">Fixed bidding, which puts it at $6.16 at the top.</w:t>
      </w:r>
    </w:p>
    <w:p>
      <w:pPr>
        <w:pStyle w:val="ListParagraph"/>
        <w:numPr>
          <w:ilvl w:val="0"/>
          <w:numId w:val="3"/>
        </w:numPr>
        <w:spacing w:after="60"/>
      </w:pPr>
      <w:r>
        <w:t xml:space="preserve">Exclude “bamboo sheets” from the five broad discovery campaigns that took 47 clicks and 1 order on it in 30 days.</w:t>
      </w:r>
    </w:p>
    <w:p>
      <w:pPr>
        <w:spacing w:after="100"/>
      </w:pPr>
      <w:r>
        <w:rPr>
          <w:b/>
          <w:bCs/>
          <w:color w:val="1F3A5F"/>
        </w:rPr>
        <w:t xml:space="preserve">In the push plan. </w:t>
      </w:r>
      <w:r>
        <w:t xml:space="preserve">69 top-of-search clicks a day at $6.16 is about $425 a day and should bring about 13 orders a day (Section 5.3).</w:t>
      </w:r>
    </w:p>
    <w:p>
      <w:pPr>
        <w:pStyle w:val="Heading2"/>
      </w:pPr>
      <w:r>
        <w:t xml:space="preserve">5.7 Every focus campaign gets a move this week</w:t>
      </w:r>
    </w:p>
    <w:p>
      <w:pPr>
        <w:spacing w:after="100"/>
      </w:pPr>
      <w:r>
        <w:t xml:space="preserve">No focus campaign is held for review. Each gets one of these moves:</w:t>
      </w:r>
    </w:p>
    <w:p>
      <w:pPr>
        <w:pStyle w:val="ListParagraph"/>
        <w:numPr>
          <w:ilvl w:val="0"/>
          <w:numId w:val="3"/>
        </w:numPr>
        <w:spacing w:after="60"/>
      </w:pPr>
      <w:r>
        <w:rPr>
          <w:b/>
          <w:bCs/>
        </w:rPr>
        <w:t xml:space="preserve">Push </w:t>
      </w:r>
      <w:r>
        <w:t xml:space="preserve">where it is in the plan: fixed bidding, the base cut and push price in one write, daily steps until it holds the top, and a budget for its planned clicks.</w:t>
      </w:r>
    </w:p>
    <w:p>
      <w:pPr>
        <w:pStyle w:val="ListParagraph"/>
        <w:numPr>
          <w:ilvl w:val="0"/>
          <w:numId w:val="3"/>
        </w:numPr>
        <w:spacing w:after="60"/>
      </w:pPr>
      <w:r>
        <w:rPr>
          <w:b/>
          <w:bCs/>
        </w:rPr>
        <w:t xml:space="preserve">Fix what stops it qualifying, </w:t>
      </w:r>
      <w:r>
        <w:t xml:space="preserve">at break-even in the meantime: fix the mix (Section 8), move the ad to White (Section 6), or restart a paused keyword (Section 7).</w:t>
      </w:r>
    </w:p>
    <w:p>
      <w:pPr>
        <w:pStyle w:val="ListParagraph"/>
        <w:numPr>
          <w:ilvl w:val="0"/>
          <w:numId w:val="3"/>
        </w:numPr>
        <w:spacing w:after="60"/>
      </w:pPr>
      <w:r>
        <w:rPr>
          <w:b/>
          <w:bCs/>
        </w:rPr>
        <w:t xml:space="preserve">Too few clicks to judge: </w:t>
      </w:r>
      <w:r>
        <w:t xml:space="preserve">break-even until the campaign has 15 top-of-search clicks, on fixed bidding so it can collect them.</w:t>
      </w:r>
    </w:p>
    <w:p>
      <w:pPr>
        <w:pStyle w:val="Heading2"/>
      </w:pPr>
      <w:r>
        <w:t xml:space="preserve">5.8 How the push is paid for</w:t>
      </w:r>
    </w:p>
    <w:p>
      <w:pPr>
        <w:spacing w:after="100"/>
      </w:pPr>
      <w:r>
        <w:t xml:space="preserve">The push grows spend on purpose; that is what buys rank at the speed True Bamboo showed. Part of it is paid for by:</w:t>
      </w:r>
    </w:p>
    <w:p>
      <w:pPr>
        <w:pStyle w:val="ListParagraph"/>
        <w:numPr>
          <w:ilvl w:val="0"/>
          <w:numId w:val="3"/>
        </w:numPr>
        <w:spacing w:after="60"/>
      </w:pPr>
      <w:r>
        <w:t xml:space="preserve">Product-page clicks on ranking campaigns: 52% of all clicks, at about $2 each.</w:t>
      </w:r>
    </w:p>
    <w:p>
      <w:pPr>
        <w:pStyle w:val="ListParagraph"/>
        <w:numPr>
          <w:ilvl w:val="0"/>
          <w:numId w:val="3"/>
        </w:numPr>
        <w:spacing w:after="60"/>
      </w:pPr>
      <w:r>
        <w:t xml:space="preserve">Out-of-focus ranking campaigns coming down to break-even.</w:t>
      </w:r>
    </w:p>
    <w:p>
      <w:pPr>
        <w:pStyle w:val="ListParagraph"/>
        <w:numPr>
          <w:ilvl w:val="0"/>
          <w:numId w:val="3"/>
        </w:numPr>
        <w:spacing w:after="60"/>
      </w:pPr>
      <w:r>
        <w:t xml:space="preserve">The 15 new campaigns and the retags not launched mid-deal: about $590 a day in the audit’s forecast.</w:t>
      </w:r>
    </w:p>
    <w:p>
      <w:pPr>
        <w:pStyle w:val="ListParagraph"/>
        <w:numPr>
          <w:ilvl w:val="0"/>
          <w:numId w:val="3"/>
        </w:numPr>
        <w:spacing w:after="60"/>
      </w:pPr>
      <w:r>
        <w:t xml:space="preserve">No 75% jumps.</w:t>
      </w:r>
    </w:p>
    <w:p>
      <w:pPr>
        <w:spacing w:after="100"/>
      </w:pPr>
      <w:r>
        <w:t xml:space="preserve">The rest is new money. That is why the push budget is approved separately, for three weeks, and tuned weekly on rank movement.</w:t>
      </w:r>
    </w:p>
    <w:p>
      <w:pPr>
        <w:pStyle w:val="Heading1"/>
      </w:pPr>
      <w:r>
        <w:t xml:space="preserve">6. Which colour each campaign advertises</w:t>
      </w:r>
    </w:p>
    <w:p>
      <w:pPr>
        <w:spacing w:after="100"/>
      </w:pPr>
      <w:r>
        <w:t xml:space="preserve">Ranking campaigns advertise White, the best seller in every size and part of the deal. Move to the next-best seller only when White’s Available stock can’t last until its next arrival: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2000"/>
        <w:gridCol w:w="2872"/>
      </w:tblGrid>
      <w:tr>
        <w:trPr>
          <w:tblHeader/>
        </w:trPr>
        <w:tc>
          <w:tcPr>
            <w:tcW w:type="dxa" w:w="1400"/>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3700"/>
            <w:shd w:fill="1F3A5F" w:color="auto" w:val="clear"/>
            <w:tcMar>
              <w:top w:type="dxa" w:w="40"/>
              <w:left w:type="dxa" w:w="70"/>
              <w:bottom w:type="dxa" w:w="40"/>
              <w:right w:type="dxa" w:w="70"/>
            </w:tcMar>
          </w:tcPr>
          <w:p>
            <w:pPr>
              <w:spacing w:after="0"/>
            </w:pPr>
            <w:r>
              <w:rPr>
                <w:b/>
                <w:bCs/>
                <w:color w:val="FFFFFF"/>
                <w:sz w:val="17"/>
                <w:szCs w:val="17"/>
              </w:rPr>
              <w:t xml:space="preserve">White: 30-day units · Available stock</w:t>
            </w:r>
          </w:p>
        </w:tc>
        <w:tc>
          <w:tcPr>
            <w:tcW w:type="dxa" w:w="2000"/>
            <w:shd w:fill="1F3A5F" w:color="auto" w:val="clear"/>
            <w:tcMar>
              <w:top w:type="dxa" w:w="40"/>
              <w:left w:type="dxa" w:w="70"/>
              <w:bottom w:type="dxa" w:w="40"/>
              <w:right w:type="dxa" w:w="70"/>
            </w:tcMar>
          </w:tcPr>
          <w:p>
            <w:pPr>
              <w:spacing w:after="0"/>
            </w:pPr>
            <w:r>
              <w:rPr>
                <w:b/>
                <w:bCs/>
                <w:color w:val="FFFFFF"/>
                <w:sz w:val="17"/>
                <w:szCs w:val="17"/>
              </w:rPr>
              <w:t xml:space="preserve">Audit moves ranking ads to</w:t>
            </w:r>
          </w:p>
        </w:tc>
        <w:tc>
          <w:tcPr>
            <w:tcW w:type="dxa" w:w="2872"/>
            <w:shd w:fill="1F3A5F" w:color="auto" w:val="clear"/>
            <w:tcMar>
              <w:top w:type="dxa" w:w="40"/>
              <w:left w:type="dxa" w:w="70"/>
              <w:bottom w:type="dxa" w:w="40"/>
              <w:right w:type="dxa" w:w="70"/>
            </w:tcMar>
          </w:tcPr>
          <w:p>
            <w:pPr>
              <w:spacing w:after="0"/>
            </w:pPr>
            <w:r>
              <w:rPr>
                <w:b/>
                <w:bCs/>
                <w:color w:val="FFFFFF"/>
                <w:sz w:val="17"/>
                <w:szCs w:val="17"/>
              </w:rPr>
              <w:t xml:space="preserve">Correct ranking colour</w:t>
            </w:r>
          </w:p>
        </w:tc>
      </w:tr>
      <w:tr>
        <w:tc>
          <w:tcPr>
            <w:tcW w:type="dxa" w:w="1400"/>
            <w:shd w:fill="FFFFFF" w:color="auto" w:val="clear"/>
            <w:tcMar>
              <w:top w:type="dxa" w:w="40"/>
              <w:left w:type="dxa" w:w="70"/>
              <w:bottom w:type="dxa" w:w="40"/>
              <w:right w:type="dxa" w:w="70"/>
            </w:tcMar>
          </w:tcPr>
          <w:p>
            <w:pPr>
              <w:spacing w:after="0"/>
            </w:pPr>
            <w:r>
              <w:rPr>
                <w:sz w:val="17"/>
                <w:szCs w:val="17"/>
              </w:rPr>
              <w:t xml:space="preserve">King</w:t>
            </w:r>
          </w:p>
        </w:tc>
        <w:tc>
          <w:tcPr>
            <w:tcW w:type="dxa" w:w="3700"/>
            <w:shd w:fill="FFFFFF" w:color="auto" w:val="clear"/>
            <w:tcMar>
              <w:top w:type="dxa" w:w="40"/>
              <w:left w:type="dxa" w:w="70"/>
              <w:bottom w:type="dxa" w:w="40"/>
              <w:right w:type="dxa" w:w="70"/>
            </w:tcMar>
          </w:tcPr>
          <w:p>
            <w:pPr>
              <w:spacing w:after="0"/>
            </w:pPr>
            <w:r>
              <w:rPr>
                <w:sz w:val="17"/>
                <w:szCs w:val="17"/>
              </w:rPr>
              <w:t xml:space="preserve">219 units (#1 in the size) · 1,406 = 193 days at the 30-day pace (132 at the recent pace)</w:t>
            </w:r>
          </w:p>
        </w:tc>
        <w:tc>
          <w:tcPr>
            <w:tcW w:type="dxa" w:w="2000"/>
            <w:shd w:fill="FFFFFF" w:color="auto" w:val="clear"/>
            <w:tcMar>
              <w:top w:type="dxa" w:w="40"/>
              <w:left w:type="dxa" w:w="70"/>
              <w:bottom w:type="dxa" w:w="40"/>
              <w:right w:type="dxa" w:w="70"/>
            </w:tcMar>
          </w:tcPr>
          <w:p>
            <w:pPr>
              <w:spacing w:after="0"/>
            </w:pPr>
            <w:r>
              <w:rPr>
                <w:sz w:val="17"/>
                <w:szCs w:val="17"/>
              </w:rPr>
              <w:t xml:space="preserve">White (8 campaigns, 2 of them from other sizes)</w:t>
            </w:r>
          </w:p>
        </w:tc>
        <w:tc>
          <w:tcPr>
            <w:tcW w:type="dxa" w:w="2872"/>
            <w:shd w:fill="FFFFFF" w:color="auto" w:val="clear"/>
            <w:tcMar>
              <w:top w:type="dxa" w:w="40"/>
              <w:left w:type="dxa" w:w="70"/>
              <w:bottom w:type="dxa" w:w="40"/>
              <w:right w:type="dxa" w:w="70"/>
            </w:tcMar>
          </w:tcPr>
          <w:p>
            <w:pPr>
              <w:spacing w:after="0"/>
            </w:pPr>
            <w:r>
              <w:rPr>
                <w:sz w:val="17"/>
                <w:szCs w:val="17"/>
              </w:rPr>
              <w:t xml:space="preserve">White</w:t>
            </w:r>
          </w:p>
        </w:tc>
      </w:tr>
      <w:tr>
        <w:tc>
          <w:tcPr>
            <w:tcW w:type="dxa" w:w="1400"/>
            <w:shd w:fill="F2F5F9" w:color="auto" w:val="clear"/>
            <w:tcMar>
              <w:top w:type="dxa" w:w="40"/>
              <w:left w:type="dxa" w:w="70"/>
              <w:bottom w:type="dxa" w:w="40"/>
              <w:right w:type="dxa" w:w="70"/>
            </w:tcMar>
          </w:tcPr>
          <w:p>
            <w:pPr>
              <w:spacing w:after="0"/>
            </w:pPr>
            <w:r>
              <w:rPr>
                <w:sz w:val="17"/>
                <w:szCs w:val="17"/>
              </w:rPr>
              <w:t xml:space="preserve">Queen</w:t>
            </w:r>
          </w:p>
        </w:tc>
        <w:tc>
          <w:tcPr>
            <w:tcW w:type="dxa" w:w="3700"/>
            <w:shd w:fill="F2F5F9" w:color="auto" w:val="clear"/>
            <w:tcMar>
              <w:top w:type="dxa" w:w="40"/>
              <w:left w:type="dxa" w:w="70"/>
              <w:bottom w:type="dxa" w:w="40"/>
              <w:right w:type="dxa" w:w="70"/>
            </w:tcMar>
          </w:tcPr>
          <w:p>
            <w:pPr>
              <w:spacing w:after="0"/>
            </w:pPr>
            <w:r>
              <w:rPr>
                <w:sz w:val="17"/>
                <w:szCs w:val="17"/>
              </w:rPr>
              <w:t xml:space="preserve">166 units (#1) · 323 = 58 days at the 30-day pace (47 at the recent pace); 1,002 arriving about 30 Oct (32 days away)</w:t>
            </w:r>
          </w:p>
        </w:tc>
        <w:tc>
          <w:tcPr>
            <w:tcW w:type="dxa" w:w="2000"/>
            <w:shd w:fill="F2F5F9" w:color="auto" w:val="clear"/>
            <w:tcMar>
              <w:top w:type="dxa" w:w="40"/>
              <w:left w:type="dxa" w:w="70"/>
              <w:bottom w:type="dxa" w:w="40"/>
              <w:right w:type="dxa" w:w="70"/>
            </w:tcMar>
          </w:tcPr>
          <w:p>
            <w:pPr>
              <w:spacing w:after="0"/>
            </w:pPr>
            <w:r>
              <w:rPr>
                <w:sz w:val="17"/>
                <w:szCs w:val="17"/>
              </w:rPr>
              <w:t xml:space="preserve">Olive (75 campaigns)</w:t>
            </w:r>
          </w:p>
        </w:tc>
        <w:tc>
          <w:tcPr>
            <w:tcW w:type="dxa" w:w="2872"/>
            <w:shd w:fill="F2F5F9" w:color="auto" w:val="clear"/>
            <w:tcMar>
              <w:top w:type="dxa" w:w="40"/>
              <w:left w:type="dxa" w:w="70"/>
              <w:bottom w:type="dxa" w:w="40"/>
              <w:right w:type="dxa" w:w="70"/>
            </w:tcMar>
          </w:tcPr>
          <w:p>
            <w:pPr>
              <w:spacing w:after="0"/>
            </w:pPr>
            <w:r>
              <w:rPr>
                <w:sz w:val="17"/>
                <w:szCs w:val="17"/>
              </w:rPr>
              <w:t xml:space="preserve">White. Move to Light Blue (same price) only if White’s cover drops below the days left to the arrival.</w:t>
            </w:r>
          </w:p>
        </w:tc>
      </w:tr>
      <w:tr>
        <w:tc>
          <w:tcPr>
            <w:tcW w:type="dxa" w:w="1400"/>
            <w:shd w:fill="FFFFFF" w:color="auto" w:val="clear"/>
            <w:tcMar>
              <w:top w:type="dxa" w:w="40"/>
              <w:left w:type="dxa" w:w="70"/>
              <w:bottom w:type="dxa" w:w="40"/>
              <w:right w:type="dxa" w:w="70"/>
            </w:tcMar>
          </w:tcPr>
          <w:p>
            <w:pPr>
              <w:spacing w:after="0"/>
            </w:pPr>
            <w:r>
              <w:rPr>
                <w:sz w:val="17"/>
                <w:szCs w:val="17"/>
              </w:rPr>
              <w:t xml:space="preserve">Full</w:t>
            </w:r>
          </w:p>
        </w:tc>
        <w:tc>
          <w:tcPr>
            <w:tcW w:type="dxa" w:w="3700"/>
            <w:shd w:fill="FFFFFF" w:color="auto" w:val="clear"/>
            <w:tcMar>
              <w:top w:type="dxa" w:w="40"/>
              <w:left w:type="dxa" w:w="70"/>
              <w:bottom w:type="dxa" w:w="40"/>
              <w:right w:type="dxa" w:w="70"/>
            </w:tcMar>
          </w:tcPr>
          <w:p>
            <w:pPr>
              <w:spacing w:after="0"/>
            </w:pPr>
            <w:r>
              <w:rPr>
                <w:sz w:val="17"/>
                <w:szCs w:val="17"/>
              </w:rPr>
              <w:t xml:space="preserve">51 units (#1) · 62 = 36 days (26 recent); 78 inbound</w:t>
            </w:r>
          </w:p>
        </w:tc>
        <w:tc>
          <w:tcPr>
            <w:tcW w:type="dxa" w:w="2000"/>
            <w:shd w:fill="FFFFFF" w:color="auto" w:val="clear"/>
            <w:tcMar>
              <w:top w:type="dxa" w:w="40"/>
              <w:left w:type="dxa" w:w="70"/>
              <w:bottom w:type="dxa" w:w="40"/>
              <w:right w:type="dxa" w:w="70"/>
            </w:tcMar>
          </w:tcPr>
          <w:p>
            <w:pPr>
              <w:spacing w:after="0"/>
            </w:pPr>
            <w:r>
              <w:rPr>
                <w:sz w:val="17"/>
                <w:szCs w:val="17"/>
              </w:rPr>
              <w:t xml:space="preserve">White (1 from Creme)</w:t>
            </w:r>
          </w:p>
        </w:tc>
        <w:tc>
          <w:tcPr>
            <w:tcW w:type="dxa" w:w="2872"/>
            <w:shd w:fill="FFFFFF" w:color="auto" w:val="clear"/>
            <w:tcMar>
              <w:top w:type="dxa" w:w="40"/>
              <w:left w:type="dxa" w:w="70"/>
              <w:bottom w:type="dxa" w:w="40"/>
              <w:right w:type="dxa" w:w="70"/>
            </w:tcMar>
          </w:tcPr>
          <w:p>
            <w:pPr>
              <w:spacing w:after="0"/>
            </w:pPr>
            <w:r>
              <w:rPr>
                <w:sz w:val="17"/>
                <w:szCs w:val="17"/>
              </w:rPr>
              <w:t xml:space="preserve">White</w:t>
            </w:r>
          </w:p>
        </w:tc>
      </w:tr>
      <w:tr>
        <w:tc>
          <w:tcPr>
            <w:tcW w:type="dxa" w:w="1400"/>
            <w:shd w:fill="F2F5F9" w:color="auto" w:val="clear"/>
            <w:tcMar>
              <w:top w:type="dxa" w:w="40"/>
              <w:left w:type="dxa" w:w="70"/>
              <w:bottom w:type="dxa" w:w="40"/>
              <w:right w:type="dxa" w:w="70"/>
            </w:tcMar>
          </w:tcPr>
          <w:p>
            <w:pPr>
              <w:spacing w:after="0"/>
            </w:pPr>
            <w:r>
              <w:rPr>
                <w:sz w:val="17"/>
                <w:szCs w:val="17"/>
              </w:rPr>
              <w:t xml:space="preserve">California King</w:t>
            </w:r>
          </w:p>
        </w:tc>
        <w:tc>
          <w:tcPr>
            <w:tcW w:type="dxa" w:w="3700"/>
            <w:shd w:fill="F2F5F9" w:color="auto" w:val="clear"/>
            <w:tcMar>
              <w:top w:type="dxa" w:w="40"/>
              <w:left w:type="dxa" w:w="70"/>
              <w:bottom w:type="dxa" w:w="40"/>
              <w:right w:type="dxa" w:w="70"/>
            </w:tcMar>
          </w:tcPr>
          <w:p>
            <w:pPr>
              <w:spacing w:after="0"/>
            </w:pPr>
            <w:r>
              <w:rPr>
                <w:sz w:val="17"/>
                <w:szCs w:val="17"/>
              </w:rPr>
              <w:t xml:space="preserve">27 units (#1) · 53 = 59 days (32 recent); 72 inbound</w:t>
            </w:r>
          </w:p>
        </w:tc>
        <w:tc>
          <w:tcPr>
            <w:tcW w:type="dxa" w:w="2000"/>
            <w:shd w:fill="F2F5F9" w:color="auto" w:val="clear"/>
            <w:tcMar>
              <w:top w:type="dxa" w:w="40"/>
              <w:left w:type="dxa" w:w="70"/>
              <w:bottom w:type="dxa" w:w="40"/>
              <w:right w:type="dxa" w:w="70"/>
            </w:tcMar>
          </w:tcPr>
          <w:p>
            <w:pPr>
              <w:spacing w:after="0"/>
            </w:pPr>
            <w:r>
              <w:rPr>
                <w:sz w:val="17"/>
                <w:szCs w:val="17"/>
              </w:rPr>
              <w:t xml:space="preserve">White (3 from Sage Green)</w:t>
            </w:r>
          </w:p>
        </w:tc>
        <w:tc>
          <w:tcPr>
            <w:tcW w:type="dxa" w:w="2872"/>
            <w:shd w:fill="F2F5F9" w:color="auto" w:val="clear"/>
            <w:tcMar>
              <w:top w:type="dxa" w:w="40"/>
              <w:left w:type="dxa" w:w="70"/>
              <w:bottom w:type="dxa" w:w="40"/>
              <w:right w:type="dxa" w:w="70"/>
            </w:tcMar>
          </w:tcPr>
          <w:p>
            <w:pPr>
              <w:spacing w:after="0"/>
            </w:pPr>
            <w:r>
              <w:rPr>
                <w:sz w:val="17"/>
                <w:szCs w:val="17"/>
              </w:rPr>
              <w:t xml:space="preserve">White</w:t>
            </w:r>
          </w:p>
        </w:tc>
      </w:tr>
      <w:tr>
        <w:tc>
          <w:tcPr>
            <w:tcW w:type="dxa" w:w="1400"/>
            <w:shd w:fill="FFFFFF" w:color="auto" w:val="clear"/>
            <w:tcMar>
              <w:top w:type="dxa" w:w="40"/>
              <w:left w:type="dxa" w:w="70"/>
              <w:bottom w:type="dxa" w:w="40"/>
              <w:right w:type="dxa" w:w="70"/>
            </w:tcMar>
          </w:tcPr>
          <w:p>
            <w:pPr>
              <w:spacing w:after="0"/>
            </w:pPr>
            <w:r>
              <w:rPr>
                <w:sz w:val="17"/>
                <w:szCs w:val="17"/>
              </w:rPr>
              <w:t xml:space="preserve">Twin</w:t>
            </w:r>
          </w:p>
        </w:tc>
        <w:tc>
          <w:tcPr>
            <w:tcW w:type="dxa" w:w="3700"/>
            <w:shd w:fill="FFFFFF" w:color="auto" w:val="clear"/>
            <w:tcMar>
              <w:top w:type="dxa" w:w="40"/>
              <w:left w:type="dxa" w:w="70"/>
              <w:bottom w:type="dxa" w:w="40"/>
              <w:right w:type="dxa" w:w="70"/>
            </w:tcMar>
          </w:tcPr>
          <w:p>
            <w:pPr>
              <w:spacing w:after="0"/>
            </w:pPr>
            <w:r>
              <w:rPr>
                <w:sz w:val="17"/>
                <w:szCs w:val="17"/>
              </w:rPr>
              <w:t xml:space="preserve">0 sold · 0 Available (36 in transfer)</w:t>
            </w:r>
          </w:p>
        </w:tc>
        <w:tc>
          <w:tcPr>
            <w:tcW w:type="dxa" w:w="2000"/>
            <w:shd w:fill="FFFFFF" w:color="auto" w:val="clear"/>
            <w:tcMar>
              <w:top w:type="dxa" w:w="40"/>
              <w:left w:type="dxa" w:w="70"/>
              <w:bottom w:type="dxa" w:w="40"/>
              <w:right w:type="dxa" w:w="70"/>
            </w:tcMar>
          </w:tcPr>
          <w:p>
            <w:pPr>
              <w:spacing w:after="0"/>
            </w:pPr>
            <w:r>
              <w:rPr>
                <w:sz w:val="17"/>
                <w:szCs w:val="17"/>
              </w:rPr>
              <w:t xml:space="preserve">—</w:t>
            </w:r>
          </w:p>
        </w:tc>
        <w:tc>
          <w:tcPr>
            <w:tcW w:type="dxa" w:w="2872"/>
            <w:shd w:fill="FFFFFF" w:color="auto" w:val="clear"/>
            <w:tcMar>
              <w:top w:type="dxa" w:w="40"/>
              <w:left w:type="dxa" w:w="70"/>
              <w:bottom w:type="dxa" w:w="40"/>
              <w:right w:type="dxa" w:w="70"/>
            </w:tcMar>
          </w:tcPr>
          <w:p>
            <w:pPr>
              <w:spacing w:after="0"/>
            </w:pPr>
            <w:r>
              <w:rPr>
                <w:sz w:val="17"/>
                <w:szCs w:val="17"/>
              </w:rPr>
              <w:t xml:space="preserve">Sage Green (6 units, 54 Available) until White is Available and selling</w:t>
            </w:r>
          </w:p>
        </w:tc>
      </w:tr>
    </w:tbl>
    <w:p>
      <w:pPr>
        <w:spacing w:after="120"/>
      </w:pPr>
      <w:r>
        <w:rPr>
          <w:i/>
          <w:iCs/>
          <w:color w:val="555555"/>
          <w:sz w:val="17"/>
          <w:szCs w:val="17"/>
        </w:rPr>
        <w:t xml:space="preserve">Sellerboard, 30-day units and Available stock on 28 September. The recent pace is the register’s weighted sales rate, which leans on the last weeks, deal days included.</w:t>
      </w:r>
    </w:p>
    <w:p>
      <w:pPr>
        <w:pStyle w:val="ListParagraph"/>
        <w:numPr>
          <w:ilvl w:val="0"/>
          <w:numId w:val="3"/>
        </w:numPr>
        <w:spacing w:after="60"/>
      </w:pPr>
      <w:r>
        <w:rPr>
          <w:b/>
          <w:bCs/>
        </w:rPr>
        <w:t xml:space="preserve">Why not Queen Olive: </w:t>
      </w:r>
      <w:r>
        <w:t xml:space="preserve">Olive is the size’s seventh seller. The audit’s reason is that White would run out at its push pace, three days before the arrival. That is the push creating its own stockout, on a forecast about ten times too high (Section 12). White lasts 58 days at the 30-day pace, and 47 at the faster recent pace, against 32 to the arrival.</w:t>
      </w:r>
    </w:p>
    <w:p>
      <w:pPr>
        <w:pStyle w:val="ListParagraph"/>
        <w:numPr>
          <w:ilvl w:val="0"/>
          <w:numId w:val="3"/>
        </w:numPr>
        <w:spacing w:after="60"/>
      </w:pPr>
      <w:r>
        <w:rPr>
          <w:b/>
          <w:bCs/>
        </w:rPr>
        <w:t xml:space="preserve">Switches that change the size are wrong. </w:t>
      </w:r>
      <w:r>
        <w:t xml:space="preserve">The audit moves Black Bamboo Sheets from King Black to California King Black. It moves White Cooling Sheets from Queen White to King White, and Cali King Bamboo Sheets from California King Sage Green to King White. A colour switch is a stock fix inside a size. Two of them follow an operator ruling of 19 September that a colour named in the keyword fixes the colour, not the size. They also move away from colours the audit says are running out. That is the same inflated push-pace reading as Queen. King Black has 117 in stock against 52 sold in 30 days (about 67 days). The switch would move “black bamboo sheets” off a colour with 509 clicks and 58 orders onto one with none. The ruling should change: a colour switch stays inside the size. The third, California King Sage Green to King White, has no reason at all; that term belongs on California King White.</w:t>
      </w:r>
    </w:p>
    <w:p>
      <w:pPr>
        <w:pStyle w:val="ListParagraph"/>
        <w:numPr>
          <w:ilvl w:val="0"/>
          <w:numId w:val="3"/>
        </w:numPr>
        <w:spacing w:after="60"/>
      </w:pPr>
      <w:r>
        <w:rPr>
          <w:b/>
          <w:bCs/>
        </w:rPr>
        <w:t xml:space="preserve">27 ranking campaigns advertise a colour other than their size’s ranking colour. </w:t>
      </w:r>
      <w:r>
        <w:t xml:space="preserve">All 88 of the audit’s switches skip on upload, so make them by hand, but only the 10 that move ads to White within the same size. Don’t make the 75 Queen-to-Olive switches or the 3 size changes.</w:t>
      </w:r>
    </w:p>
    <w:p>
      <w:pPr>
        <w:spacing w:after="100"/>
      </w:pPr>
      <w:r>
        <w:t xml:space="preserve">Discovery campaigns (auto, broad, phrase) advertise the size’s clearance colour, never White. That means a colour with 180+ days of Available cover, or 90+ days while selling at or below the size’s middle colour:</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372"/>
      </w:tblGrid>
      <w:tr>
        <w:trPr>
          <w:tblHeader/>
        </w:trPr>
        <w:tc>
          <w:tcPr>
            <w:tcW w:type="dxa" w:w="1600"/>
            <w:shd w:fill="1F3A5F" w:color="auto" w:val="clear"/>
            <w:tcMar>
              <w:top w:type="dxa" w:w="40"/>
              <w:left w:type="dxa" w:w="70"/>
              <w:bottom w:type="dxa" w:w="40"/>
              <w:right w:type="dxa" w:w="70"/>
            </w:tcMar>
          </w:tcPr>
          <w:p>
            <w:pPr>
              <w:spacing w:after="0"/>
            </w:pPr>
            <w:r>
              <w:rPr>
                <w:b/>
                <w:bCs/>
                <w:color w:val="FFFFFF"/>
                <w:sz w:val="17"/>
                <w:szCs w:val="17"/>
              </w:rPr>
              <w:t xml:space="preserve">Size</w:t>
            </w:r>
          </w:p>
        </w:tc>
        <w:tc>
          <w:tcPr>
            <w:tcW w:type="dxa" w:w="4000"/>
            <w:shd w:fill="1F3A5F" w:color="auto" w:val="clear"/>
            <w:tcMar>
              <w:top w:type="dxa" w:w="40"/>
              <w:left w:type="dxa" w:w="70"/>
              <w:bottom w:type="dxa" w:w="40"/>
              <w:right w:type="dxa" w:w="70"/>
            </w:tcMar>
          </w:tcPr>
          <w:p>
            <w:pPr>
              <w:spacing w:after="0"/>
            </w:pPr>
            <w:r>
              <w:rPr>
                <w:b/>
                <w:bCs/>
                <w:color w:val="FFFFFF"/>
                <w:sz w:val="17"/>
                <w:szCs w:val="17"/>
              </w:rPr>
              <w:t xml:space="preserve">Clearance colour for discovery</w:t>
            </w:r>
          </w:p>
        </w:tc>
        <w:tc>
          <w:tcPr>
            <w:tcW w:type="dxa" w:w="4372"/>
            <w:shd w:fill="1F3A5F" w:color="auto" w:val="clear"/>
            <w:tcMar>
              <w:top w:type="dxa" w:w="40"/>
              <w:left w:type="dxa" w:w="70"/>
              <w:bottom w:type="dxa" w:w="40"/>
              <w:right w:type="dxa" w:w="70"/>
            </w:tcMar>
          </w:tcPr>
          <w:p>
            <w:pPr>
              <w:spacing w:after="0"/>
            </w:pPr>
            <w:r>
              <w:rPr>
                <w:b/>
                <w:bCs/>
                <w:color w:val="FFFFFF"/>
                <w:sz w:val="17"/>
                <w:szCs w:val="17"/>
              </w:rPr>
              <w:t xml:space="preserve">Other slow colours</w:t>
            </w:r>
          </w:p>
        </w:tc>
      </w:tr>
      <w:tr>
        <w:tc>
          <w:tcPr>
            <w:tcW w:type="dxa" w:w="1600"/>
            <w:shd w:fill="FFFFFF" w:color="auto" w:val="clear"/>
            <w:tcMar>
              <w:top w:type="dxa" w:w="40"/>
              <w:left w:type="dxa" w:w="70"/>
              <w:bottom w:type="dxa" w:w="40"/>
              <w:right w:type="dxa" w:w="70"/>
            </w:tcMar>
          </w:tcPr>
          <w:p>
            <w:pPr>
              <w:spacing w:after="0"/>
            </w:pPr>
            <w:r>
              <w:rPr>
                <w:sz w:val="17"/>
                <w:szCs w:val="17"/>
              </w:rPr>
              <w:t xml:space="preserve">King</w:t>
            </w:r>
          </w:p>
        </w:tc>
        <w:tc>
          <w:tcPr>
            <w:tcW w:type="dxa" w:w="4000"/>
            <w:shd w:fill="FFFFFF" w:color="auto" w:val="clear"/>
            <w:tcMar>
              <w:top w:type="dxa" w:w="40"/>
              <w:left w:type="dxa" w:w="70"/>
              <w:bottom w:type="dxa" w:w="40"/>
              <w:right w:type="dxa" w:w="70"/>
            </w:tcMar>
          </w:tcPr>
          <w:p>
            <w:pPr>
              <w:spacing w:after="0"/>
            </w:pPr>
            <w:r>
              <w:rPr>
                <w:sz w:val="17"/>
                <w:szCs w:val="17"/>
              </w:rPr>
              <w:t xml:space="preserve">Grey: 32 sold, 391 Available, 196 days</w:t>
            </w:r>
          </w:p>
        </w:tc>
        <w:tc>
          <w:tcPr>
            <w:tcW w:type="dxa" w:w="4372"/>
            <w:shd w:fill="FFFFFF" w:color="auto" w:val="clear"/>
            <w:tcMar>
              <w:top w:type="dxa" w:w="40"/>
              <w:left w:type="dxa" w:w="70"/>
              <w:bottom w:type="dxa" w:w="40"/>
              <w:right w:type="dxa" w:w="70"/>
            </w:tcMar>
          </w:tcPr>
          <w:p>
            <w:pPr>
              <w:spacing w:after="0"/>
            </w:pPr>
            <w:r>
              <w:rPr>
                <w:sz w:val="17"/>
                <w:szCs w:val="17"/>
              </w:rPr>
              <w:t xml:space="preserve">Light Pink, Light Olive</w:t>
            </w:r>
          </w:p>
        </w:tc>
      </w:tr>
      <w:tr>
        <w:tc>
          <w:tcPr>
            <w:tcW w:type="dxa" w:w="1600"/>
            <w:shd w:fill="F2F5F9" w:color="auto" w:val="clear"/>
            <w:tcMar>
              <w:top w:type="dxa" w:w="40"/>
              <w:left w:type="dxa" w:w="70"/>
              <w:bottom w:type="dxa" w:w="40"/>
              <w:right w:type="dxa" w:w="70"/>
            </w:tcMar>
          </w:tcPr>
          <w:p>
            <w:pPr>
              <w:spacing w:after="0"/>
            </w:pPr>
            <w:r>
              <w:rPr>
                <w:sz w:val="17"/>
                <w:szCs w:val="17"/>
              </w:rPr>
              <w:t xml:space="preserve">Queen</w:t>
            </w:r>
          </w:p>
        </w:tc>
        <w:tc>
          <w:tcPr>
            <w:tcW w:type="dxa" w:w="4000"/>
            <w:shd w:fill="F2F5F9" w:color="auto" w:val="clear"/>
            <w:tcMar>
              <w:top w:type="dxa" w:w="40"/>
              <w:left w:type="dxa" w:w="70"/>
              <w:bottom w:type="dxa" w:w="40"/>
              <w:right w:type="dxa" w:w="70"/>
            </w:tcMar>
          </w:tcPr>
          <w:p>
            <w:pPr>
              <w:spacing w:after="0"/>
            </w:pPr>
            <w:r>
              <w:rPr>
                <w:sz w:val="17"/>
                <w:szCs w:val="17"/>
              </w:rPr>
              <w:t xml:space="preserve">Light Olive: 11 sold, 131 Available, 141 days</w:t>
            </w:r>
          </w:p>
        </w:tc>
        <w:tc>
          <w:tcPr>
            <w:tcW w:type="dxa" w:w="4372"/>
            <w:shd w:fill="F2F5F9" w:color="auto" w:val="clear"/>
            <w:tcMar>
              <w:top w:type="dxa" w:w="40"/>
              <w:left w:type="dxa" w:w="70"/>
              <w:bottom w:type="dxa" w:w="40"/>
              <w:right w:type="dxa" w:w="70"/>
            </w:tcMar>
          </w:tcPr>
          <w:p>
            <w:pPr>
              <w:spacing w:after="0"/>
            </w:pPr>
            <w:r>
              <w:rPr>
                <w:sz w:val="17"/>
                <w:szCs w:val="17"/>
              </w:rPr>
              <w:t xml:space="preserve">Purple, Midgrey, Grey</w:t>
            </w:r>
          </w:p>
        </w:tc>
      </w:tr>
      <w:tr>
        <w:tc>
          <w:tcPr>
            <w:tcW w:type="dxa" w:w="1600"/>
            <w:shd w:fill="FFFFFF" w:color="auto" w:val="clear"/>
            <w:tcMar>
              <w:top w:type="dxa" w:w="40"/>
              <w:left w:type="dxa" w:w="70"/>
              <w:bottom w:type="dxa" w:w="40"/>
              <w:right w:type="dxa" w:w="70"/>
            </w:tcMar>
          </w:tcPr>
          <w:p>
            <w:pPr>
              <w:spacing w:after="0"/>
            </w:pPr>
            <w:r>
              <w:rPr>
                <w:sz w:val="17"/>
                <w:szCs w:val="17"/>
              </w:rPr>
              <w:t xml:space="preserve">California King</w:t>
            </w:r>
          </w:p>
        </w:tc>
        <w:tc>
          <w:tcPr>
            <w:tcW w:type="dxa" w:w="4000"/>
            <w:shd w:fill="FFFFFF" w:color="auto" w:val="clear"/>
            <w:tcMar>
              <w:top w:type="dxa" w:w="40"/>
              <w:left w:type="dxa" w:w="70"/>
              <w:bottom w:type="dxa" w:w="40"/>
              <w:right w:type="dxa" w:w="70"/>
            </w:tcMar>
          </w:tcPr>
          <w:p>
            <w:pPr>
              <w:spacing w:after="0"/>
            </w:pPr>
            <w:r>
              <w:rPr>
                <w:sz w:val="17"/>
                <w:szCs w:val="17"/>
              </w:rPr>
              <w:t xml:space="preserve">Sage Green: 0 sold, 27 Available, 338 days</w:t>
            </w:r>
          </w:p>
        </w:tc>
        <w:tc>
          <w:tcPr>
            <w:tcW w:type="dxa" w:w="4372"/>
            <w:shd w:fill="FFFFFF" w:color="auto" w:val="clear"/>
            <w:tcMar>
              <w:top w:type="dxa" w:w="40"/>
              <w:left w:type="dxa" w:w="70"/>
              <w:bottom w:type="dxa" w:w="40"/>
              <w:right w:type="dxa" w:w="70"/>
            </w:tcMar>
          </w:tcPr>
          <w:p>
            <w:pPr>
              <w:spacing w:after="0"/>
            </w:pPr>
            <w:r>
              <w:rPr>
                <w:sz w:val="17"/>
                <w:szCs w:val="17"/>
              </w:rPr>
              <w:t xml:space="preserve">Burgundy</w:t>
            </w:r>
          </w:p>
        </w:tc>
      </w:tr>
      <w:tr>
        <w:tc>
          <w:tcPr>
            <w:tcW w:type="dxa" w:w="1600"/>
            <w:shd w:fill="F2F5F9" w:color="auto" w:val="clear"/>
            <w:tcMar>
              <w:top w:type="dxa" w:w="40"/>
              <w:left w:type="dxa" w:w="70"/>
              <w:bottom w:type="dxa" w:w="40"/>
              <w:right w:type="dxa" w:w="70"/>
            </w:tcMar>
          </w:tcPr>
          <w:p>
            <w:pPr>
              <w:spacing w:after="0"/>
            </w:pPr>
            <w:r>
              <w:rPr>
                <w:sz w:val="17"/>
                <w:szCs w:val="17"/>
              </w:rPr>
              <w:t xml:space="preserve">Full</w:t>
            </w:r>
          </w:p>
        </w:tc>
        <w:tc>
          <w:tcPr>
            <w:tcW w:type="dxa" w:w="4000"/>
            <w:shd w:fill="F2F5F9" w:color="auto" w:val="clear"/>
            <w:tcMar>
              <w:top w:type="dxa" w:w="40"/>
              <w:left w:type="dxa" w:w="70"/>
              <w:bottom w:type="dxa" w:w="40"/>
              <w:right w:type="dxa" w:w="70"/>
            </w:tcMar>
          </w:tcPr>
          <w:p>
            <w:pPr>
              <w:spacing w:after="0"/>
            </w:pPr>
            <w:r>
              <w:rPr>
                <w:sz w:val="17"/>
                <w:szCs w:val="17"/>
              </w:rPr>
              <w:t xml:space="preserve">Olive: 13 sold, 259 Available, 480 days</w:t>
            </w:r>
          </w:p>
        </w:tc>
        <w:tc>
          <w:tcPr>
            <w:tcW w:type="dxa" w:w="4372"/>
            <w:shd w:fill="F2F5F9" w:color="auto" w:val="clear"/>
            <w:tcMar>
              <w:top w:type="dxa" w:w="40"/>
              <w:left w:type="dxa" w:w="70"/>
              <w:bottom w:type="dxa" w:w="40"/>
              <w:right w:type="dxa" w:w="70"/>
            </w:tcMar>
          </w:tcPr>
          <w:p>
            <w:pPr>
              <w:spacing w:after="0"/>
            </w:pPr>
            <w:r>
              <w:rPr>
                <w:sz w:val="17"/>
                <w:szCs w:val="17"/>
              </w:rPr>
              <w:t xml:space="preserve">Creme, Light Olive, Sage Green, Light Grey, Light Blue, Purple</w:t>
            </w:r>
          </w:p>
        </w:tc>
      </w:tr>
      <w:tr>
        <w:tc>
          <w:tcPr>
            <w:tcW w:type="dxa" w:w="1600"/>
            <w:shd w:fill="FFFFFF" w:color="auto" w:val="clear"/>
            <w:tcMar>
              <w:top w:type="dxa" w:w="40"/>
              <w:left w:type="dxa" w:w="70"/>
              <w:bottom w:type="dxa" w:w="40"/>
              <w:right w:type="dxa" w:w="70"/>
            </w:tcMar>
          </w:tcPr>
          <w:p>
            <w:pPr>
              <w:spacing w:after="0"/>
            </w:pPr>
            <w:r>
              <w:rPr>
                <w:sz w:val="17"/>
                <w:szCs w:val="17"/>
              </w:rPr>
              <w:t xml:space="preserve">Twin</w:t>
            </w:r>
          </w:p>
        </w:tc>
        <w:tc>
          <w:tcPr>
            <w:tcW w:type="dxa" w:w="4000"/>
            <w:shd w:fill="FFFFFF" w:color="auto" w:val="clear"/>
            <w:tcMar>
              <w:top w:type="dxa" w:w="40"/>
              <w:left w:type="dxa" w:w="70"/>
              <w:bottom w:type="dxa" w:w="40"/>
              <w:right w:type="dxa" w:w="70"/>
            </w:tcMar>
          </w:tcPr>
          <w:p>
            <w:pPr>
              <w:spacing w:after="0"/>
            </w:pPr>
            <w:r>
              <w:rPr>
                <w:sz w:val="17"/>
                <w:szCs w:val="17"/>
              </w:rPr>
              <w:t xml:space="preserve">Light Olive: 2 sold, 34 Available, 283 days</w:t>
            </w:r>
          </w:p>
        </w:tc>
        <w:tc>
          <w:tcPr>
            <w:tcW w:type="dxa" w:w="4372"/>
            <w:shd w:fill="FFFFFF" w:color="auto" w:val="clear"/>
            <w:tcMar>
              <w:top w:type="dxa" w:w="40"/>
              <w:left w:type="dxa" w:w="70"/>
              <w:bottom w:type="dxa" w:w="40"/>
              <w:right w:type="dxa" w:w="70"/>
            </w:tcMar>
          </w:tcPr>
          <w:p>
            <w:pPr>
              <w:spacing w:after="0"/>
            </w:pPr>
            <w:r>
              <w:rPr>
                <w:sz w:val="17"/>
                <w:szCs w:val="17"/>
              </w:rPr>
              <w:t xml:space="preserve">—</w:t>
            </w:r>
          </w:p>
        </w:tc>
      </w:tr>
    </w:tbl>
    <w:p>
      <w:pPr>
        <w:spacing w:after="40"/>
      </w:pPr>
    </w:p>
    <w:p>
      <w:pPr>
        <w:spacing w:after="100"/>
      </w:pPr>
      <w:r>
        <w:t xml:space="preserve">17 discovery campaigns advertise something else, most of them White. Clearance campaigns and brand-term campaigns keep their own colours. Don’t put colours that sell but are nearly out of stock into any new ad group or colour switch: King Creme (2 days of stock), King Olive (0), California King Taupe (5), Charcoal (5) and Midgrey (2).</w:t>
      </w:r>
    </w:p>
    <w:p>
      <w:pPr>
        <w:pStyle w:val="Heading1"/>
      </w:pPr>
      <w:r>
        <w:t xml:space="preserve">7. Focus campaigns that can’t serve</w:t>
      </w:r>
    </w:p>
    <w:p>
      <w:pPr>
        <w:spacing w:after="100"/>
      </w:pPr>
      <w:r>
        <w:t xml:space="preserve">Several focus terms have their main exact campaign or keyword switched off. The audit changes their prices or builds a duplicate instead of turning them back 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972"/>
      </w:tblGrid>
      <w:tr>
        <w:trPr>
          <w:tblHeader/>
        </w:trPr>
        <w:tc>
          <w:tcPr>
            <w:tcW w:type="dxa" w:w="2600"/>
            <w:shd w:fill="1F3A5F" w:color="auto" w:val="clear"/>
            <w:tcMar>
              <w:top w:type="dxa" w:w="40"/>
              <w:left w:type="dxa" w:w="70"/>
              <w:bottom w:type="dxa" w:w="40"/>
              <w:right w:type="dxa" w:w="70"/>
            </w:tcMar>
          </w:tcPr>
          <w:p>
            <w:pPr>
              <w:spacing w:after="0"/>
            </w:pPr>
            <w:r>
              <w:rPr>
                <w:b/>
                <w:bCs/>
                <w:color w:val="FFFFFF"/>
                <w:sz w:val="17"/>
                <w:szCs w:val="17"/>
              </w:rPr>
              <w:t xml:space="preserve">Term (target rank)</w:t>
            </w:r>
          </w:p>
        </w:tc>
        <w:tc>
          <w:tcPr>
            <w:tcW w:type="dxa" w:w="3400"/>
            <w:shd w:fill="1F3A5F" w:color="auto" w:val="clear"/>
            <w:tcMar>
              <w:top w:type="dxa" w:w="40"/>
              <w:left w:type="dxa" w:w="70"/>
              <w:bottom w:type="dxa" w:w="40"/>
              <w:right w:type="dxa" w:w="70"/>
            </w:tcMar>
          </w:tcPr>
          <w:p>
            <w:pPr>
              <w:spacing w:after="0"/>
            </w:pPr>
            <w:r>
              <w:rPr>
                <w:b/>
                <w:bCs/>
                <w:color w:val="FFFFFF"/>
                <w:sz w:val="17"/>
                <w:szCs w:val="17"/>
              </w:rPr>
              <w:t xml:space="preserve">What is wrong</w:t>
            </w:r>
          </w:p>
        </w:tc>
        <w:tc>
          <w:tcPr>
            <w:tcW w:type="dxa" w:w="3972"/>
            <w:shd w:fill="1F3A5F" w:color="auto" w:val="clear"/>
            <w:tcMar>
              <w:top w:type="dxa" w:w="40"/>
              <w:left w:type="dxa" w:w="70"/>
              <w:bottom w:type="dxa" w:w="40"/>
              <w:right w:type="dxa" w:w="70"/>
            </w:tcMar>
          </w:tcPr>
          <w:p>
            <w:pPr>
              <w:spacing w:after="0"/>
            </w:pPr>
            <w:r>
              <w:rPr>
                <w:b/>
                <w:bCs/>
                <w:color w:val="FFFFFF"/>
                <w:sz w:val="17"/>
                <w:szCs w:val="17"/>
              </w:rPr>
              <w:t xml:space="preserve">Correct move</w:t>
            </w:r>
          </w:p>
        </w:tc>
      </w:tr>
      <w:tr>
        <w:tc>
          <w:tcPr>
            <w:tcW w:type="dxa" w:w="2600"/>
            <w:shd w:fill="FFFFFF" w:color="auto" w:val="clear"/>
            <w:tcMar>
              <w:top w:type="dxa" w:w="40"/>
              <w:left w:type="dxa" w:w="70"/>
              <w:bottom w:type="dxa" w:w="40"/>
              <w:right w:type="dxa" w:w="70"/>
            </w:tcMar>
          </w:tcPr>
          <w:p>
            <w:pPr>
              <w:spacing w:after="0"/>
            </w:pPr>
            <w:r>
              <w:rPr>
                <w:sz w:val="17"/>
                <w:szCs w:val="17"/>
              </w:rPr>
              <w:t xml:space="preserve">“bamboo sheets full” (2)</w:t>
            </w:r>
          </w:p>
        </w:tc>
        <w:tc>
          <w:tcPr>
            <w:tcW w:type="dxa" w:w="3400"/>
            <w:shd w:fill="FFFFFF" w:color="auto" w:val="clear"/>
            <w:tcMar>
              <w:top w:type="dxa" w:w="40"/>
              <w:left w:type="dxa" w:w="70"/>
              <w:bottom w:type="dxa" w:w="40"/>
              <w:right w:type="dxa" w:w="70"/>
            </w:tcMar>
          </w:tcPr>
          <w:p>
            <w:pPr>
              <w:spacing w:after="0"/>
            </w:pPr>
            <w:r>
              <w:rPr>
                <w:sz w:val="17"/>
                <w:szCs w:val="17"/>
              </w:rPr>
              <w:t xml:space="preserve">Its exact campaign is paused (keyword live, 27 clicks). Rank fell from 11 to 18 today. The audit builds a new exact campaign for the same term.</w:t>
            </w:r>
          </w:p>
        </w:tc>
        <w:tc>
          <w:tcPr>
            <w:tcW w:type="dxa" w:w="3972"/>
            <w:shd w:fill="FFFFFF" w:color="auto" w:val="clear"/>
            <w:tcMar>
              <w:top w:type="dxa" w:w="40"/>
              <w:left w:type="dxa" w:w="70"/>
              <w:bottom w:type="dxa" w:w="40"/>
              <w:right w:type="dxa" w:w="70"/>
            </w:tcMar>
          </w:tcPr>
          <w:p>
            <w:pPr>
              <w:spacing w:after="0"/>
            </w:pPr>
            <w:r>
              <w:rPr>
                <w:sz w:val="17"/>
                <w:szCs w:val="17"/>
              </w:rPr>
              <w:t xml:space="preserve">Restart the existing campaign on Full White, on fixed bidding. Drop the new campaign.</w:t>
            </w:r>
          </w:p>
        </w:tc>
      </w:tr>
      <w:tr>
        <w:tc>
          <w:tcPr>
            <w:tcW w:type="dxa" w:w="2600"/>
            <w:shd w:fill="F2F5F9" w:color="auto" w:val="clear"/>
            <w:tcMar>
              <w:top w:type="dxa" w:w="40"/>
              <w:left w:type="dxa" w:w="70"/>
              <w:bottom w:type="dxa" w:w="40"/>
              <w:right w:type="dxa" w:w="70"/>
            </w:tcMar>
          </w:tcPr>
          <w:p>
            <w:pPr>
              <w:spacing w:after="0"/>
            </w:pPr>
            <w:r>
              <w:rPr>
                <w:sz w:val="17"/>
                <w:szCs w:val="17"/>
              </w:rPr>
              <w:t xml:space="preserve">“bamboo king sheets” (9)</w:t>
            </w:r>
          </w:p>
        </w:tc>
        <w:tc>
          <w:tcPr>
            <w:tcW w:type="dxa" w:w="3400"/>
            <w:shd w:fill="F2F5F9" w:color="auto" w:val="clear"/>
            <w:tcMar>
              <w:top w:type="dxa" w:w="40"/>
              <w:left w:type="dxa" w:w="70"/>
              <w:bottom w:type="dxa" w:w="40"/>
              <w:right w:type="dxa" w:w="70"/>
            </w:tcMar>
          </w:tcPr>
          <w:p>
            <w:pPr>
              <w:spacing w:after="0"/>
            </w:pPr>
            <w:r>
              <w:rPr>
                <w:sz w:val="17"/>
                <w:szCs w:val="17"/>
              </w:rPr>
              <w:t xml:space="preserve">Its exact campaign is paused (15 clicks). The audit raises its price while paused (+16%) and builds a new campaign for the same term.</w:t>
            </w:r>
          </w:p>
        </w:tc>
        <w:tc>
          <w:tcPr>
            <w:tcW w:type="dxa" w:w="3972"/>
            <w:shd w:fill="F2F5F9" w:color="auto" w:val="clear"/>
            <w:tcMar>
              <w:top w:type="dxa" w:w="40"/>
              <w:left w:type="dxa" w:w="70"/>
              <w:bottom w:type="dxa" w:w="40"/>
              <w:right w:type="dxa" w:w="70"/>
            </w:tcMar>
          </w:tcPr>
          <w:p>
            <w:pPr>
              <w:spacing w:after="0"/>
            </w:pPr>
            <w:r>
              <w:rPr>
                <w:sz w:val="17"/>
                <w:szCs w:val="17"/>
              </w:rPr>
              <w:t xml:space="preserve">Restart the existing campaign; drop the new one.</w:t>
            </w:r>
          </w:p>
        </w:tc>
      </w:tr>
      <w:tr>
        <w:tc>
          <w:tcPr>
            <w:tcW w:type="dxa" w:w="2600"/>
            <w:shd w:fill="FFFFFF" w:color="auto" w:val="clear"/>
            <w:tcMar>
              <w:top w:type="dxa" w:w="40"/>
              <w:left w:type="dxa" w:w="70"/>
              <w:bottom w:type="dxa" w:w="40"/>
              <w:right w:type="dxa" w:w="70"/>
            </w:tcMar>
          </w:tcPr>
          <w:p>
            <w:pPr>
              <w:spacing w:after="0"/>
            </w:pPr>
            <w:r>
              <w:rPr>
                <w:sz w:val="17"/>
                <w:szCs w:val="17"/>
              </w:rPr>
              <w:t xml:space="preserve">“bamboo sheets queen” (5)</w:t>
            </w:r>
          </w:p>
        </w:tc>
        <w:tc>
          <w:tcPr>
            <w:tcW w:type="dxa" w:w="3400"/>
            <w:shd w:fill="FFFFFF" w:color="auto" w:val="clear"/>
            <w:tcMar>
              <w:top w:type="dxa" w:w="40"/>
              <w:left w:type="dxa" w:w="70"/>
              <w:bottom w:type="dxa" w:w="40"/>
              <w:right w:type="dxa" w:w="70"/>
            </w:tcMar>
          </w:tcPr>
          <w:p>
            <w:pPr>
              <w:spacing w:after="0"/>
            </w:pPr>
            <w:r>
              <w:rPr>
                <w:sz w:val="17"/>
                <w:szCs w:val="17"/>
              </w:rPr>
              <w:t xml:space="preserve">The keyword in Bamboo Sheets Queen (HSV) is paused, so the campaign serves only on product targeting. The audit raises its boost and forecasts 0 → 32 top-of-search clicks a week.</w:t>
            </w:r>
          </w:p>
        </w:tc>
        <w:tc>
          <w:tcPr>
            <w:tcW w:type="dxa" w:w="3972"/>
            <w:shd w:fill="FFFFFF" w:color="auto" w:val="clear"/>
            <w:tcMar>
              <w:top w:type="dxa" w:w="40"/>
              <w:left w:type="dxa" w:w="70"/>
              <w:bottom w:type="dxa" w:w="40"/>
              <w:right w:type="dxa" w:w="70"/>
            </w:tcMar>
          </w:tcPr>
          <w:p>
            <w:pPr>
              <w:spacing w:after="0"/>
            </w:pPr>
            <w:r>
              <w:rPr>
                <w:sz w:val="17"/>
                <w:szCs w:val="17"/>
              </w:rPr>
              <w:t xml:space="preserve">See Section 13. One campaign for the term, on Queen White. Drop the forecast.</w:t>
            </w:r>
          </w:p>
        </w:tc>
      </w:tr>
      <w:tr>
        <w:tc>
          <w:tcPr>
            <w:tcW w:type="dxa" w:w="2600"/>
            <w:shd w:fill="F2F5F9" w:color="auto" w:val="clear"/>
            <w:tcMar>
              <w:top w:type="dxa" w:w="40"/>
              <w:left w:type="dxa" w:w="70"/>
              <w:bottom w:type="dxa" w:w="40"/>
              <w:right w:type="dxa" w:w="70"/>
            </w:tcMar>
          </w:tcPr>
          <w:p>
            <w:pPr>
              <w:spacing w:after="0"/>
            </w:pPr>
            <w:r>
              <w:rPr>
                <w:sz w:val="17"/>
                <w:szCs w:val="17"/>
              </w:rPr>
              <w:t xml:space="preserve">“king bamboo sheets” (10)</w:t>
            </w:r>
          </w:p>
        </w:tc>
        <w:tc>
          <w:tcPr>
            <w:tcW w:type="dxa" w:w="3400"/>
            <w:shd w:fill="F2F5F9" w:color="auto" w:val="clear"/>
            <w:tcMar>
              <w:top w:type="dxa" w:w="40"/>
              <w:left w:type="dxa" w:w="70"/>
              <w:bottom w:type="dxa" w:w="40"/>
              <w:right w:type="dxa" w:w="70"/>
            </w:tcMar>
          </w:tcPr>
          <w:p>
            <w:pPr>
              <w:spacing w:after="0"/>
            </w:pPr>
            <w:r>
              <w:rPr>
                <w:sz w:val="17"/>
                <w:szCs w:val="17"/>
              </w:rPr>
              <w:t xml:space="preserve">Both keywords in King Bamboo Sheets (MSV) are paused. The audit forecasts 0 → 32 top-of-search clicks a week.</w:t>
            </w:r>
          </w:p>
        </w:tc>
        <w:tc>
          <w:tcPr>
            <w:tcW w:type="dxa" w:w="3972"/>
            <w:shd w:fill="F2F5F9" w:color="auto" w:val="clear"/>
            <w:tcMar>
              <w:top w:type="dxa" w:w="40"/>
              <w:left w:type="dxa" w:w="70"/>
              <w:bottom w:type="dxa" w:w="40"/>
              <w:right w:type="dxa" w:w="70"/>
            </w:tcMar>
          </w:tcPr>
          <w:p>
            <w:pPr>
              <w:spacing w:after="0"/>
            </w:pPr>
            <w:r>
              <w:rPr>
                <w:sz w:val="17"/>
                <w:szCs w:val="17"/>
              </w:rPr>
              <w:t xml:space="preserve">Restart one keyword at break-even or leave it off. Drop the forecast.</w:t>
            </w:r>
          </w:p>
        </w:tc>
      </w:tr>
    </w:tbl>
    <w:p>
      <w:pPr>
        <w:spacing w:after="40"/>
      </w:pPr>
    </w:p>
    <w:p>
      <w:pPr>
        <w:spacing w:after="100"/>
      </w:pPr>
      <w:r>
        <w:t xml:space="preserve">Bamboo Sheets King Size (HSV) is live but has nearly stopped serving: 14 clicks in 30 days and $9.60 in 14 days, at a $0.50 base on down-only bidding. At that base its boost can’t go past 900%, so the most it can bid at the top is $5.00. That is why the audit lifts the base to $1.40, which also nearly triples its product-page bid.</w:t>
      </w:r>
    </w:p>
    <w:p>
      <w:pPr>
        <w:spacing w:after="100"/>
      </w:pPr>
      <w:r>
        <w:rPr>
          <w:b/>
          <w:bCs/>
          <w:color w:val="1F3A5F"/>
        </w:rPr>
        <w:t xml:space="preserve">Correction. </w:t>
      </w:r>
      <w:r>
        <w:t xml:space="preserve">Set the base to $0.60 and the boost to 700% (the same $4.80 at the top) on fixed bidding, in one write. That leaves room up to $6.00 at the top. Once it has 15 top-of-search clicks, climb +30% a step toward its push price. “bamboo sheets king size” is the plan’s second term (54 units a week), so it is not parked.</w:t>
      </w:r>
    </w:p>
    <w:p>
      <w:pPr>
        <w:pStyle w:val="Heading1"/>
      </w:pPr>
      <w:r>
        <w:t xml:space="preserve">8. Where the clicks land</w:t>
      </w:r>
    </w:p>
    <w:p>
      <w:pPr>
        <w:spacing w:after="100"/>
      </w:pPr>
      <w:r>
        <w:t xml:space="preserve">This is B6’s largest problem:</w:t>
      </w:r>
    </w:p>
    <w:p>
      <w:pPr>
        <w:pStyle w:val="ListParagraph"/>
        <w:numPr>
          <w:ilvl w:val="0"/>
          <w:numId w:val="3"/>
        </w:numPr>
        <w:spacing w:after="60"/>
      </w:pPr>
      <w:r>
        <w:t xml:space="preserve">40 ranking campaigns take under 30% of their clicks at top of search.</w:t>
      </w:r>
    </w:p>
    <w:p>
      <w:pPr>
        <w:pStyle w:val="ListParagraph"/>
        <w:numPr>
          <w:ilvl w:val="0"/>
          <w:numId w:val="3"/>
        </w:numPr>
        <w:spacing w:after="60"/>
      </w:pPr>
      <w:r>
        <w:t xml:space="preserve">59 more lose over 20% to product pages.</w:t>
      </w:r>
    </w:p>
    <w:p>
      <w:pPr>
        <w:spacing w:after="100"/>
      </w:pPr>
      <w:r>
        <w:t xml:space="preserve">That is 99 of 244. Across B6, product pages took 51–52% of ad clicks before and during the deal. Top-of-search clicks cost about $5 and product-page clicks about $2, but the product-page clicks do little for rank. The audit raises the top-of-search price on several of these campaigns. That buys nothing while the base keeps buying product pages. Its own “distribution fix” trims base bids by only about 10%. Examples: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2000"/>
        <w:gridCol w:w="1872"/>
      </w:tblGrid>
      <w:tr>
        <w:trPr>
          <w:tblHeader/>
        </w:trPr>
        <w:tc>
          <w:tcPr>
            <w:tcW w:type="dxa" w:w="3500"/>
            <w:shd w:fill="1F3A5F" w:color="auto" w:val="clear"/>
            <w:tcMar>
              <w:top w:type="dxa" w:w="40"/>
              <w:left w:type="dxa" w:w="70"/>
              <w:bottom w:type="dxa" w:w="40"/>
              <w:right w:type="dxa" w:w="70"/>
            </w:tcMar>
          </w:tcPr>
          <w:p>
            <w:pPr>
              <w:spacing w:after="0"/>
            </w:pPr>
            <w:r>
              <w:rPr>
                <w:b/>
                <w:bCs/>
                <w:color w:val="FFFFFF"/>
                <w:sz w:val="17"/>
                <w:szCs w:val="17"/>
              </w:rPr>
              <w:t xml:space="preserve">Campaign</w:t>
            </w:r>
          </w:p>
        </w:tc>
        <w:tc>
          <w:tcPr>
            <w:tcW w:type="dxa" w:w="1100"/>
            <w:shd w:fill="1F3A5F" w:color="auto" w:val="clear"/>
            <w:tcMar>
              <w:top w:type="dxa" w:w="40"/>
              <w:left w:type="dxa" w:w="70"/>
              <w:bottom w:type="dxa" w:w="40"/>
              <w:right w:type="dxa" w:w="70"/>
            </w:tcMar>
          </w:tcPr>
          <w:p>
            <w:pPr>
              <w:spacing w:after="0"/>
            </w:pPr>
            <w:r>
              <w:rPr>
                <w:b/>
                <w:bCs/>
                <w:color w:val="FFFFFF"/>
                <w:sz w:val="17"/>
                <w:szCs w:val="17"/>
              </w:rPr>
              <w:t xml:space="preserve">Clicks (30 days)</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Top of search / product pages</w:t>
            </w:r>
          </w:p>
        </w:tc>
        <w:tc>
          <w:tcPr>
            <w:tcW w:type="dxa" w:w="2000"/>
            <w:shd w:fill="1F3A5F" w:color="auto" w:val="clear"/>
            <w:tcMar>
              <w:top w:type="dxa" w:w="40"/>
              <w:left w:type="dxa" w:w="70"/>
              <w:bottom w:type="dxa" w:w="40"/>
              <w:right w:type="dxa" w:w="70"/>
            </w:tcMar>
          </w:tcPr>
          <w:p>
            <w:pPr>
              <w:spacing w:after="0"/>
            </w:pPr>
            <w:r>
              <w:rPr>
                <w:b/>
                <w:bCs/>
                <w:color w:val="FFFFFF"/>
                <w:sz w:val="17"/>
                <w:szCs w:val="17"/>
              </w:rPr>
              <w:t xml:space="preserve">Base bid now → correct (audit)</w:t>
            </w:r>
          </w:p>
        </w:tc>
        <w:tc>
          <w:tcPr>
            <w:tcW w:type="dxa" w:w="1872"/>
            <w:shd w:fill="1F3A5F" w:color="auto" w:val="clear"/>
            <w:tcMar>
              <w:top w:type="dxa" w:w="40"/>
              <w:left w:type="dxa" w:w="70"/>
              <w:bottom w:type="dxa" w:w="40"/>
              <w:right w:type="dxa" w:w="70"/>
            </w:tcMar>
          </w:tcPr>
          <w:p>
            <w:pPr>
              <w:spacing w:after="0"/>
            </w:pPr>
            <w:r>
              <w:rPr>
                <w:b/>
                <w:bCs/>
                <w:color w:val="FFFFFF"/>
                <w:sz w:val="17"/>
                <w:szCs w:val="17"/>
              </w:rPr>
              <w:t xml:space="preserve">Top-of-search price</w:t>
            </w:r>
          </w:p>
        </w:tc>
      </w:tr>
      <w:tr>
        <w:tc>
          <w:tcPr>
            <w:tcW w:type="dxa" w:w="3500"/>
            <w:shd w:fill="FFFFFF" w:color="auto" w:val="clear"/>
            <w:tcMar>
              <w:top w:type="dxa" w:w="40"/>
              <w:left w:type="dxa" w:w="70"/>
              <w:bottom w:type="dxa" w:w="40"/>
              <w:right w:type="dxa" w:w="70"/>
            </w:tcMar>
          </w:tcPr>
          <w:p>
            <w:pPr>
              <w:spacing w:after="0"/>
            </w:pPr>
            <w:r>
              <w:rPr>
                <w:sz w:val="17"/>
                <w:szCs w:val="17"/>
              </w:rPr>
              <w:t xml:space="preserve">Bamboo Sheet (VHSV), “bamboo sheets”</w:t>
            </w:r>
          </w:p>
        </w:tc>
        <w:tc>
          <w:tcPr>
            <w:tcW w:type="dxa" w:w="1100"/>
            <w:shd w:fill="FFFFFF" w:color="auto" w:val="clear"/>
            <w:tcMar>
              <w:top w:type="dxa" w:w="40"/>
              <w:left w:type="dxa" w:w="70"/>
              <w:bottom w:type="dxa" w:w="40"/>
              <w:right w:type="dxa" w:w="70"/>
            </w:tcMar>
          </w:tcPr>
          <w:p>
            <w:pPr>
              <w:spacing w:after="0"/>
            </w:pPr>
            <w:r>
              <w:rPr>
                <w:sz w:val="17"/>
                <w:szCs w:val="17"/>
              </w:rPr>
              <w:t xml:space="preserve">760</w:t>
            </w:r>
          </w:p>
        </w:tc>
        <w:tc>
          <w:tcPr>
            <w:tcW w:type="dxa" w:w="1500"/>
            <w:shd w:fill="FFFFFF" w:color="auto" w:val="clear"/>
            <w:tcMar>
              <w:top w:type="dxa" w:w="40"/>
              <w:left w:type="dxa" w:w="70"/>
              <w:bottom w:type="dxa" w:w="40"/>
              <w:right w:type="dxa" w:w="70"/>
            </w:tcMar>
          </w:tcPr>
          <w:p>
            <w:pPr>
              <w:spacing w:after="0"/>
            </w:pPr>
            <w:r>
              <w:rPr>
                <w:sz w:val="17"/>
                <w:szCs w:val="17"/>
              </w:rPr>
              <w:t xml:space="preserve">39% / 57%</w:t>
            </w:r>
          </w:p>
        </w:tc>
        <w:tc>
          <w:tcPr>
            <w:tcW w:type="dxa" w:w="2000"/>
            <w:shd w:fill="FFFFFF" w:color="auto" w:val="clear"/>
            <w:tcMar>
              <w:top w:type="dxa" w:w="40"/>
              <w:left w:type="dxa" w:w="70"/>
              <w:bottom w:type="dxa" w:w="40"/>
              <w:right w:type="dxa" w:w="70"/>
            </w:tcMar>
          </w:tcPr>
          <w:p>
            <w:pPr>
              <w:spacing w:after="0"/>
            </w:pPr>
            <w:r>
              <w:rPr>
                <w:sz w:val="17"/>
                <w:szCs w:val="17"/>
              </w:rPr>
              <w:t xml:space="preserve">$1.60 → $1.20 ($1.39)</w:t>
            </w:r>
          </w:p>
        </w:tc>
        <w:tc>
          <w:tcPr>
            <w:tcW w:type="dxa" w:w="1872"/>
            <w:shd w:fill="FFFFFF" w:color="auto" w:val="clear"/>
            <w:tcMar>
              <w:top w:type="dxa" w:w="40"/>
              <w:left w:type="dxa" w:w="70"/>
              <w:bottom w:type="dxa" w:w="40"/>
              <w:right w:type="dxa" w:w="70"/>
            </w:tcMar>
          </w:tcPr>
          <w:p>
            <w:pPr>
              <w:spacing w:after="0"/>
            </w:pPr>
            <w:r>
              <w:rPr>
                <w:sz w:val="17"/>
                <w:szCs w:val="17"/>
              </w:rPr>
              <w:t xml:space="preserve">$6.16 (push)</w:t>
            </w:r>
          </w:p>
        </w:tc>
      </w:tr>
      <w:tr>
        <w:tc>
          <w:tcPr>
            <w:tcW w:type="dxa" w:w="3500"/>
            <w:shd w:fill="F2F5F9" w:color="auto" w:val="clear"/>
            <w:tcMar>
              <w:top w:type="dxa" w:w="40"/>
              <w:left w:type="dxa" w:w="70"/>
              <w:bottom w:type="dxa" w:w="40"/>
              <w:right w:type="dxa" w:w="70"/>
            </w:tcMar>
          </w:tcPr>
          <w:p>
            <w:pPr>
              <w:spacing w:after="0"/>
            </w:pPr>
            <w:r>
              <w:rPr>
                <w:sz w:val="17"/>
                <w:szCs w:val="17"/>
              </w:rPr>
              <w:t xml:space="preserve">Bamboo Sheets Queen Size (HSV)</w:t>
            </w:r>
          </w:p>
        </w:tc>
        <w:tc>
          <w:tcPr>
            <w:tcW w:type="dxa" w:w="1100"/>
            <w:shd w:fill="F2F5F9" w:color="auto" w:val="clear"/>
            <w:tcMar>
              <w:top w:type="dxa" w:w="40"/>
              <w:left w:type="dxa" w:w="70"/>
              <w:bottom w:type="dxa" w:w="40"/>
              <w:right w:type="dxa" w:w="70"/>
            </w:tcMar>
          </w:tcPr>
          <w:p>
            <w:pPr>
              <w:spacing w:after="0"/>
            </w:pPr>
            <w:r>
              <w:rPr>
                <w:sz w:val="17"/>
                <w:szCs w:val="17"/>
              </w:rPr>
              <w:t xml:space="preserve">91</w:t>
            </w:r>
          </w:p>
        </w:tc>
        <w:tc>
          <w:tcPr>
            <w:tcW w:type="dxa" w:w="1500"/>
            <w:shd w:fill="F2F5F9" w:color="auto" w:val="clear"/>
            <w:tcMar>
              <w:top w:type="dxa" w:w="40"/>
              <w:left w:type="dxa" w:w="70"/>
              <w:bottom w:type="dxa" w:w="40"/>
              <w:right w:type="dxa" w:w="70"/>
            </w:tcMar>
          </w:tcPr>
          <w:p>
            <w:pPr>
              <w:spacing w:after="0"/>
            </w:pPr>
            <w:r>
              <w:rPr>
                <w:sz w:val="17"/>
                <w:szCs w:val="17"/>
              </w:rPr>
              <w:t xml:space="preserve">36% / 64%</w:t>
            </w:r>
          </w:p>
        </w:tc>
        <w:tc>
          <w:tcPr>
            <w:tcW w:type="dxa" w:w="2000"/>
            <w:shd w:fill="F2F5F9" w:color="auto" w:val="clear"/>
            <w:tcMar>
              <w:top w:type="dxa" w:w="40"/>
              <w:left w:type="dxa" w:w="70"/>
              <w:bottom w:type="dxa" w:w="40"/>
              <w:right w:type="dxa" w:w="70"/>
            </w:tcMar>
          </w:tcPr>
          <w:p>
            <w:pPr>
              <w:spacing w:after="0"/>
            </w:pPr>
            <w:r>
              <w:rPr>
                <w:sz w:val="17"/>
                <w:szCs w:val="17"/>
              </w:rPr>
              <w:t xml:space="preserve">$1.37 → $1.03 (no change)</w:t>
            </w:r>
          </w:p>
        </w:tc>
        <w:tc>
          <w:tcPr>
            <w:tcW w:type="dxa" w:w="1872"/>
            <w:shd w:fill="F2F5F9" w:color="auto" w:val="clear"/>
            <w:tcMar>
              <w:top w:type="dxa" w:w="40"/>
              <w:left w:type="dxa" w:w="70"/>
              <w:bottom w:type="dxa" w:w="40"/>
              <w:right w:type="dxa" w:w="70"/>
            </w:tcMar>
          </w:tcPr>
          <w:p>
            <w:pPr>
              <w:spacing w:after="0"/>
            </w:pPr>
            <w:r>
              <w:rPr>
                <w:sz w:val="17"/>
                <w:szCs w:val="17"/>
              </w:rPr>
              <w:t xml:space="preserve">hold $5.93</w:t>
            </w:r>
          </w:p>
        </w:tc>
      </w:tr>
      <w:tr>
        <w:tc>
          <w:tcPr>
            <w:tcW w:type="dxa" w:w="3500"/>
            <w:shd w:fill="FFFFFF" w:color="auto" w:val="clear"/>
            <w:tcMar>
              <w:top w:type="dxa" w:w="40"/>
              <w:left w:type="dxa" w:w="70"/>
              <w:bottom w:type="dxa" w:w="40"/>
              <w:right w:type="dxa" w:w="70"/>
            </w:tcMar>
          </w:tcPr>
          <w:p>
            <w:pPr>
              <w:spacing w:after="0"/>
            </w:pPr>
            <w:r>
              <w:rPr>
                <w:sz w:val="17"/>
                <w:szCs w:val="17"/>
              </w:rPr>
              <w:t xml:space="preserve">Queen Sheets Set Bamboo (VLSV)</w:t>
            </w:r>
          </w:p>
        </w:tc>
        <w:tc>
          <w:tcPr>
            <w:tcW w:type="dxa" w:w="1100"/>
            <w:shd w:fill="FFFFFF" w:color="auto" w:val="clear"/>
            <w:tcMar>
              <w:top w:type="dxa" w:w="40"/>
              <w:left w:type="dxa" w:w="70"/>
              <w:bottom w:type="dxa" w:w="40"/>
              <w:right w:type="dxa" w:w="70"/>
            </w:tcMar>
          </w:tcPr>
          <w:p>
            <w:pPr>
              <w:spacing w:after="0"/>
            </w:pPr>
            <w:r>
              <w:rPr>
                <w:sz w:val="17"/>
                <w:szCs w:val="17"/>
              </w:rPr>
              <w:t xml:space="preserve">71</w:t>
            </w:r>
          </w:p>
        </w:tc>
        <w:tc>
          <w:tcPr>
            <w:tcW w:type="dxa" w:w="1500"/>
            <w:shd w:fill="FFFFFF" w:color="auto" w:val="clear"/>
            <w:tcMar>
              <w:top w:type="dxa" w:w="40"/>
              <w:left w:type="dxa" w:w="70"/>
              <w:bottom w:type="dxa" w:w="40"/>
              <w:right w:type="dxa" w:w="70"/>
            </w:tcMar>
          </w:tcPr>
          <w:p>
            <w:pPr>
              <w:spacing w:after="0"/>
            </w:pPr>
            <w:r>
              <w:rPr>
                <w:sz w:val="17"/>
                <w:szCs w:val="17"/>
              </w:rPr>
              <w:t xml:space="preserve">1% / 99%</w:t>
            </w:r>
          </w:p>
        </w:tc>
        <w:tc>
          <w:tcPr>
            <w:tcW w:type="dxa" w:w="2000"/>
            <w:shd w:fill="FFFFFF" w:color="auto" w:val="clear"/>
            <w:tcMar>
              <w:top w:type="dxa" w:w="40"/>
              <w:left w:type="dxa" w:w="70"/>
              <w:bottom w:type="dxa" w:w="40"/>
              <w:right w:type="dxa" w:w="70"/>
            </w:tcMar>
          </w:tcPr>
          <w:p>
            <w:pPr>
              <w:spacing w:after="0"/>
            </w:pPr>
            <w:r>
              <w:rPr>
                <w:sz w:val="17"/>
                <w:szCs w:val="17"/>
              </w:rPr>
              <w:t xml:space="preserve">$1.65 → $1.24 (no change)</w:t>
            </w:r>
          </w:p>
        </w:tc>
        <w:tc>
          <w:tcPr>
            <w:tcW w:type="dxa" w:w="1872"/>
            <w:shd w:fill="FFFFFF" w:color="auto" w:val="clear"/>
            <w:tcMar>
              <w:top w:type="dxa" w:w="40"/>
              <w:left w:type="dxa" w:w="70"/>
              <w:bottom w:type="dxa" w:w="40"/>
              <w:right w:type="dxa" w:w="70"/>
            </w:tcMar>
          </w:tcPr>
          <w:p>
            <w:pPr>
              <w:spacing w:after="0"/>
            </w:pPr>
            <w:r>
              <w:rPr>
                <w:sz w:val="17"/>
                <w:szCs w:val="17"/>
              </w:rPr>
              <w:t xml:space="preserve">break-even</w:t>
            </w:r>
          </w:p>
        </w:tc>
      </w:tr>
      <w:tr>
        <w:tc>
          <w:tcPr>
            <w:tcW w:type="dxa" w:w="3500"/>
            <w:shd w:fill="F2F5F9" w:color="auto" w:val="clear"/>
            <w:tcMar>
              <w:top w:type="dxa" w:w="40"/>
              <w:left w:type="dxa" w:w="70"/>
              <w:bottom w:type="dxa" w:w="40"/>
              <w:right w:type="dxa" w:w="70"/>
            </w:tcMar>
          </w:tcPr>
          <w:p>
            <w:pPr>
              <w:spacing w:after="0"/>
            </w:pPr>
            <w:r>
              <w:rPr>
                <w:sz w:val="17"/>
                <w:szCs w:val="17"/>
              </w:rPr>
              <w:t xml:space="preserve">Bamboo Cooling Sheets (MSV)</w:t>
            </w:r>
          </w:p>
        </w:tc>
        <w:tc>
          <w:tcPr>
            <w:tcW w:type="dxa" w:w="1100"/>
            <w:shd w:fill="F2F5F9" w:color="auto" w:val="clear"/>
            <w:tcMar>
              <w:top w:type="dxa" w:w="40"/>
              <w:left w:type="dxa" w:w="70"/>
              <w:bottom w:type="dxa" w:w="40"/>
              <w:right w:type="dxa" w:w="70"/>
            </w:tcMar>
          </w:tcPr>
          <w:p>
            <w:pPr>
              <w:spacing w:after="0"/>
            </w:pPr>
            <w:r>
              <w:rPr>
                <w:sz w:val="17"/>
                <w:szCs w:val="17"/>
              </w:rPr>
              <w:t xml:space="preserve">35</w:t>
            </w:r>
          </w:p>
        </w:tc>
        <w:tc>
          <w:tcPr>
            <w:tcW w:type="dxa" w:w="1500"/>
            <w:shd w:fill="F2F5F9" w:color="auto" w:val="clear"/>
            <w:tcMar>
              <w:top w:type="dxa" w:w="40"/>
              <w:left w:type="dxa" w:w="70"/>
              <w:bottom w:type="dxa" w:w="40"/>
              <w:right w:type="dxa" w:w="70"/>
            </w:tcMar>
          </w:tcPr>
          <w:p>
            <w:pPr>
              <w:spacing w:after="0"/>
            </w:pPr>
            <w:r>
              <w:rPr>
                <w:sz w:val="17"/>
                <w:szCs w:val="17"/>
              </w:rPr>
              <w:t xml:space="preserve">6% / 91%</w:t>
            </w:r>
          </w:p>
        </w:tc>
        <w:tc>
          <w:tcPr>
            <w:tcW w:type="dxa" w:w="2000"/>
            <w:shd w:fill="F2F5F9" w:color="auto" w:val="clear"/>
            <w:tcMar>
              <w:top w:type="dxa" w:w="40"/>
              <w:left w:type="dxa" w:w="70"/>
              <w:bottom w:type="dxa" w:w="40"/>
              <w:right w:type="dxa" w:w="70"/>
            </w:tcMar>
          </w:tcPr>
          <w:p>
            <w:pPr>
              <w:spacing w:after="0"/>
            </w:pPr>
            <w:r>
              <w:rPr>
                <w:sz w:val="17"/>
                <w:szCs w:val="17"/>
              </w:rPr>
              <w:t xml:space="preserve">$1.58 → $1.19 ($1.19)</w:t>
            </w:r>
          </w:p>
        </w:tc>
        <w:tc>
          <w:tcPr>
            <w:tcW w:type="dxa" w:w="1872"/>
            <w:shd w:fill="F2F5F9" w:color="auto" w:val="clear"/>
            <w:tcMar>
              <w:top w:type="dxa" w:w="40"/>
              <w:left w:type="dxa" w:w="70"/>
              <w:bottom w:type="dxa" w:w="40"/>
              <w:right w:type="dxa" w:w="70"/>
            </w:tcMar>
          </w:tcPr>
          <w:p>
            <w:pPr>
              <w:spacing w:after="0"/>
            </w:pPr>
            <w:r>
              <w:rPr>
                <w:sz w:val="17"/>
                <w:szCs w:val="17"/>
              </w:rPr>
              <w:t xml:space="preserve">hold $3.16 (audit $5.53)</w:t>
            </w:r>
          </w:p>
        </w:tc>
      </w:tr>
      <w:tr>
        <w:tc>
          <w:tcPr>
            <w:tcW w:type="dxa" w:w="3500"/>
            <w:shd w:fill="FFFFFF" w:color="auto" w:val="clear"/>
            <w:tcMar>
              <w:top w:type="dxa" w:w="40"/>
              <w:left w:type="dxa" w:w="70"/>
              <w:bottom w:type="dxa" w:w="40"/>
              <w:right w:type="dxa" w:w="70"/>
            </w:tcMar>
          </w:tcPr>
          <w:p>
            <w:pPr>
              <w:spacing w:after="0"/>
            </w:pPr>
            <w:r>
              <w:rPr>
                <w:sz w:val="17"/>
                <w:szCs w:val="17"/>
              </w:rPr>
              <w:t xml:space="preserve">Decolure Bamboo Sheets (MSV)</w:t>
            </w:r>
          </w:p>
        </w:tc>
        <w:tc>
          <w:tcPr>
            <w:tcW w:type="dxa" w:w="1100"/>
            <w:shd w:fill="FFFFFF" w:color="auto" w:val="clear"/>
            <w:tcMar>
              <w:top w:type="dxa" w:w="40"/>
              <w:left w:type="dxa" w:w="70"/>
              <w:bottom w:type="dxa" w:w="40"/>
              <w:right w:type="dxa" w:w="70"/>
            </w:tcMar>
          </w:tcPr>
          <w:p>
            <w:pPr>
              <w:spacing w:after="0"/>
            </w:pPr>
            <w:r>
              <w:rPr>
                <w:sz w:val="17"/>
                <w:szCs w:val="17"/>
              </w:rPr>
              <w:t xml:space="preserve">264</w:t>
            </w:r>
          </w:p>
        </w:tc>
        <w:tc>
          <w:tcPr>
            <w:tcW w:type="dxa" w:w="1500"/>
            <w:shd w:fill="FFFFFF" w:color="auto" w:val="clear"/>
            <w:tcMar>
              <w:top w:type="dxa" w:w="40"/>
              <w:left w:type="dxa" w:w="70"/>
              <w:bottom w:type="dxa" w:w="40"/>
              <w:right w:type="dxa" w:w="70"/>
            </w:tcMar>
          </w:tcPr>
          <w:p>
            <w:pPr>
              <w:spacing w:after="0"/>
            </w:pPr>
            <w:r>
              <w:rPr>
                <w:sz w:val="17"/>
                <w:szCs w:val="17"/>
              </w:rPr>
              <w:t xml:space="preserve">32% / 68%</w:t>
            </w:r>
          </w:p>
        </w:tc>
        <w:tc>
          <w:tcPr>
            <w:tcW w:type="dxa" w:w="2000"/>
            <w:shd w:fill="FFFFFF" w:color="auto" w:val="clear"/>
            <w:tcMar>
              <w:top w:type="dxa" w:w="40"/>
              <w:left w:type="dxa" w:w="70"/>
              <w:bottom w:type="dxa" w:w="40"/>
              <w:right w:type="dxa" w:w="70"/>
            </w:tcMar>
          </w:tcPr>
          <w:p>
            <w:pPr>
              <w:spacing w:after="0"/>
            </w:pPr>
            <w:r>
              <w:rPr>
                <w:sz w:val="17"/>
                <w:szCs w:val="17"/>
              </w:rPr>
              <w:t xml:space="preserve">$2.11 → $1.69 ($1.74)</w:t>
            </w:r>
          </w:p>
        </w:tc>
        <w:tc>
          <w:tcPr>
            <w:tcW w:type="dxa" w:w="1872"/>
            <w:shd w:fill="FFFFFF" w:color="auto" w:val="clear"/>
            <w:tcMar>
              <w:top w:type="dxa" w:w="40"/>
              <w:left w:type="dxa" w:w="70"/>
              <w:bottom w:type="dxa" w:w="40"/>
              <w:right w:type="dxa" w:w="70"/>
            </w:tcMar>
          </w:tcPr>
          <w:p>
            <w:pPr>
              <w:spacing w:after="0"/>
            </w:pPr>
            <w:r>
              <w:rPr>
                <w:sz w:val="17"/>
                <w:szCs w:val="17"/>
              </w:rPr>
              <w:t xml:space="preserve">$3.10 (brand term, Section 9)</w:t>
            </w:r>
          </w:p>
        </w:tc>
      </w:tr>
    </w:tbl>
    <w:p>
      <w:pPr>
        <w:spacing w:after="40"/>
      </w:pPr>
    </w:p>
    <w:p>
      <w:pPr>
        <w:spacing w:after="100"/>
      </w:pPr>
      <w:r>
        <w:t xml:space="preserve">Check the mix after 7 days. Where product pages still take more than 20%, cut the base bid again.</w:t>
      </w:r>
    </w:p>
    <w:p>
      <w:pPr>
        <w:pStyle w:val="Heading1"/>
      </w:pPr>
      <w:r>
        <w:t xml:space="preserve">9. Campaign objectives</w:t>
      </w:r>
    </w:p>
    <w:p>
      <w:pPr>
        <w:spacing w:after="100"/>
      </w:pPr>
      <w:r>
        <w:t xml:space="preserve">The audit retags 49 exact campaigns as ranking. None of them is in its own campaign list, and each gets a flat forecast of 15 extra top-of-search clicks a week. The generic bamboo terms are right to be ranking. About 12 are not, and conversions is right for those:</w:t>
      </w:r>
    </w:p>
    <w:p>
      <w:pPr>
        <w:pStyle w:val="ListParagraph"/>
        <w:numPr>
          <w:ilvl w:val="0"/>
          <w:numId w:val="3"/>
        </w:numPr>
        <w:spacing w:after="60"/>
      </w:pPr>
      <w:r>
        <w:t xml:space="preserve">Colour terms: burgundy, purple, green, olive green, sage green, blue and black bamboo sheets.</w:t>
      </w:r>
    </w:p>
    <w:p>
      <w:pPr>
        <w:pStyle w:val="ListParagraph"/>
        <w:numPr>
          <w:ilvl w:val="0"/>
          <w:numId w:val="3"/>
        </w:numPr>
        <w:spacing w:after="60"/>
      </w:pPr>
      <w:r>
        <w:t xml:space="preserve">A competitor brand: Bella sheets bamboo.</w:t>
      </w:r>
    </w:p>
    <w:p>
      <w:pPr>
        <w:pStyle w:val="ListParagraph"/>
        <w:numPr>
          <w:ilvl w:val="0"/>
          <w:numId w:val="3"/>
        </w:numPr>
        <w:spacing w:after="60"/>
      </w:pPr>
      <w:r>
        <w:t xml:space="preserve">Spanish-language terms: sábanas de bamboo king and queen.</w:t>
      </w:r>
    </w:p>
    <w:p>
      <w:pPr>
        <w:pStyle w:val="ListParagraph"/>
        <w:numPr>
          <w:ilvl w:val="0"/>
          <w:numId w:val="3"/>
        </w:numPr>
        <w:spacing w:after="60"/>
      </w:pPr>
      <w:r>
        <w:t xml:space="preserve">Misspellings and odd terms: bboo sheets, bamboo spandex sheets.</w:t>
      </w:r>
    </w:p>
    <w:p>
      <w:pPr>
        <w:spacing w:after="100"/>
      </w:pPr>
      <w:r>
        <w:t xml:space="preserve">Nobody builds organic rank on another brand’s name or a colour. Check each retag before it loads. Three more corrections:</w:t>
      </w:r>
    </w:p>
    <w:p>
      <w:pPr>
        <w:pStyle w:val="ListParagraph"/>
        <w:numPr>
          <w:ilvl w:val="0"/>
          <w:numId w:val="3"/>
        </w:numPr>
        <w:spacing w:after="60"/>
      </w:pPr>
      <w:r>
        <w:t xml:space="preserve">21 exact campaigns already tagged conversions should be checked the same way: generic terms move to ranking, and the rest stay.</w:t>
      </w:r>
    </w:p>
    <w:p>
      <w:pPr>
        <w:pStyle w:val="ListParagraph"/>
        <w:numPr>
          <w:ilvl w:val="0"/>
          <w:numId w:val="3"/>
        </w:numPr>
        <w:spacing w:after="60"/>
      </w:pPr>
      <w:r>
        <w:t xml:space="preserve">3 brand-term exact campaigns tagged ranking, including Decolure Bamboo Sheets, should be defensive. So should 1 brand broad tagged discovery. They hold the brand shelf and are not climbed.</w:t>
      </w:r>
    </w:p>
    <w:p>
      <w:pPr>
        <w:pStyle w:val="ListParagraph"/>
        <w:numPr>
          <w:ilvl w:val="0"/>
          <w:numId w:val="3"/>
        </w:numPr>
        <w:spacing w:after="60"/>
      </w:pPr>
      <w:r>
        <w:t xml:space="preserve">One campaign is named ranking but tagged conversions.</w:t>
      </w:r>
    </w:p>
    <w:p>
      <w:pPr>
        <w:pStyle w:val="Heading1"/>
      </w:pPr>
      <w:r>
        <w:t xml:space="preserve">10. One campaign per search term</w:t>
      </w:r>
    </w:p>
    <w:p>
      <w:pPr>
        <w:spacing w:after="100"/>
      </w:pPr>
      <w:r>
        <w:t xml:space="preserve">21 ranking terms are also bought by broad or auto campaigns; 11 broad, auto and phrase campaigns buy exact ranking terms. Examples:</w:t>
      </w:r>
    </w:p>
    <w:p>
      <w:pPr>
        <w:pStyle w:val="ListParagraph"/>
        <w:numPr>
          <w:ilvl w:val="0"/>
          <w:numId w:val="3"/>
        </w:numPr>
        <w:spacing w:after="60"/>
      </w:pPr>
      <w:r>
        <w:t xml:space="preserve">“bamboo sheets”: five broad discovery campaigns took 47 clicks and 1 order on it in 30 days ($141). The size-level broads take up to 15 clicks a month each on it alone.</w:t>
      </w:r>
    </w:p>
    <w:p>
      <w:pPr>
        <w:pStyle w:val="ListParagraph"/>
        <w:numPr>
          <w:ilvl w:val="0"/>
          <w:numId w:val="3"/>
        </w:numPr>
        <w:spacing w:after="60"/>
      </w:pPr>
      <w:r>
        <w:t xml:space="preserve">“bamboo sheets queen size” and “queen bamboo sheet set” leak into the Queen, cooling and Full broads.</w:t>
      </w:r>
    </w:p>
    <w:p>
      <w:pPr>
        <w:spacing w:after="100"/>
      </w:pPr>
      <w:r>
        <w:t xml:space="preserve">Four campaigns share an exact term with another live exact campaign. New exact campaigns for “bamboo sheets full” and “bamboo king sheets” would sit beside the paused ones that already own those terms (Section 7).</w:t>
      </w:r>
    </w:p>
    <w:p>
      <w:pPr>
        <w:spacing w:after="100"/>
      </w:pPr>
      <w:r>
        <w:rPr>
          <w:b/>
          <w:bCs/>
          <w:color w:val="1F3A5F"/>
        </w:rPr>
        <w:t xml:space="preserve">Correction. </w:t>
      </w:r>
      <w:r>
        <w:t xml:space="preserve">Exclude every ranking term (negative exact) from the broad, auto and phrase campaigns that buy it; the register lists each. Keep one exact owner per term: the campaign on the ranking colour with the clicks. Pause the duplicate.</w:t>
      </w:r>
    </w:p>
    <w:p>
      <w:pPr>
        <w:pStyle w:val="Heading1"/>
      </w:pPr>
      <w:r>
        <w:t xml:space="preserve">11. Conversions, discovery and other campaigns</w:t>
      </w:r>
    </w:p>
    <w:p>
      <w:pPr>
        <w:spacing w:after="100"/>
      </w:pPr>
      <w:r>
        <w:t xml:space="preserve">B6 has 64 non-ranking campaigns: 8 inside break-even, 8 over it and 38 too thin to read. Each is judged on its own ACoS against 23.8%. Over break-even, the base comes down; inside it, nothing moves.</w:t>
      </w:r>
    </w:p>
    <w:p>
      <w:pPr>
        <w:spacing w:after="100"/>
      </w:pPr>
      <w:r>
        <w:t xml:space="preserve">The change that matters most is on the brand broad campaign “Decolure”, the most profitable campaign on the product: 583 clicks and 117 orders in 30 days at 11% ACoS. The audit does three things to it:</w:t>
      </w:r>
    </w:p>
    <w:p>
      <w:pPr>
        <w:pStyle w:val="ListParagraph"/>
        <w:numPr>
          <w:ilvl w:val="0"/>
          <w:numId w:val="3"/>
        </w:numPr>
        <w:spacing w:after="60"/>
      </w:pPr>
      <w:r>
        <w:t xml:space="preserve">It moves its ad from Queen White to Queen Olive.</w:t>
      </w:r>
    </w:p>
    <w:p>
      <w:pPr>
        <w:pStyle w:val="ListParagraph"/>
        <w:numPr>
          <w:ilvl w:val="0"/>
          <w:numId w:val="3"/>
        </w:numPr>
        <w:spacing w:after="60"/>
      </w:pPr>
      <w:r>
        <w:t xml:space="preserve">It trims its boost.</w:t>
      </w:r>
    </w:p>
    <w:p>
      <w:pPr>
        <w:pStyle w:val="ListParagraph"/>
        <w:numPr>
          <w:ilvl w:val="0"/>
          <w:numId w:val="3"/>
        </w:numPr>
        <w:spacing w:after="60"/>
      </w:pPr>
      <w:r>
        <w:t xml:space="preserve">Row 2265 adds negative-exact on “decolure bamboo sheets”, “decolure bamboo sheets king size” and “decolure bamboo sheets queen size”. Those three terms took 529 clicks and $921 in this campaign in 90 days, and the review passed the row.</w:t>
      </w:r>
    </w:p>
    <w:p>
      <w:pPr>
        <w:spacing w:after="100"/>
      </w:pPr>
      <w:r>
        <w:t xml:space="preserve">Moving brand terms to their own exact campaigns follows the one-campaign-per-term rule, and exact campaigns exist for all three. But they aren’t ready to take the traffic:</w:t>
      </w:r>
    </w:p>
    <w:p>
      <w:pPr>
        <w:pStyle w:val="ListParagraph"/>
        <w:numPr>
          <w:ilvl w:val="0"/>
          <w:numId w:val="3"/>
        </w:numPr>
        <w:spacing w:after="60"/>
      </w:pPr>
      <w:r>
        <w:t xml:space="preserve">The queen-size one took 1 click in 90 days.</w:t>
      </w:r>
    </w:p>
    <w:p>
      <w:pPr>
        <w:pStyle w:val="ListParagraph"/>
        <w:numPr>
          <w:ilvl w:val="0"/>
          <w:numId w:val="3"/>
        </w:numPr>
        <w:spacing w:after="60"/>
      </w:pPr>
      <w:r>
        <w:t xml:space="preserve">The king-size one has a $20 daily budget.</w:t>
      </w:r>
    </w:p>
    <w:p>
      <w:pPr>
        <w:pStyle w:val="ListParagraph"/>
        <w:numPr>
          <w:ilvl w:val="0"/>
          <w:numId w:val="3"/>
        </w:numPr>
        <w:spacing w:after="60"/>
      </w:pPr>
      <w:r>
        <w:t xml:space="preserve">The audit also cuts the main brand exact’s base from $2.11 to $1.74.</w:t>
      </w:r>
    </w:p>
    <w:p>
      <w:pPr>
        <w:spacing w:after="100"/>
      </w:pPr>
      <w:r>
        <w:rPr>
          <w:b/>
          <w:bCs/>
          <w:color w:val="1F3A5F"/>
        </w:rPr>
        <w:t xml:space="preserve">Correction. </w:t>
      </w:r>
      <w:r>
        <w:t xml:space="preserve">Hold row 2265, the colour switch and the boost trim. First retag the three brand exact campaigns as defensive, and check that each serves on the right colour with enough budget. Only then add the negatives.</w:t>
      </w:r>
    </w:p>
    <w:p>
      <w:pPr>
        <w:pStyle w:val="Heading1"/>
      </w:pPr>
      <w:r>
        <w:t xml:space="preserve">12. Required clicks and the forecast</w:t>
      </w:r>
    </w:p>
    <w:p>
      <w:pPr>
        <w:spacing w:after="100"/>
      </w:pPr>
      <w:r>
        <w:t xml:space="preserve">Required top-of-search clicks = what the market sells at the target rank ÷ the campaign’s conversion rate. They set each push’s volume and budget, never its price. Three corrections:</w:t>
      </w:r>
    </w:p>
    <w:p>
      <w:pPr>
        <w:pStyle w:val="ListParagraph"/>
        <w:numPr>
          <w:ilvl w:val="0"/>
          <w:numId w:val="3"/>
        </w:numPr>
        <w:spacing w:after="60"/>
      </w:pPr>
      <w:r>
        <w:rPr>
          <w:b/>
          <w:bCs/>
        </w:rPr>
        <w:t xml:space="preserve">Count only the units a term doesn’t already sell, and check the total against the product. </w:t>
      </w:r>
      <w:r>
        <w:t xml:space="preserve">B6’s terms add up to 117 extra units a day against 72 sold in total, so every requirement is scaled to 0.62. The push plan (Section 5.3) shows the cost at both the full and the scaled volume.</w:t>
      </w:r>
    </w:p>
    <w:p>
      <w:pPr>
        <w:pStyle w:val="ListParagraph"/>
        <w:numPr>
          <w:ilvl w:val="0"/>
          <w:numId w:val="3"/>
        </w:numPr>
        <w:spacing w:after="60"/>
      </w:pPr>
      <w:r>
        <w:rPr>
          <w:b/>
          <w:bCs/>
        </w:rPr>
        <w:t xml:space="preserve">Check the auction can supply the clicks. </w:t>
      </w:r>
      <w:r>
        <w:t xml:space="preserve">For 22 campaigns, even winning every auction at today’s volume wouldn’t meet the requirement. Judge them on impression share and rank, not on a click count; they are not a reason to raise price. Only 1 of 91 ranking campaigns with a target delivers 70% of its requirement.</w:t>
      </w:r>
    </w:p>
    <w:p>
      <w:pPr>
        <w:pStyle w:val="ListParagraph"/>
        <w:numPr>
          <w:ilvl w:val="0"/>
          <w:numId w:val="3"/>
        </w:numPr>
        <w:spacing w:after="60"/>
      </w:pPr>
      <w:r>
        <w:rPr>
          <w:b/>
          <w:bCs/>
        </w:rPr>
        <w:t xml:space="preserve">Use real ranks. </w:t>
      </w:r>
      <w:r>
        <w:t xml:space="preserve">38 of the audit’s 40 targets carry no current rank, although the rank tracker has them. “cooling sheets” is a target at rank 10 for 93 units a week, but our rank crawl has B6 at 142 for it on 28 September (the audit has no rank for this term; the 142 in the audit belongs to “cooling bed sheets”). Take it out of the requirement until it is within reach.</w:t>
      </w:r>
    </w:p>
    <w:p>
      <w:pPr>
        <w:spacing w:after="100"/>
      </w:pPr>
      <w:r>
        <w:t xml:space="preserve">The forecast promises top-of-search clicks going from 69 to 884 a week. Of the extra 815:</w:t>
      </w:r>
    </w:p>
    <w:p>
      <w:pPr>
        <w:pStyle w:val="ListParagraph"/>
        <w:numPr>
          <w:ilvl w:val="0"/>
          <w:numId w:val="3"/>
        </w:numPr>
        <w:spacing w:after="60"/>
      </w:pPr>
      <w:r>
        <w:t xml:space="preserve">435 come from 29 retagged campaigns that aren’t in the audit’s list, at a flat 15 clicks a week each.</w:t>
      </w:r>
    </w:p>
    <w:p>
      <w:pPr>
        <w:pStyle w:val="ListParagraph"/>
        <w:numPr>
          <w:ilvl w:val="0"/>
          <w:numId w:val="3"/>
        </w:numPr>
        <w:spacing w:after="60"/>
      </w:pPr>
      <w:r>
        <w:t xml:space="preserve">196 come from boost raises, including 96 from three campaigns whose keywords are paused.</w:t>
      </w:r>
    </w:p>
    <w:p>
      <w:pPr>
        <w:pStyle w:val="ListParagraph"/>
        <w:numPr>
          <w:ilvl w:val="0"/>
          <w:numId w:val="3"/>
        </w:numPr>
        <w:spacing w:after="60"/>
      </w:pPr>
      <w:r>
        <w:t xml:space="preserve">109 come from the 75% jumps.</w:t>
      </w:r>
    </w:p>
    <w:p>
      <w:pPr>
        <w:pStyle w:val="ListParagraph"/>
        <w:numPr>
          <w:ilvl w:val="0"/>
          <w:numId w:val="3"/>
        </w:numPr>
        <w:spacing w:after="60"/>
      </w:pPr>
      <w:r>
        <w:t xml:space="preserve">75 come from new campaigns.</w:t>
      </w:r>
    </w:p>
    <w:p>
      <w:pPr>
        <w:spacing w:after="100"/>
      </w:pPr>
      <w:r>
        <w:t xml:space="preserve">Its spend baseline includes three deal days, so it also overstates normal spend. Rebuild the forecast on the corrected push and the pre-deal baseline.</w:t>
      </w:r>
    </w:p>
    <w:p>
      <w:pPr>
        <w:pStyle w:val="Heading1"/>
      </w:pPr>
      <w:r>
        <w:t xml:space="preserve">13. Rank drops</w:t>
      </w:r>
    </w:p>
    <w:p>
      <w:pPr>
        <w:spacing w:after="100"/>
      </w:pPr>
      <w:r>
        <w:t xml:space="preserve">A keyword that falls more than 10 positions while still getting clicks has a cause other than price. Never answer it with more spend: find the cause first. The audit names no causes, but several are already visible:</w:t>
      </w:r>
    </w:p>
    <w:p>
      <w:pPr>
        <w:pStyle w:val="ListParagraph"/>
        <w:numPr>
          <w:ilvl w:val="0"/>
          <w:numId w:val="3"/>
        </w:numPr>
        <w:spacing w:after="60"/>
      </w:pPr>
      <w:r>
        <w:t xml:space="preserve">“bamboo sheets queen” (27 at the end of August, 58 today, 24 places of it in the last two days): its main exact campaign’s keyword is paused. The only live exact campaign advertises Queen Creme, and the audit gives that one a 75% jump. Put one campaign on Queen White first, then price it.</w:t>
      </w:r>
    </w:p>
    <w:p>
      <w:pPr>
        <w:pStyle w:val="ListParagraph"/>
        <w:numPr>
          <w:ilvl w:val="0"/>
          <w:numId w:val="3"/>
        </w:numPr>
        <w:spacing w:after="60"/>
      </w:pPr>
      <w:r>
        <w:t xml:space="preserve">“bamboo sheets king size” (17 at the end of August, about 40 in mid-September, 27 today): its exact campaign has nearly stopped serving (Section 7).</w:t>
      </w:r>
    </w:p>
    <w:p>
      <w:pPr>
        <w:pStyle w:val="ListParagraph"/>
        <w:numPr>
          <w:ilvl w:val="0"/>
          <w:numId w:val="3"/>
        </w:numPr>
        <w:spacing w:after="60"/>
      </w:pPr>
      <w:r>
        <w:t xml:space="preserve">“bamboo sheets full” (11 → 18 today): its exact campaign is paused.</w:t>
      </w:r>
    </w:p>
    <w:p>
      <w:pPr>
        <w:pStyle w:val="ListParagraph"/>
        <w:numPr>
          <w:ilvl w:val="0"/>
          <w:numId w:val="3"/>
        </w:numPr>
        <w:spacing w:after="60"/>
      </w:pPr>
      <w:r>
        <w:t xml:space="preserve">“queen size bamboo sheets set” (18 → 40 → 30): its campaign advertises Queen Olive rather than White. Move it to White before any price move.</w:t>
      </w:r>
    </w:p>
    <w:p>
      <w:pPr>
        <w:pStyle w:val="Heading1"/>
      </w:pPr>
      <w:r>
        <w:t xml:space="preserve">14. Changes that shouldn’t load as written</w:t>
      </w:r>
    </w:p>
    <w:p>
      <w:pPr>
        <w:spacing w:after="100"/>
      </w:pPr>
      <w:r>
        <w:t xml:space="preserve">The audit’s review already holds some of these: two of the five writes on paused campaigns, five of the probes, and the 38 rows the engine’s own checks failed (the 35 budgets and 3 pause rows). They are listed here too, so nothing is missed. The review passed the rest, including all 18 withheld rows.</w:t>
      </w:r>
    </w:p>
    <w:p>
      <w:pPr>
        <w:pStyle w:val="ListParagraph"/>
        <w:numPr>
          <w:ilvl w:val="0"/>
          <w:numId w:val="3"/>
        </w:numPr>
        <w:spacing w:after="60"/>
      </w:pPr>
      <w:r>
        <w:rPr>
          <w:b/>
          <w:bCs/>
        </w:rPr>
        <w:t xml:space="preserve">All 35 budget changes are blocked by an engine error </w:t>
      </w:r>
      <w:r>
        <w:t xml:space="preserve">(they carry no forecast), while the matching price changes go through. A push without the budget to spend it stops by mid-afternoon. Set the push budgets by hand.</w:t>
      </w:r>
    </w:p>
    <w:p>
      <w:pPr>
        <w:pStyle w:val="ListParagraph"/>
        <w:numPr>
          <w:ilvl w:val="0"/>
          <w:numId w:val="3"/>
        </w:numPr>
        <w:spacing w:after="60"/>
      </w:pPr>
      <w:r>
        <w:rPr>
          <w:b/>
          <w:bCs/>
        </w:rPr>
        <w:t xml:space="preserve">All 88 colour switches skip on upload. </w:t>
      </w:r>
      <w:r>
        <w:t xml:space="preserve">Make the 10 to White within the same size by hand. Don’t make the 75 Queen-to-Olive switches or the 3 size changes (Section 6).</w:t>
      </w:r>
    </w:p>
    <w:p>
      <w:pPr>
        <w:pStyle w:val="ListParagraph"/>
        <w:numPr>
          <w:ilvl w:val="0"/>
          <w:numId w:val="3"/>
        </w:numPr>
        <w:spacing w:after="60"/>
      </w:pPr>
      <w:r>
        <w:rPr>
          <w:b/>
          <w:bCs/>
        </w:rPr>
        <w:t xml:space="preserve">18 rows the engine itself withholds </w:t>
      </w:r>
      <w:r>
        <w:t xml:space="preserve">(their text says “change → HOLD”) but still exports as changes.</w:t>
      </w:r>
    </w:p>
    <w:p>
      <w:pPr>
        <w:pStyle w:val="ListParagraph"/>
        <w:numPr>
          <w:ilvl w:val="0"/>
          <w:numId w:val="3"/>
        </w:numPr>
        <w:spacing w:after="60"/>
      </w:pPr>
      <w:r>
        <w:rPr>
          <w:b/>
          <w:bCs/>
        </w:rPr>
        <w:t xml:space="preserve">181 changes on 69 campaigns missing from the audit’s own campaign list. </w:t>
      </w:r>
      <w:r>
        <w:t xml:space="preserve">These include the 49 retags and 42 boost changes. 43 of those campaigns are “FIX” exact campaigns with $848 of spend in 30 days; 23 of them leak to product pages and 11 take no clicks. Hold every raise until each campaign’s status, colour and keywords are confirmed; the cuts can stand.</w:t>
      </w:r>
    </w:p>
    <w:p>
      <w:pPr>
        <w:pStyle w:val="ListParagraph"/>
        <w:numPr>
          <w:ilvl w:val="0"/>
          <w:numId w:val="3"/>
        </w:numPr>
        <w:spacing w:after="60"/>
      </w:pPr>
      <w:r>
        <w:rPr>
          <w:b/>
          <w:bCs/>
        </w:rPr>
        <w:t xml:space="preserve">5 writes on campaigns that were paused at the audit, and 7 exact duplicates.</w:t>
      </w:r>
    </w:p>
    <w:p>
      <w:pPr>
        <w:pStyle w:val="ListParagraph"/>
        <w:numPr>
          <w:ilvl w:val="0"/>
          <w:numId w:val="3"/>
        </w:numPr>
        <w:spacing w:after="60"/>
      </w:pPr>
      <w:r>
        <w:rPr>
          <w:b/>
          <w:bCs/>
        </w:rPr>
        <w:t xml:space="preserve">Row 2265: </w:t>
      </w:r>
      <w:r>
        <w:t xml:space="preserve">the brand-term negatives on the Decolure brand broad, until the brand exact campaigns are ready (Section 11).</w:t>
      </w:r>
    </w:p>
    <w:p>
      <w:pPr>
        <w:pStyle w:val="ListParagraph"/>
        <w:numPr>
          <w:ilvl w:val="0"/>
          <w:numId w:val="3"/>
        </w:numPr>
        <w:spacing w:after="60"/>
      </w:pPr>
      <w:r>
        <w:rPr>
          <w:b/>
          <w:bCs/>
        </w:rPr>
        <w:t xml:space="preserve">15 new campaigns mid-deal: </w:t>
      </w:r>
      <w:r>
        <w:t xml:space="preserve">8 Sponsored Brands and video “probes”, one Sponsored Display defence campaign, one competitor-targeting campaign and five Sponsored Products campaigns. Two of the Sponsored Products campaigns duplicate paused campaigns. The engine’s one failed check is a video probe placed beside a Sponsored Brands probe on the same term, and its review holds five of the probes. New campaigns launched in the last deal days would learn on deal traffic. Hold all 15 until after the deal and decide each one again.</w:t>
      </w:r>
    </w:p>
    <w:p>
      <w:pPr>
        <w:pStyle w:val="ListParagraph"/>
        <w:numPr>
          <w:ilvl w:val="0"/>
          <w:numId w:val="3"/>
        </w:numPr>
        <w:spacing w:after="60"/>
      </w:pPr>
      <w:r>
        <w:rPr>
          <w:b/>
          <w:bCs/>
        </w:rPr>
        <w:t xml:space="preserve">Its review endorses the run </w:t>
      </w:r>
      <w:r>
        <w:t xml:space="preserve">at $1,164 a day after its own holds, and says no deal falls in the window while the Best Deal is running.</w:t>
      </w:r>
    </w:p>
    <w:p>
      <w:pPr>
        <w:pStyle w:val="Heading1"/>
      </w:pPr>
      <w:r>
        <w:t xml:space="preserve">15. Next steps</w:t>
      </w:r>
    </w:p>
    <w:p>
      <w:pPr>
        <w:pStyle w:val="ListParagraph"/>
        <w:numPr>
          <w:ilvl w:val="0"/>
          <w:numId w:val="5"/>
        </w:numPr>
        <w:spacing w:after="60"/>
      </w:pPr>
      <w:r>
        <w:t xml:space="preserve">Today: load the approved push plan (Section 5.3).</w:t>
      </w:r>
    </w:p>
    <w:p>
      <w:pPr>
        <w:pStyle w:val="ListParagraph"/>
        <w:numPr>
          <w:ilvl w:val="0"/>
          <w:numId w:val="5"/>
        </w:numPr>
        <w:spacing w:after="60"/>
      </w:pPr>
      <w:r>
        <w:t xml:space="preserve">Today to 30 September:</w:t>
      </w:r>
    </w:p>
    <w:p>
      <w:pPr>
        <w:pStyle w:val="ListParagraph"/>
        <w:numPr>
          <w:ilvl w:val="0"/>
          <w:numId w:val="3"/>
        </w:numPr>
        <w:spacing w:after="60"/>
      </w:pPr>
      <w:r>
        <w:t xml:space="preserve">On the push terms: fixed bidding, the base cut and the push price in one write, budgets by hand, and daily steps until each holds the top.</w:t>
      </w:r>
    </w:p>
    <w:p>
      <w:pPr>
        <w:pStyle w:val="ListParagraph"/>
        <w:numPr>
          <w:ilvl w:val="0"/>
          <w:numId w:val="3"/>
        </w:numPr>
        <w:spacing w:after="60"/>
      </w:pPr>
      <w:r>
        <w:t xml:space="preserve">Restart “bamboo sheets full” and “bamboo king sheets”. Build exact campaigns on White for “cooling sheets king size”, “cooling sheets queen” and “queen cooling sheets”, and add them to the rank tracker. Start hourly tracking of sponsored and organic rank for B6 and True Bamboo on the push terms.</w:t>
      </w:r>
    </w:p>
    <w:p>
      <w:pPr>
        <w:pStyle w:val="ListParagraph"/>
        <w:numPr>
          <w:ilvl w:val="0"/>
          <w:numId w:val="3"/>
        </w:numPr>
        <w:spacing w:after="60"/>
      </w:pPr>
      <w:r>
        <w:t xml:space="preserve">Keep every ranking ad on White, and hold the audit’s 15 new campaigns and the retags.</w:t>
      </w:r>
    </w:p>
    <w:p>
      <w:pPr>
        <w:pStyle w:val="ListParagraph"/>
        <w:numPr>
          <w:ilvl w:val="0"/>
          <w:numId w:val="5"/>
        </w:numPr>
        <w:spacing w:after="60"/>
      </w:pPr>
      <w:r>
        <w:t xml:space="preserve">1 October: the separate post-deal audit re-prices on the full-price margin, sets the TACoS goal and spend limit outside the push, and keeps the push running.</w:t>
      </w:r>
    </w:p>
    <w:p>
      <w:pPr>
        <w:pStyle w:val="ListParagraph"/>
        <w:numPr>
          <w:ilvl w:val="0"/>
          <w:numId w:val="5"/>
        </w:numPr>
        <w:spacing w:after="60"/>
      </w:pPr>
      <w:r>
        <w:t xml:space="preserve">Daily until 7 October: watch spend, orders, top-of-search share, head-term ranks, and Full and Queen White stock. Judge nothing on deal data.</w:t>
      </w:r>
    </w:p>
    <w:p>
      <w:pPr>
        <w:pStyle w:val="ListParagraph"/>
        <w:numPr>
          <w:ilvl w:val="0"/>
          <w:numId w:val="5"/>
        </w:numPr>
        <w:spacing w:after="60"/>
      </w:pPr>
      <w:r>
        <w:t xml:space="preserve">This week:</w:t>
      </w:r>
    </w:p>
    <w:p>
      <w:pPr>
        <w:pStyle w:val="ListParagraph"/>
        <w:numPr>
          <w:ilvl w:val="0"/>
          <w:numId w:val="3"/>
        </w:numPr>
        <w:spacing w:after="60"/>
      </w:pPr>
      <w:r>
        <w:t xml:space="preserve">Exclude ranking terms from the broad and auto campaigns, and fix the retags and objective tags.</w:t>
      </w:r>
    </w:p>
    <w:p>
      <w:pPr>
        <w:pStyle w:val="ListParagraph"/>
        <w:numPr>
          <w:ilvl w:val="0"/>
          <w:numId w:val="3"/>
        </w:numPr>
        <w:spacing w:after="60"/>
      </w:pPr>
      <w:r>
        <w:t xml:space="preserve">Make the 10 colour switches to White by hand, and move the 17 discovery campaigns to their clearance colours.</w:t>
      </w:r>
    </w:p>
    <w:p>
      <w:pPr>
        <w:pStyle w:val="ListParagraph"/>
        <w:numPr>
          <w:ilvl w:val="0"/>
          <w:numId w:val="3"/>
        </w:numPr>
        <w:spacing w:after="60"/>
      </w:pPr>
      <w:r>
        <w:t xml:space="preserve">Hold the Decolure brand-broad negatives until the three brand exact campaigns are defensive and serving.</w:t>
      </w:r>
    </w:p>
    <w:p>
      <w:pPr>
        <w:pStyle w:val="ListParagraph"/>
        <w:numPr>
          <w:ilvl w:val="0"/>
          <w:numId w:val="5"/>
        </w:numPr>
        <w:spacing w:after="60"/>
      </w:pPr>
      <w:r>
        <w:t xml:space="preserve">5, 12 and 19 October: tune the push plan. Fund what moves; fix or swap what doesn’t.</w:t>
      </w:r>
    </w:p>
    <w:p>
      <w:pPr>
        <w:pStyle w:val="ListParagraph"/>
        <w:numPr>
          <w:ilvl w:val="0"/>
          <w:numId w:val="5"/>
        </w:numPr>
        <w:spacing w:after="60"/>
      </w:pPr>
      <w:r>
        <w:t xml:space="preserve">At least three weeks before each event: its push sized, funded and stock-checked, running into Black Friday / Cyber Monday from early November.</w:t>
      </w:r>
    </w:p>
    <w:p>
      <w:pPr>
        <w:pStyle w:val="Heading1"/>
      </w:pPr>
      <w:r>
        <w:t xml:space="preserve">Appendix: fixes for the engine</w:t>
      </w:r>
    </w:p>
    <w:p>
      <w:pPr>
        <w:pStyle w:val="ListParagraph"/>
        <w:numPr>
          <w:ilvl w:val="0"/>
          <w:numId w:val="3"/>
        </w:numPr>
        <w:spacing w:after="60"/>
      </w:pPr>
      <w:r>
        <w:t xml:space="preserve">It doesn’t see a Best Deal that is on the calendar and running, and its review states there is no deal in the window.</w:t>
      </w:r>
    </w:p>
    <w:p>
      <w:pPr>
        <w:pStyle w:val="ListParagraph"/>
        <w:numPr>
          <w:ilvl w:val="0"/>
          <w:numId w:val="3"/>
        </w:numPr>
        <w:spacing w:after="60"/>
      </w:pPr>
      <w:r>
        <w:t xml:space="preserve">It sets no spend target, TACoS goal or product goal, and it builds its baseline on deal days.</w:t>
      </w:r>
    </w:p>
    <w:p>
      <w:pPr>
        <w:pStyle w:val="ListParagraph"/>
        <w:numPr>
          <w:ilvl w:val="0"/>
          <w:numId w:val="3"/>
        </w:numPr>
        <w:spacing w:after="60"/>
      </w:pPr>
      <w:r>
        <w:t xml:space="preserve">It prices on $26.88 profit per unit instead of real margin from Sellerboard, and ignores the deal price.</w:t>
      </w:r>
    </w:p>
    <w:p>
      <w:pPr>
        <w:pStyle w:val="ListParagraph"/>
        <w:numPr>
          <w:ilvl w:val="0"/>
          <w:numId w:val="3"/>
        </w:numPr>
        <w:spacing w:after="60"/>
      </w:pPr>
      <w:r>
        <w:t xml:space="preserve">Its “dose” jumps skip the rank-gap size, the twice-break-even ceiling and the 30% step limit.</w:t>
      </w:r>
    </w:p>
    <w:p>
      <w:pPr>
        <w:pStyle w:val="ListParagraph"/>
        <w:numPr>
          <w:ilvl w:val="0"/>
          <w:numId w:val="3"/>
        </w:numPr>
        <w:spacing w:after="60"/>
      </w:pPr>
      <w:r>
        <w:t xml:space="preserve">It raises prices on campaigns that barely show at the top, and leaves push campaigns on down-only bidding.</w:t>
      </w:r>
    </w:p>
    <w:p>
      <w:pPr>
        <w:pStyle w:val="ListParagraph"/>
        <w:numPr>
          <w:ilvl w:val="0"/>
          <w:numId w:val="3"/>
        </w:numPr>
        <w:spacing w:after="60"/>
      </w:pPr>
      <w:r>
        <w:t xml:space="preserve">It raises boosts and forecasts clicks on campaigns whose keywords are paused, and builds new campaigns beside paused ones instead of restarting them.</w:t>
      </w:r>
    </w:p>
    <w:p>
      <w:pPr>
        <w:pStyle w:val="ListParagraph"/>
        <w:numPr>
          <w:ilvl w:val="0"/>
          <w:numId w:val="3"/>
        </w:numPr>
        <w:spacing w:after="60"/>
      </w:pPr>
      <w:r>
        <w:t xml:space="preserve">It moves Queen ranking ads to a slow seller on a push pace that its own forecast inflates.</w:t>
      </w:r>
    </w:p>
    <w:p>
      <w:pPr>
        <w:pStyle w:val="ListParagraph"/>
        <w:numPr>
          <w:ilvl w:val="0"/>
          <w:numId w:val="3"/>
        </w:numPr>
        <w:spacing w:after="60"/>
      </w:pPr>
      <w:r>
        <w:t xml:space="preserve">It makes colour switches that change the size.</w:t>
      </w:r>
    </w:p>
    <w:p>
      <w:pPr>
        <w:pStyle w:val="ListParagraph"/>
        <w:numPr>
          <w:ilvl w:val="0"/>
          <w:numId w:val="3"/>
        </w:numPr>
        <w:spacing w:after="60"/>
      </w:pPr>
      <w:r>
        <w:t xml:space="preserve">It advertises White in discovery campaigns instead of the clearance colour.</w:t>
      </w:r>
    </w:p>
    <w:p>
      <w:pPr>
        <w:pStyle w:val="ListParagraph"/>
        <w:numPr>
          <w:ilvl w:val="0"/>
          <w:numId w:val="3"/>
        </w:numPr>
        <w:spacing w:after="60"/>
      </w:pPr>
      <w:r>
        <w:t xml:space="preserve">It retags colour, competitor and Spanish-language terms as ranking.</w:t>
      </w:r>
    </w:p>
    <w:p>
      <w:pPr>
        <w:pStyle w:val="ListParagraph"/>
        <w:numPr>
          <w:ilvl w:val="0"/>
          <w:numId w:val="3"/>
        </w:numPr>
        <w:spacing w:after="60"/>
      </w:pPr>
      <w:r>
        <w:t xml:space="preserve">It exports rows it withholds, and blocks every budget change by mistake while the price changes go live.</w:t>
      </w:r>
    </w:p>
    <w:p>
      <w:pPr>
        <w:pStyle w:val="ListParagraph"/>
        <w:numPr>
          <w:ilvl w:val="0"/>
          <w:numId w:val="3"/>
        </w:numPr>
        <w:spacing w:after="60"/>
      </w:pPr>
      <w:r>
        <w:t xml:space="preserve">Its colour switches can’t be uploaded.</w:t>
      </w:r>
    </w:p>
    <w:p>
      <w:pPr>
        <w:pStyle w:val="ListParagraph"/>
        <w:numPr>
          <w:ilvl w:val="0"/>
          <w:numId w:val="3"/>
        </w:numPr>
        <w:spacing w:after="60"/>
      </w:pPr>
      <w:r>
        <w:t xml:space="preserve">It leaves 69 campaigns with changes out of its own campaign list.</w:t>
      </w:r>
    </w:p>
    <w:p>
      <w:pPr>
        <w:pStyle w:val="ListParagraph"/>
        <w:numPr>
          <w:ilvl w:val="0"/>
          <w:numId w:val="3"/>
        </w:numPr>
        <w:spacing w:after="60"/>
      </w:pPr>
      <w:r>
        <w:t xml:space="preserve">It has no current rank for 38 of its 40 target terms.</w:t>
      </w:r>
    </w:p>
    <w:p>
      <w:pPr>
        <w:pStyle w:val="ListParagraph"/>
        <w:numPr>
          <w:ilvl w:val="0"/>
          <w:numId w:val="3"/>
        </w:numPr>
        <w:spacing w:after="60"/>
      </w:pPr>
      <w:r>
        <w:t xml:space="preserve">It sets rank timelines in months when a competitor shows top-5 moves in days. It should use competitor hourly sponsored and organic rank and traffic estimates to size clicks and timelines.</w:t>
      </w:r>
    </w:p>
    <w:p>
      <w:pPr>
        <w:pStyle w:val="ListParagraph"/>
        <w:numPr>
          <w:ilvl w:val="0"/>
          <w:numId w:val="3"/>
        </w:numPr>
        <w:spacing w:after="60"/>
      </w:pPr>
      <w:r>
        <w:t xml:space="preserve">It spreads the push across hundreds of campaigns instead of a tactical set of terms with a costed click plan.</w:t>
      </w:r>
    </w:p>
    <w:p>
      <w:pPr>
        <w:pStyle w:val="ListParagraph"/>
        <w:numPr>
          <w:ilvl w:val="0"/>
          <w:numId w:val="3"/>
        </w:numPr>
        <w:spacing w:after="60"/>
      </w:pPr>
      <w:r>
        <w:t xml:space="preserve">Its notes contradict the change it writes: on “bamboo sheets” it says the price holds to the cent while raising it 7%.</w:t>
      </w:r>
    </w:p>
    <w:p>
      <w:pPr>
        <w:pStyle w:val="ListParagraph"/>
        <w:numPr>
          <w:ilvl w:val="0"/>
          <w:numId w:val="3"/>
        </w:numPr>
        <w:spacing w:after="60"/>
      </w:pPr>
      <w:r>
        <w:t xml:space="preserve">It adds brand-term negatives to the brand broad before the brand exact campaigns can take the traffic.</w:t>
      </w:r>
    </w:p>
    <w:p>
      <w:pPr>
        <w:pStyle w:val="ListParagraph"/>
        <w:numPr>
          <w:ilvl w:val="0"/>
          <w:numId w:val="3"/>
        </w:numPr>
        <w:spacing w:after="60"/>
      </w:pPr>
      <w:r>
        <w:t xml:space="preserve">Where the boost is at its 900% ceiling, it raises the base bid, which raises product-page bids too.</w:t>
      </w:r>
    </w:p>
    <w:sectPr>
      <w:pgSz w:w="12240" w:h="15840"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d64f8fb442758ce11dd5b021949c115a23daa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DBS6 audit corrections — 28 September 2026</dc:title>
  <dc:creator>Claude</dc:creator>
  <cp:lastModifiedBy>Un-named</cp:lastModifiedBy>
  <cp:revision>1</cp:revision>
  <dcterms:created xsi:type="dcterms:W3CDTF">2026-09-28T23:13:56.274Z</dcterms:created>
  <dcterms:modified xsi:type="dcterms:W3CDTF">2026-09-28T23:13:56.275Z</dcterms:modified>
</cp:coreProperties>
</file>

<file path=docProps/custom.xml><?xml version="1.0" encoding="utf-8"?>
<Properties xmlns="http://schemas.openxmlformats.org/officeDocument/2006/custom-properties" xmlns:vt="http://schemas.openxmlformats.org/officeDocument/2006/docPropsVTypes"/>
</file>