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harder at top of search, on a tactical set of terms, with a costed plan. </w:t>
      </w:r>
      <w:r>
        <w:t xml:space="preserve">A competitor with 129 reviews, True Bamboo, climbed from about 110 to the top 5 on three of our main terms in about 9 days by holding the top ad slot. B6’s own history says the same: once the clicks land, its terms reach the top 10 in a median of 5 days. What’s missing is volume at the top. Ten terms are funded for the rest of the deal within a total B6 budget of $1,300 a day; from 1 October the budget is re-evaluated. Six more wait on a listing check, a price-limit decision or the 1 October audit (Section 5.3). The base cut and the push price go in one write; bidding strategies stay as they are. Prices then step up daily until each term holds the top slot, never above twice break-even. The audit’s 18 jumps of 75% go.</w:t>
      </w:r>
    </w:p>
    <w:p>
      <w:pPr>
        <w:pStyle w:val="ListParagraph"/>
        <w:numPr>
          <w:ilvl w:val="0"/>
          <w:numId w:val="2"/>
        </w:numPr>
        <w:spacing w:after="60"/>
      </w:pPr>
      <w:r>
        <w:rPr>
          <w:b/>
          <w:bCs/>
        </w:rPr>
        <w:t xml:space="preserve">“bamboo sheets” is in the push. </w:t>
      </w:r>
      <w:r>
        <w:t xml:space="preserve">It is B6’s biggest term and qualifies. The audit marks it out of focus and contradicts itself on its price (Section 5.6).</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Budget set: </w:t>
      </w:r>
      <w:r>
        <w:t xml:space="preserve">for the rest of the deal (29–30 September), up to $1,300 a day of B6 ad spend in total, as a stated two-day exception to the 10% margin rule. Margin after ads runs at about 7% on those two days (Section 5.3). Today spend is $982 a day at about 11% margin. The increase goes to top of search on the ranking terms in the push, about $1,060 a day. These two days are for pushing. From 1 October a separate audit re-evaluates the budget and the margin rule, and sets the post-deal prices and goals.</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bidding</w:t>
            </w:r>
          </w:p>
        </w:tc>
        <w:tc>
          <w:tcPr>
            <w:tcW w:type="dxa" w:w="7372"/>
            <w:shd w:fill="F2F5F9" w:color="auto" w:val="clear"/>
            <w:tcMar>
              <w:top w:type="dxa" w:w="40"/>
              <w:left w:type="dxa" w:w="70"/>
              <w:bottom w:type="dxa" w:w="40"/>
              <w:right w:type="dxa" w:w="70"/>
            </w:tcMar>
          </w:tcPr>
          <w:p>
            <w:pPr>
              <w:spacing w:after="0"/>
            </w:pPr>
            <w:r>
              <w:rPr>
                <w:sz w:val="17"/>
                <w:szCs w:val="17"/>
              </w:rPr>
              <w:t xml:space="preserve">Our campaigns use down-only bidding: Amazon may cut our bid when it thinks a click is less likely to sell, so the price we set at the top is a maximum, not what we always pay. Bidding strategies stay as they are, so whether a term holds the top is read on its impression share.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Not hundreds of terms, and more than a few. Each push term gets a plan for top-of-search clicks, orders and budget a day, which is tuned weekly on results. A term qualifies when it meets four conditions: it beats the market at top of search on click-through and on conversion, it has 7 or more days of Available stock, and its keyword is live and serving. Where a term has barely been shown at the top, judge it on its overall conversion against the market until it has 15 top-of-search clicks.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Step up by at most 30% a day until the term holds a top-3 sponsored position most hours and at least 30% of top-of-search impressions. Never pay more than twice break-even. If a term sits at that ceiling and still can’t hold the top for 3 days,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to reach the push price, in one write. Cut the base by at most 50% a step, or 25% where product pages bring orders.</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(29–30 September), a stated exception: </w:t>
      </w:r>
      <w:r>
        <w:t xml:space="preserve">total B6 ad spend up to $1,300 a day, with the increase going to top of search on the push terms. These two days are for pushing: margin after ads runs at about 7% instead of 10% (Section 5.3). Campaigns outside the push keep their current budgets, with no raises.</w:t>
      </w:r>
    </w:p>
    <w:p>
      <w:pPr>
        <w:pStyle w:val="ListParagraph"/>
        <w:numPr>
          <w:ilvl w:val="0"/>
          <w:numId w:val="3"/>
        </w:numPr>
        <w:spacing w:after="60"/>
      </w:pPr>
      <w:r>
        <w:rPr>
          <w:b/>
          <w:bCs/>
        </w:rPr>
        <w:t xml:space="preserve">From 1 October, re-evaluated in the separate post-deal audit: </w:t>
      </w:r>
      <w:r>
        <w:t xml:space="preserve">the spend limit and the margin rule. Keeping margin after ads above 10% at the full price would mean total ads at or under about 13.8% of sales, since B6 keeps 23.8% before ads. The same audit re-evaluates the push budget inside that limit; the push terms and the weekly tuning below carry over.</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True Bamboo moved from about 110 to the top 5 on three of these terms in 9 days, so this is achievable.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Cut the push campaigns’ base bids and raise their boosts in the same write, so the top-of-search price reaches the push price while product pages get cheaper (Section 8). Bidding strategies stay as they are.</w:t>
      </w:r>
    </w:p>
    <w:p>
      <w:pPr>
        <w:pStyle w:val="ListParagraph"/>
        <w:numPr>
          <w:ilvl w:val="0"/>
          <w:numId w:val="3"/>
        </w:numPr>
        <w:spacing w:after="60"/>
      </w:pPr>
      <w:r>
        <w:t xml:space="preserve">Write each push term’s price from the plan (Section 5.3), in the same write as the base cut. Step it up by up to 30% a day until it holds the top slot, never above twice break-even. Terms outside the push move toward break-even.</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 (the separate post-deal audit)</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outside the push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terms carry on at the budget the 1 October audit sets. They must not see a gap between deal traffic ending and the push continuing.</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It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28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29</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21</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500"/>
            <w:shd w:fill="FFFFFF" w:color="auto" w:val="clear"/>
            <w:tcMar>
              <w:top w:type="dxa" w:w="40"/>
              <w:left w:type="dxa" w:w="70"/>
              <w:bottom w:type="dxa" w:w="40"/>
              <w:right w:type="dxa" w:w="70"/>
            </w:tcMar>
          </w:tcPr>
          <w:p>
            <w:pPr>
              <w:spacing w:after="0"/>
            </w:pPr>
            <w:r>
              <w:rPr>
                <w:sz w:val="17"/>
                <w:szCs w:val="17"/>
              </w:rPr>
              <w:t xml:space="preserve">2,277</w:t>
            </w:r>
          </w:p>
        </w:tc>
        <w:tc>
          <w:tcPr>
            <w:tcW w:type="dxa" w:w="3200"/>
            <w:shd w:fill="FFFFFF" w:color="auto" w:val="clear"/>
            <w:tcMar>
              <w:top w:type="dxa" w:w="40"/>
              <w:left w:type="dxa" w:w="70"/>
              <w:bottom w:type="dxa" w:w="40"/>
              <w:right w:type="dxa" w:w="70"/>
            </w:tcMar>
          </w:tcPr>
          <w:p>
            <w:pPr>
              <w:spacing w:after="0"/>
            </w:pPr>
            <w:r>
              <w:rPr>
                <w:sz w:val="17"/>
                <w:szCs w:val="17"/>
              </w:rPr>
              <w:t xml:space="preserve">131 (9 Sep) → — → 19</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2F5F9" w:color="auto" w:val="clear"/>
            <w:tcMar>
              <w:top w:type="dxa" w:w="40"/>
              <w:left w:type="dxa" w:w="70"/>
              <w:bottom w:type="dxa" w:w="40"/>
              <w:right w:type="dxa" w:w="70"/>
            </w:tcMar>
          </w:tcPr>
          <w:p>
            <w:pPr>
              <w:spacing w:after="0"/>
            </w:pPr>
            <w:r>
              <w:rPr>
                <w:sz w:val="17"/>
                <w:szCs w:val="17"/>
              </w:rPr>
              <w:t xml:space="preserve">1,502</w:t>
            </w:r>
          </w:p>
        </w:tc>
        <w:tc>
          <w:tcPr>
            <w:tcW w:type="dxa" w:w="3200"/>
            <w:shd w:fill="F2F5F9" w:color="auto" w:val="clear"/>
            <w:tcMar>
              <w:top w:type="dxa" w:w="40"/>
              <w:left w:type="dxa" w:w="70"/>
              <w:bottom w:type="dxa" w:w="40"/>
              <w:right w:type="dxa" w:w="70"/>
            </w:tcMar>
          </w:tcPr>
          <w:p>
            <w:pPr>
              <w:spacing w:after="0"/>
            </w:pPr>
            <w:r>
              <w:rPr>
                <w:sz w:val="17"/>
                <w:szCs w:val="17"/>
              </w:rPr>
              <w:t xml:space="preserve">117 → 113 → 5</w:t>
            </w:r>
          </w:p>
        </w:tc>
        <w:tc>
          <w:tcPr>
            <w:tcW w:type="dxa" w:w="2572"/>
            <w:shd w:fill="F2F5F9" w:color="auto" w:val="clear"/>
            <w:tcMar>
              <w:top w:type="dxa" w:w="40"/>
              <w:left w:type="dxa" w:w="70"/>
              <w:bottom w:type="dxa" w:w="40"/>
              <w:right w:type="dxa" w:w="70"/>
            </w:tcMar>
          </w:tcPr>
          <w:p>
            <w:pPr>
              <w:spacing w:after="0"/>
            </w:pPr>
            <w:r>
              <w:rPr>
                <w:sz w:val="17"/>
                <w:szCs w:val="17"/>
              </w:rPr>
              <w:t xml:space="preserve">27</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1,468</w:t>
            </w:r>
          </w:p>
        </w:tc>
        <w:tc>
          <w:tcPr>
            <w:tcW w:type="dxa" w:w="3200"/>
            <w:shd w:fill="FFFFFF" w:color="auto" w:val="clear"/>
            <w:tcMar>
              <w:top w:type="dxa" w:w="40"/>
              <w:left w:type="dxa" w:w="70"/>
              <w:bottom w:type="dxa" w:w="40"/>
              <w:right w:type="dxa" w:w="70"/>
            </w:tcMar>
          </w:tcPr>
          <w:p>
            <w:pPr>
              <w:spacing w:after="0"/>
            </w:pPr>
            <w:r>
              <w:rPr>
                <w:sz w:val="17"/>
                <w:szCs w:val="17"/>
              </w:rPr>
              <w:t xml:space="preserve">— → 114 → 14</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25</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19</w:t>
            </w:r>
          </w:p>
        </w:tc>
      </w:tr>
    </w:tbl>
    <w:p>
      <w:pPr>
        <w:spacing w:after="120"/>
      </w:pPr>
      <w:r>
        <w:rPr>
          <w:i/>
          <w:iCs/>
          <w:color w:val="555555"/>
          <w:sz w:val="17"/>
          <w:szCs w:val="17"/>
        </w:rPr>
        <w:t xml:space="preserve">ASinsight rank and keyword sales for B0HD7R5L1D; B6 ranks from our daily rank crawl. Whether True Bamboo ran a deal in this window is not known.</w:t>
      </w:r>
    </w:p>
    <w:p>
      <w:pPr>
        <w:spacing w:after="100"/>
      </w:pPr>
      <w:r>
        <w:t xml:space="preserve">On “bamboo sheets king size”, ASinsight’s hourly view shows True Bamboo’s organic rank going from about 50 on 21 September to 4 by 25 September, while its sponsored rank sat at the top most hours of every day. What this means for B6:</w:t>
      </w:r>
    </w:p>
    <w:p>
      <w:pPr>
        <w:pStyle w:val="ListParagraph"/>
        <w:numPr>
          <w:ilvl w:val="0"/>
          <w:numId w:val="3"/>
        </w:numPr>
        <w:spacing w:after="60"/>
      </w:pPr>
      <w:r>
        <w:t xml:space="preserve">Rank moves in days, not months, when the ad holds the top slot all day with enough clicks. B6’s own history in the audit agrees: across 113 cases in the last year where a term reached the top 10 and held it, that took a median of 5 days, and 75% got there within 19 days once the clicks landed. The late-November dates in the audit are the operator’s targets, not the engine’s forecast.</w:t>
      </w:r>
    </w:p>
    <w:p>
      <w:pPr>
        <w:pStyle w:val="ListParagraph"/>
        <w:numPr>
          <w:ilvl w:val="0"/>
          <w:numId w:val="3"/>
        </w:numPr>
        <w:spacing w:after="60"/>
      </w:pPr>
      <w:r>
        <w:t xml:space="preserve">On most of these terms our click-through and conversion at the top already beat the market (Section 5.4), so volume at the top is the blocker. “bamboo sheets” gets 7 of the 69 top-of-search clicks a day its plan needs, and “bamboo sheets queen size” under 1 of 44. Two terms are the exception: Amazon’s search query data shows below-market click-through and conversion on “bamboo sheets king size” and “bamboo sheets king”, so they get a listing check before any push.</w:t>
      </w:r>
    </w:p>
    <w:p>
      <w:pPr>
        <w:pStyle w:val="ListParagraph"/>
        <w:numPr>
          <w:ilvl w:val="0"/>
          <w:numId w:val="3"/>
        </w:numPr>
        <w:spacing w:after="60"/>
      </w:pPr>
      <w:r>
        <w:t xml:space="preserve">The earlier version of these corrections was still too cautious in two places: one 30% step a week, and fixing the mix before pushing. Both now happen together, with daily steps.</w:t>
      </w:r>
    </w:p>
    <w:p>
      <w:pPr>
        <w:pStyle w:val="ListParagraph"/>
        <w:numPr>
          <w:ilvl w:val="0"/>
          <w:numId w:val="3"/>
        </w:numPr>
        <w:spacing w:after="60"/>
      </w:pPr>
      <w:r>
        <w:t xml:space="preserve">Check the listing against True Bamboo on the push terms anyway (main image, title, price and coupon, reviews), so the extra clicks convert.</w:t>
      </w:r>
    </w:p>
    <w:p>
      <w:pPr>
        <w:pStyle w:val="Heading2"/>
      </w:pPr>
      <w:r>
        <w:t xml:space="preserve">5.3 The push plan</w:t>
      </w:r>
    </w:p>
    <w:p>
      <w:pPr>
        <w:spacing w:after="100"/>
      </w:pPr>
      <w:r>
        <w:t xml:space="preserve">A term is in the push when four things hold:</w:t>
      </w:r>
    </w:p>
    <w:p>
      <w:pPr>
        <w:pStyle w:val="ListParagraph"/>
        <w:numPr>
          <w:ilvl w:val="0"/>
          <w:numId w:val="3"/>
        </w:numPr>
        <w:spacing w:after="60"/>
      </w:pPr>
      <w:r>
        <w:t xml:space="preserve">It has real demand.</w:t>
      </w:r>
    </w:p>
    <w:p>
      <w:pPr>
        <w:pStyle w:val="ListParagraph"/>
        <w:numPr>
          <w:ilvl w:val="0"/>
          <w:numId w:val="3"/>
        </w:numPr>
        <w:spacing w:after="60"/>
      </w:pPr>
      <w:r>
        <w:t xml:space="preserve">It converts above the market: at the top, or overall where it has barely been shown there.</w:t>
      </w:r>
    </w:p>
    <w:p>
      <w:pPr>
        <w:pStyle w:val="ListParagraph"/>
        <w:numPr>
          <w:ilvl w:val="0"/>
          <w:numId w:val="3"/>
        </w:numPr>
        <w:spacing w:after="60"/>
      </w:pPr>
      <w:r>
        <w:t xml:space="preserve">White is in stock.</w:t>
      </w:r>
    </w:p>
    <w:p>
      <w:pPr>
        <w:pStyle w:val="ListParagraph"/>
        <w:numPr>
          <w:ilvl w:val="0"/>
          <w:numId w:val="3"/>
        </w:numPr>
        <w:spacing w:after="60"/>
      </w:pPr>
      <w:r>
        <w:t xml:space="preserve">It is within reach: we, or True Bamboo, rank inside about 30 places.</w:t>
      </w:r>
    </w:p>
    <w:p>
      <w:pPr>
        <w:spacing w:after="100"/>
      </w:pPr>
      <w:r>
        <w:t xml:space="preserve">Sixteen terms pass. Ten are funded for the rest of the deal within the $1,300 budget. The other six wait for a stated reason. Each funded term has a plan for clicks, orders and budget a day, tuned weekly on results: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200"/>
        <w:gridCol w:w="900"/>
        <w:gridCol w:w="800"/>
        <w:gridCol w:w="1300"/>
        <w:gridCol w:w="1000"/>
        <w:gridCol w:w="1572"/>
      </w:tblGrid>
      <w:tr>
        <w:trPr>
          <w:tblHeader/>
        </w:trPr>
        <w:tc>
          <w:tcPr>
            <w:tcW w:type="dxa" w:w="22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Orders a day</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Price this week (ceiling)</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Our top-of-search cost per click</w:t>
            </w:r>
          </w:p>
        </w:tc>
        <w:tc>
          <w:tcPr>
            <w:tcW w:type="dxa" w:w="1572"/>
            <w:shd w:fill="1F3A5F" w:color="auto" w:val="clear"/>
            <w:tcMar>
              <w:top w:type="dxa" w:w="40"/>
              <w:left w:type="dxa" w:w="70"/>
              <w:bottom w:type="dxa" w:w="40"/>
              <w:right w:type="dxa" w:w="70"/>
            </w:tcMar>
          </w:tcPr>
          <w:p>
            <w:pPr>
              <w:spacing w:after="0"/>
            </w:pPr>
            <w:r>
              <w:rPr>
                <w:b/>
                <w:bCs/>
                <w:color w:val="FFFFFF"/>
                <w:sz w:val="17"/>
                <w:szCs w:val="17"/>
              </w:rPr>
              <w:t xml:space="preserve">Budget a day</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Funded now</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w:t>
            </w:r>
          </w:p>
        </w:tc>
        <w:tc>
          <w:tcPr>
            <w:tcW w:type="dxa" w:w="1000"/>
            <w:shd w:fill="F2F5F9" w:color="auto" w:val="clear"/>
            <w:tcMar>
              <w:top w:type="dxa" w:w="40"/>
              <w:left w:type="dxa" w:w="70"/>
              <w:bottom w:type="dxa" w:w="40"/>
              <w:right w:type="dxa" w:w="70"/>
            </w:tcMar>
          </w:tcPr>
          <w:p>
            <w:pPr>
              <w:spacing w:after="0"/>
            </w:pPr>
            <w:r>
              <w:rPr>
                <w:sz w:val="17"/>
                <w:szCs w:val="17"/>
              </w:rPr>
              <w:t xml:space="preserve">29 → 9</w:t>
            </w:r>
          </w:p>
        </w:tc>
        <w:tc>
          <w:tcPr>
            <w:tcW w:type="dxa" w:w="1200"/>
            <w:shd w:fill="F2F5F9" w:color="auto" w:val="clear"/>
            <w:tcMar>
              <w:top w:type="dxa" w:w="40"/>
              <w:left w:type="dxa" w:w="70"/>
              <w:bottom w:type="dxa" w:w="40"/>
              <w:right w:type="dxa" w:w="70"/>
            </w:tcMar>
          </w:tcPr>
          <w:p>
            <w:pPr>
              <w:spacing w:after="0"/>
            </w:pPr>
            <w:r>
              <w:rPr>
                <w:sz w:val="17"/>
                <w:szCs w:val="17"/>
              </w:rPr>
              <w:t xml:space="preserve">69 · 7</w:t>
            </w:r>
          </w:p>
        </w:tc>
        <w:tc>
          <w:tcPr>
            <w:tcW w:type="dxa" w:w="900"/>
            <w:shd w:fill="F2F5F9" w:color="auto" w:val="clear"/>
            <w:tcMar>
              <w:top w:type="dxa" w:w="40"/>
              <w:left w:type="dxa" w:w="70"/>
              <w:bottom w:type="dxa" w:w="40"/>
              <w:right w:type="dxa" w:w="70"/>
            </w:tcMar>
          </w:tcPr>
          <w:p>
            <w:pPr>
              <w:spacing w:after="0"/>
            </w:pPr>
            <w:r>
              <w:rPr>
                <w:sz w:val="17"/>
                <w:szCs w:val="17"/>
              </w:rPr>
              <w:t xml:space="preserve">19.3%</w:t>
            </w:r>
          </w:p>
        </w:tc>
        <w:tc>
          <w:tcPr>
            <w:tcW w:type="dxa" w:w="800"/>
            <w:shd w:fill="F2F5F9" w:color="auto" w:val="clear"/>
            <w:tcMar>
              <w:top w:type="dxa" w:w="40"/>
              <w:left w:type="dxa" w:w="70"/>
              <w:bottom w:type="dxa" w:w="40"/>
              <w:right w:type="dxa" w:w="70"/>
            </w:tcMar>
          </w:tcPr>
          <w:p>
            <w:pPr>
              <w:spacing w:after="0"/>
            </w:pPr>
            <w:r>
              <w:rPr>
                <w:sz w:val="17"/>
                <w:szCs w:val="17"/>
              </w:rPr>
              <w:t xml:space="preserve">13.3</w:t>
            </w:r>
          </w:p>
        </w:tc>
        <w:tc>
          <w:tcPr>
            <w:tcW w:type="dxa" w:w="1300"/>
            <w:shd w:fill="F2F5F9" w:color="auto" w:val="clear"/>
            <w:tcMar>
              <w:top w:type="dxa" w:w="40"/>
              <w:left w:type="dxa" w:w="70"/>
              <w:bottom w:type="dxa" w:w="40"/>
              <w:right w:type="dxa" w:w="70"/>
            </w:tcMar>
          </w:tcPr>
          <w:p>
            <w:pPr>
              <w:spacing w:after="0"/>
            </w:pPr>
            <w:r>
              <w:rPr>
                <w:sz w:val="17"/>
                <w:szCs w:val="17"/>
              </w:rPr>
              <w:t xml:space="preserve">$6.16 ($6.16)</w:t>
            </w:r>
          </w:p>
        </w:tc>
        <w:tc>
          <w:tcPr>
            <w:tcW w:type="dxa" w:w="1000"/>
            <w:shd w:fill="F2F5F9" w:color="auto" w:val="clear"/>
            <w:tcMar>
              <w:top w:type="dxa" w:w="40"/>
              <w:left w:type="dxa" w:w="70"/>
              <w:bottom w:type="dxa" w:w="40"/>
              <w:right w:type="dxa" w:w="70"/>
            </w:tcMar>
          </w:tcPr>
          <w:p>
            <w:pPr>
              <w:spacing w:after="0"/>
            </w:pPr>
            <w:r>
              <w:rPr>
                <w:sz w:val="17"/>
                <w:szCs w:val="17"/>
              </w:rPr>
              <w:t xml:space="preserve">$5.67</w:t>
            </w:r>
          </w:p>
        </w:tc>
        <w:tc>
          <w:tcPr>
            <w:tcW w:type="dxa" w:w="1572"/>
            <w:shd w:fill="F2F5F9" w:color="auto" w:val="clear"/>
            <w:tcMar>
              <w:top w:type="dxa" w:w="40"/>
              <w:left w:type="dxa" w:w="70"/>
              <w:bottom w:type="dxa" w:w="40"/>
              <w:right w:type="dxa" w:w="70"/>
            </w:tcMar>
          </w:tcPr>
          <w:p>
            <w:pPr>
              <w:spacing w:after="0"/>
            </w:pPr>
            <w:r>
              <w:rPr>
                <w:sz w:val="17"/>
                <w:szCs w:val="17"/>
              </w:rPr>
              <w:t xml:space="preserve">$425</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queen size</w:t>
            </w:r>
          </w:p>
        </w:tc>
        <w:tc>
          <w:tcPr>
            <w:tcW w:type="dxa" w:w="1000"/>
            <w:shd w:fill="FFFFFF" w:color="auto" w:val="clear"/>
            <w:tcMar>
              <w:top w:type="dxa" w:w="40"/>
              <w:left w:type="dxa" w:w="70"/>
              <w:bottom w:type="dxa" w:w="40"/>
              <w:right w:type="dxa" w:w="70"/>
            </w:tcMar>
          </w:tcPr>
          <w:p>
            <w:pPr>
              <w:spacing w:after="0"/>
            </w:pPr>
            <w:r>
              <w:rPr>
                <w:sz w:val="17"/>
                <w:szCs w:val="17"/>
              </w:rPr>
              <w:t xml:space="preserve">21 → 5</w:t>
            </w:r>
          </w:p>
        </w:tc>
        <w:tc>
          <w:tcPr>
            <w:tcW w:type="dxa" w:w="1200"/>
            <w:shd w:fill="FFFFFF" w:color="auto" w:val="clear"/>
            <w:tcMar>
              <w:top w:type="dxa" w:w="40"/>
              <w:left w:type="dxa" w:w="70"/>
              <w:bottom w:type="dxa" w:w="40"/>
              <w:right w:type="dxa" w:w="70"/>
            </w:tcMar>
          </w:tcPr>
          <w:p>
            <w:pPr>
              <w:spacing w:after="0"/>
            </w:pPr>
            <w:r>
              <w:rPr>
                <w:sz w:val="17"/>
                <w:szCs w:val="17"/>
              </w:rPr>
              <w:t xml:space="preserve">44 · 0.8</w:t>
            </w:r>
          </w:p>
        </w:tc>
        <w:tc>
          <w:tcPr>
            <w:tcW w:type="dxa" w:w="900"/>
            <w:shd w:fill="FFFFFF" w:color="auto" w:val="clear"/>
            <w:tcMar>
              <w:top w:type="dxa" w:w="40"/>
              <w:left w:type="dxa" w:w="70"/>
              <w:bottom w:type="dxa" w:w="40"/>
              <w:right w:type="dxa" w:w="70"/>
            </w:tcMar>
          </w:tcPr>
          <w:p>
            <w:pPr>
              <w:spacing w:after="0"/>
            </w:pPr>
            <w:r>
              <w:rPr>
                <w:sz w:val="17"/>
                <w:szCs w:val="17"/>
              </w:rPr>
              <w:t xml:space="preserve">22.7%</w:t>
            </w:r>
          </w:p>
        </w:tc>
        <w:tc>
          <w:tcPr>
            <w:tcW w:type="dxa" w:w="800"/>
            <w:shd w:fill="FFFFFF" w:color="auto" w:val="clear"/>
            <w:tcMar>
              <w:top w:type="dxa" w:w="40"/>
              <w:left w:type="dxa" w:w="70"/>
              <w:bottom w:type="dxa" w:w="40"/>
              <w:right w:type="dxa" w:w="70"/>
            </w:tcMar>
          </w:tcPr>
          <w:p>
            <w:pPr>
              <w:spacing w:after="0"/>
            </w:pPr>
            <w:r>
              <w:rPr>
                <w:sz w:val="17"/>
                <w:szCs w:val="17"/>
              </w:rPr>
              <w:t xml:space="preserve">10.0</w:t>
            </w:r>
          </w:p>
        </w:tc>
        <w:tc>
          <w:tcPr>
            <w:tcW w:type="dxa" w:w="1300"/>
            <w:shd w:fill="FFFFFF" w:color="auto" w:val="clear"/>
            <w:tcMar>
              <w:top w:type="dxa" w:w="40"/>
              <w:left w:type="dxa" w:w="70"/>
              <w:bottom w:type="dxa" w:w="40"/>
              <w:right w:type="dxa" w:w="70"/>
            </w:tcMar>
          </w:tcPr>
          <w:p>
            <w:pPr>
              <w:spacing w:after="0"/>
            </w:pPr>
            <w:r>
              <w:rPr>
                <w:sz w:val="17"/>
                <w:szCs w:val="17"/>
              </w:rPr>
              <w:t xml:space="preserve">$7.71 ($8.86)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$339</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000"/>
            <w:shd w:fill="F2F5F9" w:color="auto" w:val="clear"/>
            <w:tcMar>
              <w:top w:type="dxa" w:w="40"/>
              <w:left w:type="dxa" w:w="70"/>
              <w:bottom w:type="dxa" w:w="40"/>
              <w:right w:type="dxa" w:w="70"/>
            </w:tcMar>
          </w:tcPr>
          <w:p>
            <w:pPr>
              <w:spacing w:after="0"/>
            </w:pPr>
            <w:r>
              <w:rPr>
                <w:sz w:val="17"/>
                <w:szCs w:val="17"/>
              </w:rPr>
              <w:t xml:space="preserve">18 → 2</w:t>
            </w:r>
          </w:p>
        </w:tc>
        <w:tc>
          <w:tcPr>
            <w:tcW w:type="dxa" w:w="1200"/>
            <w:shd w:fill="F2F5F9" w:color="auto" w:val="clear"/>
            <w:tcMar>
              <w:top w:type="dxa" w:w="40"/>
              <w:left w:type="dxa" w:w="70"/>
              <w:bottom w:type="dxa" w:w="40"/>
              <w:right w:type="dxa" w:w="70"/>
            </w:tcMar>
          </w:tcPr>
          <w:p>
            <w:pPr>
              <w:spacing w:after="0"/>
            </w:pPr>
            <w:r>
              <w:rPr>
                <w:sz w:val="17"/>
                <w:szCs w:val="17"/>
              </w:rPr>
              <w:t xml:space="preserve">22 · 0 (paused)</w:t>
            </w:r>
          </w:p>
        </w:tc>
        <w:tc>
          <w:tcPr>
            <w:tcW w:type="dxa" w:w="900"/>
            <w:shd w:fill="F2F5F9" w:color="auto" w:val="clear"/>
            <w:tcMar>
              <w:top w:type="dxa" w:w="40"/>
              <w:left w:type="dxa" w:w="70"/>
              <w:bottom w:type="dxa" w:w="40"/>
              <w:right w:type="dxa" w:w="70"/>
            </w:tcMar>
          </w:tcPr>
          <w:p>
            <w:pPr>
              <w:spacing w:after="0"/>
            </w:pPr>
            <w:r>
              <w:rPr>
                <w:sz w:val="17"/>
                <w:szCs w:val="17"/>
              </w:rPr>
              <w:t xml:space="preserve">12.5%*</w:t>
            </w:r>
          </w:p>
        </w:tc>
        <w:tc>
          <w:tcPr>
            <w:tcW w:type="dxa" w:w="800"/>
            <w:shd w:fill="F2F5F9" w:color="auto" w:val="clear"/>
            <w:tcMar>
              <w:top w:type="dxa" w:w="40"/>
              <w:left w:type="dxa" w:w="70"/>
              <w:bottom w:type="dxa" w:w="40"/>
              <w:right w:type="dxa" w:w="70"/>
            </w:tcMar>
          </w:tcPr>
          <w:p>
            <w:pPr>
              <w:spacing w:after="0"/>
            </w:pPr>
            <w:r>
              <w:rPr>
                <w:sz w:val="17"/>
                <w:szCs w:val="17"/>
              </w:rPr>
              <w:t xml:space="preserve">2.7</w:t>
            </w:r>
          </w:p>
        </w:tc>
        <w:tc>
          <w:tcPr>
            <w:tcW w:type="dxa" w:w="1300"/>
            <w:shd w:fill="F2F5F9" w:color="auto" w:val="clear"/>
            <w:tcMar>
              <w:top w:type="dxa" w:w="40"/>
              <w:left w:type="dxa" w:w="70"/>
              <w:bottom w:type="dxa" w:w="40"/>
              <w:right w:type="dxa" w:w="70"/>
            </w:tcMar>
          </w:tcPr>
          <w:p>
            <w:pPr>
              <w:spacing w:after="0"/>
            </w:pPr>
            <w:r>
              <w:rPr>
                <w:sz w:val="17"/>
                <w:szCs w:val="17"/>
              </w:rPr>
              <w:t xml:space="preserve">$5.52 ($5.52)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$121</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bed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6</w:t>
            </w:r>
          </w:p>
        </w:tc>
        <w:tc>
          <w:tcPr>
            <w:tcW w:type="dxa" w:w="1200"/>
            <w:shd w:fill="FFFFFF" w:color="auto" w:val="clear"/>
            <w:tcMar>
              <w:top w:type="dxa" w:w="40"/>
              <w:left w:type="dxa" w:w="70"/>
              <w:bottom w:type="dxa" w:w="40"/>
              <w:right w:type="dxa" w:w="70"/>
            </w:tcMar>
          </w:tcPr>
          <w:p>
            <w:pPr>
              <w:spacing w:after="0"/>
            </w:pPr>
            <w:r>
              <w:rPr>
                <w:sz w:val="17"/>
                <w:szCs w:val="17"/>
              </w:rPr>
              <w:t xml:space="preserve">7.7 · 0.9</w:t>
            </w:r>
          </w:p>
        </w:tc>
        <w:tc>
          <w:tcPr>
            <w:tcW w:type="dxa" w:w="900"/>
            <w:shd w:fill="FFFFFF" w:color="auto" w:val="clear"/>
            <w:tcMar>
              <w:top w:type="dxa" w:w="40"/>
              <w:left w:type="dxa" w:w="70"/>
              <w:bottom w:type="dxa" w:w="40"/>
              <w:right w:type="dxa" w:w="70"/>
            </w:tcMar>
          </w:tcPr>
          <w:p>
            <w:pPr>
              <w:spacing w:after="0"/>
            </w:pPr>
            <w:r>
              <w:rPr>
                <w:sz w:val="17"/>
                <w:szCs w:val="17"/>
              </w:rPr>
              <w:t xml:space="preserve">21.7%</w:t>
            </w:r>
          </w:p>
        </w:tc>
        <w:tc>
          <w:tcPr>
            <w:tcW w:type="dxa" w:w="800"/>
            <w:shd w:fill="FFFFFF" w:color="auto" w:val="clear"/>
            <w:tcMar>
              <w:top w:type="dxa" w:w="40"/>
              <w:left w:type="dxa" w:w="70"/>
              <w:bottom w:type="dxa" w:w="40"/>
              <w:right w:type="dxa" w:w="70"/>
            </w:tcMar>
          </w:tcPr>
          <w:p>
            <w:pPr>
              <w:spacing w:after="0"/>
            </w:pPr>
            <w:r>
              <w:rPr>
                <w:sz w:val="17"/>
                <w:szCs w:val="17"/>
              </w:rPr>
              <w:t xml:space="preserve">1.7</w:t>
            </w:r>
          </w:p>
        </w:tc>
        <w:tc>
          <w:tcPr>
            <w:tcW w:type="dxa" w:w="1300"/>
            <w:shd w:fill="FFFFFF" w:color="auto" w:val="clear"/>
            <w:tcMar>
              <w:top w:type="dxa" w:w="40"/>
              <w:left w:type="dxa" w:w="70"/>
              <w:bottom w:type="dxa" w:w="40"/>
              <w:right w:type="dxa" w:w="70"/>
            </w:tcMar>
          </w:tcPr>
          <w:p>
            <w:pPr>
              <w:spacing w:after="0"/>
            </w:pPr>
            <w:r>
              <w:rPr>
                <w:sz w:val="17"/>
                <w:szCs w:val="17"/>
              </w:rPr>
              <w:t xml:space="preserve">$6.93 ($6.93)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$53</w:t>
            </w:r>
          </w:p>
        </w:tc>
      </w:tr>
      <w:tr>
        <w:tc>
          <w:tcPr>
            <w:tcW w:type="dxa" w:w="22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000"/>
            <w:shd w:fill="F2F5F9" w:color="auto" w:val="clear"/>
            <w:tcMar>
              <w:top w:type="dxa" w:w="40"/>
              <w:left w:type="dxa" w:w="70"/>
              <w:bottom w:type="dxa" w:w="40"/>
              <w:right w:type="dxa" w:w="70"/>
            </w:tcMar>
          </w:tcPr>
          <w:p>
            <w:pPr>
              <w:spacing w:after="0"/>
            </w:pPr>
            <w:r>
              <w:rPr>
                <w:sz w:val="17"/>
                <w:szCs w:val="17"/>
              </w:rPr>
              <w:t xml:space="preserve">25 → 6</w:t>
            </w:r>
          </w:p>
        </w:tc>
        <w:tc>
          <w:tcPr>
            <w:tcW w:type="dxa" w:w="1200"/>
            <w:shd w:fill="F2F5F9" w:color="auto" w:val="clear"/>
            <w:tcMar>
              <w:top w:type="dxa" w:w="40"/>
              <w:left w:type="dxa" w:w="70"/>
              <w:bottom w:type="dxa" w:w="40"/>
              <w:right w:type="dxa" w:w="70"/>
            </w:tcMar>
          </w:tcPr>
          <w:p>
            <w:pPr>
              <w:spacing w:after="0"/>
            </w:pPr>
            <w:r>
              <w:rPr>
                <w:sz w:val="17"/>
                <w:szCs w:val="17"/>
              </w:rPr>
              <w:t xml:space="preserve">5 · 0.9</w:t>
            </w:r>
          </w:p>
        </w:tc>
        <w:tc>
          <w:tcPr>
            <w:tcW w:type="dxa" w:w="900"/>
            <w:shd w:fill="F2F5F9" w:color="auto" w:val="clear"/>
            <w:tcMar>
              <w:top w:type="dxa" w:w="40"/>
              <w:left w:type="dxa" w:w="70"/>
              <w:bottom w:type="dxa" w:w="40"/>
              <w:right w:type="dxa" w:w="70"/>
            </w:tcMar>
          </w:tcPr>
          <w:p>
            <w:pPr>
              <w:spacing w:after="0"/>
            </w:pPr>
            <w:r>
              <w:rPr>
                <w:sz w:val="17"/>
                <w:szCs w:val="17"/>
              </w:rPr>
              <w:t xml:space="preserve">21.1%</w:t>
            </w:r>
          </w:p>
        </w:tc>
        <w:tc>
          <w:tcPr>
            <w:tcW w:type="dxa" w:w="800"/>
            <w:shd w:fill="F2F5F9" w:color="auto" w:val="clear"/>
            <w:tcMar>
              <w:top w:type="dxa" w:w="40"/>
              <w:left w:type="dxa" w:w="70"/>
              <w:bottom w:type="dxa" w:w="40"/>
              <w:right w:type="dxa" w:w="70"/>
            </w:tcMar>
          </w:tcPr>
          <w:p>
            <w:pPr>
              <w:spacing w:after="0"/>
            </w:pPr>
            <w:r>
              <w:rPr>
                <w:sz w:val="17"/>
                <w:szCs w:val="17"/>
              </w:rPr>
              <w:t xml:space="preserve">1.1</w:t>
            </w:r>
          </w:p>
        </w:tc>
        <w:tc>
          <w:tcPr>
            <w:tcW w:type="dxa" w:w="1300"/>
            <w:shd w:fill="F2F5F9" w:color="auto" w:val="clear"/>
            <w:tcMar>
              <w:top w:type="dxa" w:w="40"/>
              <w:left w:type="dxa" w:w="70"/>
              <w:bottom w:type="dxa" w:w="40"/>
              <w:right w:type="dxa" w:w="70"/>
            </w:tcMar>
          </w:tcPr>
          <w:p>
            <w:pPr>
              <w:spacing w:after="0"/>
            </w:pPr>
            <w:r>
              <w:rPr>
                <w:sz w:val="17"/>
                <w:szCs w:val="17"/>
              </w:rPr>
              <w:t xml:space="preserve">$7.10 ($7.10)</w:t>
            </w:r>
          </w:p>
        </w:tc>
        <w:tc>
          <w:tcPr>
            <w:tcW w:type="dxa" w:w="1000"/>
            <w:shd w:fill="F2F5F9" w:color="auto" w:val="clear"/>
            <w:tcMar>
              <w:top w:type="dxa" w:w="40"/>
              <w:left w:type="dxa" w:w="70"/>
              <w:bottom w:type="dxa" w:w="40"/>
              <w:right w:type="dxa" w:w="70"/>
            </w:tcMar>
          </w:tcPr>
          <w:p>
            <w:pPr>
              <w:spacing w:after="0"/>
            </w:pPr>
            <w:r>
              <w:rPr>
                <w:sz w:val="17"/>
                <w:szCs w:val="17"/>
              </w:rPr>
              <w:t xml:space="preserve">$6.98 — thin</w:t>
            </w:r>
          </w:p>
        </w:tc>
        <w:tc>
          <w:tcPr>
            <w:tcW w:type="dxa" w:w="1572"/>
            <w:shd w:fill="F2F5F9" w:color="auto" w:val="clear"/>
            <w:tcMar>
              <w:top w:type="dxa" w:w="40"/>
              <w:left w:type="dxa" w:w="70"/>
              <w:bottom w:type="dxa" w:w="40"/>
              <w:right w:type="dxa" w:w="70"/>
            </w:tcMar>
          </w:tcPr>
          <w:p>
            <w:pPr>
              <w:spacing w:after="0"/>
            </w:pPr>
            <w:r>
              <w:rPr>
                <w:sz w:val="17"/>
                <w:szCs w:val="17"/>
              </w:rPr>
              <w:t xml:space="preserve">$36</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10</w:t>
            </w:r>
          </w:p>
        </w:tc>
        <w:tc>
          <w:tcPr>
            <w:tcW w:type="dxa" w:w="1200"/>
            <w:shd w:fill="FFFFFF" w:color="auto" w:val="clear"/>
            <w:tcMar>
              <w:top w:type="dxa" w:w="40"/>
              <w:left w:type="dxa" w:w="70"/>
              <w:bottom w:type="dxa" w:w="40"/>
              <w:right w:type="dxa" w:w="70"/>
            </w:tcMar>
          </w:tcPr>
          <w:p>
            <w:pPr>
              <w:spacing w:after="0"/>
            </w:pPr>
            <w:r>
              <w:rPr>
                <w:sz w:val="17"/>
                <w:szCs w:val="17"/>
              </w:rPr>
              <w:t xml:space="preserve">7 · 1.4</w:t>
            </w:r>
          </w:p>
        </w:tc>
        <w:tc>
          <w:tcPr>
            <w:tcW w:type="dxa" w:w="900"/>
            <w:shd w:fill="FFFFFF" w:color="auto" w:val="clear"/>
            <w:tcMar>
              <w:top w:type="dxa" w:w="40"/>
              <w:left w:type="dxa" w:w="70"/>
              <w:bottom w:type="dxa" w:w="40"/>
              <w:right w:type="dxa" w:w="70"/>
            </w:tcMar>
          </w:tcPr>
          <w:p>
            <w:pPr>
              <w:spacing w:after="0"/>
            </w:pPr>
            <w:r>
              <w:rPr>
                <w:sz w:val="17"/>
                <w:szCs w:val="17"/>
              </w:rPr>
              <w:t xml:space="preserve">12.5%</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$5.28 ($6.40)</w:t>
            </w:r>
          </w:p>
        </w:tc>
        <w:tc>
          <w:tcPr>
            <w:tcW w:type="dxa" w:w="1000"/>
            <w:shd w:fill="FFFFFF" w:color="auto" w:val="clear"/>
            <w:tcMar>
              <w:top w:type="dxa" w:w="40"/>
              <w:left w:type="dxa" w:w="70"/>
              <w:bottom w:type="dxa" w:w="40"/>
              <w:right w:type="dxa" w:w="70"/>
            </w:tcMar>
          </w:tcPr>
          <w:p>
            <w:pPr>
              <w:spacing w:after="0"/>
            </w:pPr>
            <w:r>
              <w:rPr>
                <w:sz w:val="17"/>
                <w:szCs w:val="17"/>
              </w:rPr>
              <w:t xml:space="preserve">$6.14 — thin</w:t>
            </w:r>
          </w:p>
        </w:tc>
        <w:tc>
          <w:tcPr>
            <w:tcW w:type="dxa" w:w="1572"/>
            <w:shd w:fill="FFFFFF" w:color="auto" w:val="clear"/>
            <w:tcMar>
              <w:top w:type="dxa" w:w="40"/>
              <w:left w:type="dxa" w:w="70"/>
              <w:bottom w:type="dxa" w:w="40"/>
              <w:right w:type="dxa" w:w="70"/>
            </w:tcMar>
          </w:tcPr>
          <w:p>
            <w:pPr>
              <w:spacing w:after="0"/>
            </w:pPr>
            <w:r>
              <w:rPr>
                <w:sz w:val="17"/>
                <w:szCs w:val="17"/>
              </w:rPr>
              <w:t xml:space="preserve">$35</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000"/>
            <w:shd w:fill="F2F5F9" w:color="auto" w:val="clear"/>
            <w:tcMar>
              <w:top w:type="dxa" w:w="40"/>
              <w:left w:type="dxa" w:w="70"/>
              <w:bottom w:type="dxa" w:w="40"/>
              <w:right w:type="dxa" w:w="70"/>
            </w:tcMar>
          </w:tcPr>
          <w:p>
            <w:pPr>
              <w:spacing w:after="0"/>
            </w:pPr>
            <w:r>
              <w:rPr>
                <w:sz w:val="17"/>
                <w:szCs w:val="17"/>
              </w:rPr>
              <w:t xml:space="preserve">7 → 1</w:t>
            </w:r>
          </w:p>
        </w:tc>
        <w:tc>
          <w:tcPr>
            <w:tcW w:type="dxa" w:w="1200"/>
            <w:shd w:fill="F2F5F9" w:color="auto" w:val="clear"/>
            <w:tcMar>
              <w:top w:type="dxa" w:w="40"/>
              <w:left w:type="dxa" w:w="70"/>
              <w:bottom w:type="dxa" w:w="40"/>
              <w:right w:type="dxa" w:w="70"/>
            </w:tcMar>
          </w:tcPr>
          <w:p>
            <w:pPr>
              <w:spacing w:after="0"/>
            </w:pPr>
            <w:r>
              <w:rPr>
                <w:sz w:val="17"/>
                <w:szCs w:val="17"/>
              </w:rPr>
              <w:t xml:space="preserve">2.4 · 0.4</w:t>
            </w:r>
          </w:p>
        </w:tc>
        <w:tc>
          <w:tcPr>
            <w:tcW w:type="dxa" w:w="900"/>
            <w:shd w:fill="F2F5F9" w:color="auto" w:val="clear"/>
            <w:tcMar>
              <w:top w:type="dxa" w:w="40"/>
              <w:left w:type="dxa" w:w="70"/>
              <w:bottom w:type="dxa" w:w="40"/>
              <w:right w:type="dxa" w:w="70"/>
            </w:tcMar>
          </w:tcPr>
          <w:p>
            <w:pPr>
              <w:spacing w:after="0"/>
            </w:pPr>
            <w:r>
              <w:rPr>
                <w:sz w:val="17"/>
                <w:szCs w:val="17"/>
              </w:rPr>
              <w:t xml:space="preserve">22.0%</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$7.03 ($7.03)</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$17</w:t>
            </w:r>
          </w:p>
        </w:tc>
      </w:tr>
      <w:tr>
        <w:tc>
          <w:tcPr>
            <w:tcW w:type="dxa" w:w="2200"/>
            <w:shd w:fill="FFFFFF" w:color="auto" w:val="clear"/>
            <w:tcMar>
              <w:top w:type="dxa" w:w="40"/>
              <w:left w:type="dxa" w:w="70"/>
              <w:bottom w:type="dxa" w:w="40"/>
              <w:right w:type="dxa" w:w="70"/>
            </w:tcMar>
          </w:tcPr>
          <w:p>
            <w:pPr>
              <w:spacing w:after="0"/>
            </w:pPr>
            <w:r>
              <w:rPr>
                <w:sz w:val="17"/>
                <w:szCs w:val="17"/>
              </w:rPr>
              <w:t xml:space="preserve">king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15 → 10</w:t>
            </w:r>
          </w:p>
        </w:tc>
        <w:tc>
          <w:tcPr>
            <w:tcW w:type="dxa" w:w="1200"/>
            <w:shd w:fill="FFFFFF" w:color="auto" w:val="clear"/>
            <w:tcMar>
              <w:top w:type="dxa" w:w="40"/>
              <w:left w:type="dxa" w:w="70"/>
              <w:bottom w:type="dxa" w:w="40"/>
              <w:right w:type="dxa" w:w="70"/>
            </w:tcMar>
          </w:tcPr>
          <w:p>
            <w:pPr>
              <w:spacing w:after="0"/>
            </w:pPr>
            <w:r>
              <w:rPr>
                <w:sz w:val="17"/>
                <w:szCs w:val="17"/>
              </w:rPr>
              <w:t xml:space="preserve">4.3 · 0</w:t>
            </w:r>
          </w:p>
        </w:tc>
        <w:tc>
          <w:tcPr>
            <w:tcW w:type="dxa" w:w="900"/>
            <w:shd w:fill="FFFFFF" w:color="auto" w:val="clear"/>
            <w:tcMar>
              <w:top w:type="dxa" w:w="40"/>
              <w:left w:type="dxa" w:w="70"/>
              <w:bottom w:type="dxa" w:w="40"/>
              <w:right w:type="dxa" w:w="70"/>
            </w:tcMar>
          </w:tcPr>
          <w:p>
            <w:pPr>
              <w:spacing w:after="0"/>
            </w:pPr>
            <w:r>
              <w:rPr>
                <w:sz w:val="17"/>
                <w:szCs w:val="17"/>
              </w:rPr>
              <w:t xml:space="preserve">19.2%</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$3.83 ($6.12)</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$16</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queen (after the fix in Section 13)</w:t>
            </w:r>
          </w:p>
        </w:tc>
        <w:tc>
          <w:tcPr>
            <w:tcW w:type="dxa" w:w="1000"/>
            <w:shd w:fill="F2F5F9" w:color="auto" w:val="clear"/>
            <w:tcMar>
              <w:top w:type="dxa" w:w="40"/>
              <w:left w:type="dxa" w:w="70"/>
              <w:bottom w:type="dxa" w:w="40"/>
              <w:right w:type="dxa" w:w="70"/>
            </w:tcMar>
          </w:tcPr>
          <w:p>
            <w:pPr>
              <w:spacing w:after="0"/>
            </w:pPr>
            <w:r>
              <w:rPr>
                <w:sz w:val="17"/>
                <w:szCs w:val="17"/>
              </w:rPr>
              <w:t xml:space="preserve">58 → 5</w:t>
            </w:r>
          </w:p>
        </w:tc>
        <w:tc>
          <w:tcPr>
            <w:tcW w:type="dxa" w:w="1200"/>
            <w:shd w:fill="F2F5F9" w:color="auto" w:val="clear"/>
            <w:tcMar>
              <w:top w:type="dxa" w:w="40"/>
              <w:left w:type="dxa" w:w="70"/>
              <w:bottom w:type="dxa" w:w="40"/>
              <w:right w:type="dxa" w:w="70"/>
            </w:tcMar>
          </w:tcPr>
          <w:p>
            <w:pPr>
              <w:spacing w:after="0"/>
            </w:pPr>
            <w:r>
              <w:rPr>
                <w:sz w:val="17"/>
                <w:szCs w:val="17"/>
              </w:rPr>
              <w:t xml:space="preserve">1.8 · 0.4</w:t>
            </w:r>
          </w:p>
        </w:tc>
        <w:tc>
          <w:tcPr>
            <w:tcW w:type="dxa" w:w="900"/>
            <w:shd w:fill="F2F5F9" w:color="auto" w:val="clear"/>
            <w:tcMar>
              <w:top w:type="dxa" w:w="40"/>
              <w:left w:type="dxa" w:w="70"/>
              <w:bottom w:type="dxa" w:w="40"/>
              <w:right w:type="dxa" w:w="70"/>
            </w:tcMar>
          </w:tcPr>
          <w:p>
            <w:pPr>
              <w:spacing w:after="0"/>
            </w:pPr>
            <w:r>
              <w:rPr>
                <w:sz w:val="17"/>
                <w:szCs w:val="17"/>
              </w:rPr>
              <w:t xml:space="preserve">25.4%</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$4.18 ($9.92)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$8</w:t>
            </w:r>
          </w:p>
        </w:tc>
      </w:tr>
      <w:tr>
        <w:tc>
          <w:tcPr>
            <w:tcW w:type="dxa" w:w="2200"/>
            <w:shd w:fill="FFFFFF" w:color="auto" w:val="clear"/>
            <w:tcMar>
              <w:top w:type="dxa" w:w="40"/>
              <w:left w:type="dxa" w:w="70"/>
              <w:bottom w:type="dxa" w:w="40"/>
              <w:right w:type="dxa" w:w="70"/>
            </w:tcMar>
          </w:tcPr>
          <w:p>
            <w:pPr>
              <w:spacing w:after="0"/>
            </w:pPr>
            <w:r>
              <w:rPr>
                <w:sz w:val="17"/>
                <w:szCs w:val="17"/>
              </w:rPr>
              <w:t xml:space="preserve">viscose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8 → 1</w:t>
            </w:r>
          </w:p>
        </w:tc>
        <w:tc>
          <w:tcPr>
            <w:tcW w:type="dxa" w:w="1200"/>
            <w:shd w:fill="FFFFFF" w:color="auto" w:val="clear"/>
            <w:tcMar>
              <w:top w:type="dxa" w:w="40"/>
              <w:left w:type="dxa" w:w="70"/>
              <w:bottom w:type="dxa" w:w="40"/>
              <w:right w:type="dxa" w:w="70"/>
            </w:tcMar>
          </w:tcPr>
          <w:p>
            <w:pPr>
              <w:spacing w:after="0"/>
            </w:pPr>
            <w:r>
              <w:rPr>
                <w:sz w:val="17"/>
                <w:szCs w:val="17"/>
              </w:rPr>
              <w:t xml:space="preserve">1.1 · 2.5</w:t>
            </w:r>
          </w:p>
        </w:tc>
        <w:tc>
          <w:tcPr>
            <w:tcW w:type="dxa" w:w="900"/>
            <w:shd w:fill="FFFFFF" w:color="auto" w:val="clear"/>
            <w:tcMar>
              <w:top w:type="dxa" w:w="40"/>
              <w:left w:type="dxa" w:w="70"/>
              <w:bottom w:type="dxa" w:w="40"/>
              <w:right w:type="dxa" w:w="70"/>
            </w:tcMar>
          </w:tcPr>
          <w:p>
            <w:pPr>
              <w:spacing w:after="0"/>
            </w:pPr>
            <w:r>
              <w:rPr>
                <w:sz w:val="17"/>
                <w:szCs w:val="17"/>
              </w:rPr>
              <w:t xml:space="preserve">15.7%</w:t>
            </w:r>
          </w:p>
        </w:tc>
        <w:tc>
          <w:tcPr>
            <w:tcW w:type="dxa" w:w="800"/>
            <w:shd w:fill="FFFFFF" w:color="auto" w:val="clear"/>
            <w:tcMar>
              <w:top w:type="dxa" w:w="40"/>
              <w:left w:type="dxa" w:w="70"/>
              <w:bottom w:type="dxa" w:w="40"/>
              <w:right w:type="dxa" w:w="70"/>
            </w:tcMar>
          </w:tcPr>
          <w:p>
            <w:pPr>
              <w:spacing w:after="0"/>
            </w:pPr>
            <w:r>
              <w:rPr>
                <w:sz w:val="17"/>
                <w:szCs w:val="17"/>
              </w:rPr>
              <w:t xml:space="preserve">0.2</w:t>
            </w:r>
          </w:p>
        </w:tc>
        <w:tc>
          <w:tcPr>
            <w:tcW w:type="dxa" w:w="1300"/>
            <w:shd w:fill="FFFFFF" w:color="auto" w:val="clear"/>
            <w:tcMar>
              <w:top w:type="dxa" w:w="40"/>
              <w:left w:type="dxa" w:w="70"/>
              <w:bottom w:type="dxa" w:w="40"/>
              <w:right w:type="dxa" w:w="70"/>
            </w:tcMar>
          </w:tcPr>
          <w:p>
            <w:pPr>
              <w:spacing w:after="0"/>
            </w:pPr>
            <w:r>
              <w:rPr>
                <w:sz w:val="17"/>
                <w:szCs w:val="17"/>
              </w:rPr>
              <w:t xml:space="preserve">$6.13 ($6.13)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$7</w:t>
            </w:r>
          </w:p>
        </w:tc>
      </w:tr>
      <w:tr>
        <w:tc>
          <w:tcPr>
            <w:tcW w:type="dxa" w:w="2200"/>
            <w:shd w:fill="F2F5F9" w:color="auto" w:val="clear"/>
            <w:tcMar>
              <w:top w:type="dxa" w:w="40"/>
              <w:left w:type="dxa" w:w="70"/>
              <w:bottom w:type="dxa" w:w="40"/>
              <w:right w:type="dxa" w:w="70"/>
            </w:tcMar>
          </w:tcPr>
          <w:p>
            <w:pPr>
              <w:spacing w:after="0"/>
            </w:pPr>
            <w:r>
              <w:rPr>
                <w:sz w:val="17"/>
                <w:szCs w:val="17"/>
              </w:rPr>
              <w:t xml:space="preserve">Funded total (10 terms)</w:t>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200"/>
            <w:shd w:fill="F2F5F9" w:color="auto" w:val="clear"/>
            <w:tcMar>
              <w:top w:type="dxa" w:w="40"/>
              <w:left w:type="dxa" w:w="70"/>
              <w:bottom w:type="dxa" w:w="40"/>
              <w:right w:type="dxa" w:w="70"/>
            </w:tcMar>
          </w:tcPr>
          <w:p>
            <w:pPr>
              <w:spacing w:after="0"/>
            </w:pPr>
            <w:r>
              <w:rPr>
                <w:sz w:val="17"/>
                <w:szCs w:val="17"/>
              </w:rPr>
              <w:t xml:space="preserve">164</w:t>
            </w:r>
          </w:p>
        </w:tc>
        <w:tc>
          <w:tcPr>
            <w:tcW w:type="dxa" w:w="900"/>
            <w:shd w:fill="F2F5F9" w:color="auto" w:val="clear"/>
            <w:tcMar>
              <w:top w:type="dxa" w:w="40"/>
              <w:left w:type="dxa" w:w="70"/>
              <w:bottom w:type="dxa" w:w="40"/>
              <w:right w:type="dxa" w:w="70"/>
            </w:tcMar>
          </w:tcPr>
          <w:p>
            <w:pPr>
              <w:spacing w:after="0"/>
            </w:pPr>
            <w:r>
              <w:rPr>
                <w:sz w:val="17"/>
                <w:szCs w:val="17"/>
              </w:rPr>
              <w:t xml:space="preserve"/>
            </w:r>
          </w:p>
        </w:tc>
        <w:tc>
          <w:tcPr>
            <w:tcW w:type="dxa" w:w="800"/>
            <w:shd w:fill="F2F5F9" w:color="auto" w:val="clear"/>
            <w:tcMar>
              <w:top w:type="dxa" w:w="40"/>
              <w:left w:type="dxa" w:w="70"/>
              <w:bottom w:type="dxa" w:w="40"/>
              <w:right w:type="dxa" w:w="70"/>
            </w:tcMar>
          </w:tcPr>
          <w:p>
            <w:pPr>
              <w:spacing w:after="0"/>
            </w:pPr>
            <w:r>
              <w:rPr>
                <w:sz w:val="17"/>
                <w:szCs w:val="17"/>
              </w:rPr>
              <w:t xml:space="preserve">31.6</w:t>
            </w:r>
          </w:p>
        </w:tc>
        <w:tc>
          <w:tcPr>
            <w:tcW w:type="dxa" w:w="13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572"/>
            <w:shd w:fill="F2F5F9" w:color="auto" w:val="clear"/>
            <w:tcMar>
              <w:top w:type="dxa" w:w="40"/>
              <w:left w:type="dxa" w:w="70"/>
              <w:bottom w:type="dxa" w:w="40"/>
              <w:right w:type="dxa" w:w="70"/>
            </w:tcMar>
          </w:tcPr>
          <w:p>
            <w:pPr>
              <w:spacing w:after="0"/>
            </w:pPr>
            <w:r>
              <w:rPr>
                <w:sz w:val="17"/>
                <w:szCs w:val="17"/>
              </w:rPr>
              <w:t xml:space="preserve">$1,057</w:t>
            </w:r>
          </w:p>
        </w:tc>
      </w:tr>
      <w:tr>
        <w:tc>
          <w:tcPr>
            <w:tcW w:type="dxa" w:w="2200"/>
            <w:shd w:fill="FFFFFF" w:color="auto" w:val="clear"/>
            <w:tcMar>
              <w:top w:type="dxa" w:w="40"/>
              <w:left w:type="dxa" w:w="70"/>
              <w:bottom w:type="dxa" w:w="40"/>
              <w:right w:type="dxa" w:w="70"/>
            </w:tcMar>
          </w:tcPr>
          <w:p>
            <w:pPr>
              <w:spacing w:after="0"/>
            </w:pPr>
            <w:r>
              <w:rPr>
                <w:sz w:val="17"/>
                <w:szCs w:val="17"/>
              </w:rPr>
              <w:t xml:space="preserve">Waiting</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000"/>
            <w:shd w:fill="F2F5F9" w:color="auto" w:val="clear"/>
            <w:tcMar>
              <w:top w:type="dxa" w:w="40"/>
              <w:left w:type="dxa" w:w="70"/>
              <w:bottom w:type="dxa" w:w="40"/>
              <w:right w:type="dxa" w:w="70"/>
            </w:tcMar>
          </w:tcPr>
          <w:p>
            <w:pPr>
              <w:spacing w:after="0"/>
            </w:pPr>
            <w:r>
              <w:rPr>
                <w:sz w:val="17"/>
                <w:szCs w:val="17"/>
              </w:rPr>
              <w:t xml:space="preserve">27 → 10</w:t>
            </w:r>
          </w:p>
        </w:tc>
        <w:tc>
          <w:tcPr>
            <w:tcW w:type="dxa" w:w="1200"/>
            <w:shd w:fill="F2F5F9" w:color="auto" w:val="clear"/>
            <w:tcMar>
              <w:top w:type="dxa" w:w="40"/>
              <w:left w:type="dxa" w:w="70"/>
              <w:bottom w:type="dxa" w:w="40"/>
              <w:right w:type="dxa" w:w="70"/>
            </w:tcMar>
          </w:tcPr>
          <w:p>
            <w:pPr>
              <w:spacing w:after="0"/>
            </w:pPr>
            <w:r>
              <w:rPr>
                <w:sz w:val="17"/>
                <w:szCs w:val="17"/>
              </w:rPr>
              <w:t xml:space="preserve">24 · 0.1</w:t>
            </w:r>
          </w:p>
        </w:tc>
        <w:tc>
          <w:tcPr>
            <w:tcW w:type="dxa" w:w="900"/>
            <w:shd w:fill="F2F5F9" w:color="auto" w:val="clear"/>
            <w:tcMar>
              <w:top w:type="dxa" w:w="40"/>
              <w:left w:type="dxa" w:w="70"/>
              <w:bottom w:type="dxa" w:w="40"/>
              <w:right w:type="dxa" w:w="70"/>
            </w:tcMar>
          </w:tcPr>
          <w:p>
            <w:pPr>
              <w:spacing w:after="0"/>
            </w:pPr>
            <w:r>
              <w:rPr>
                <w:sz w:val="17"/>
                <w:szCs w:val="17"/>
              </w:rPr>
              <w:t xml:space="preserve">17.9%*</w:t>
            </w:r>
          </w:p>
        </w:tc>
        <w:tc>
          <w:tcPr>
            <w:tcW w:type="dxa" w:w="800"/>
            <w:shd w:fill="F2F5F9" w:color="auto" w:val="clear"/>
            <w:tcMar>
              <w:top w:type="dxa" w:w="40"/>
              <w:left w:type="dxa" w:w="70"/>
              <w:bottom w:type="dxa" w:w="40"/>
              <w:right w:type="dxa" w:w="70"/>
            </w:tcMar>
          </w:tcPr>
          <w:p>
            <w:pPr>
              <w:spacing w:after="0"/>
            </w:pPr>
            <w:r>
              <w:rPr>
                <w:sz w:val="17"/>
                <w:szCs w:val="17"/>
              </w:rPr>
              <w:t xml:space="preserve">4.3</w:t>
            </w:r>
          </w:p>
        </w:tc>
        <w:tc>
          <w:tcPr>
            <w:tcW w:type="dxa" w:w="1300"/>
            <w:shd w:fill="F2F5F9" w:color="auto" w:val="clear"/>
            <w:tcMar>
              <w:top w:type="dxa" w:w="40"/>
              <w:left w:type="dxa" w:w="70"/>
              <w:bottom w:type="dxa" w:w="40"/>
              <w:right w:type="dxa" w:w="70"/>
            </w:tcMar>
          </w:tcPr>
          <w:p>
            <w:pPr>
              <w:spacing w:after="0"/>
            </w:pPr>
            <w:r>
              <w:rPr>
                <w:sz w:val="17"/>
                <w:szCs w:val="17"/>
              </w:rPr>
              <w:t xml:space="preserve">$4.80 until released</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$127 when released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000"/>
            <w:shd w:fill="FFFFFF" w:color="auto" w:val="clear"/>
            <w:tcMar>
              <w:top w:type="dxa" w:w="40"/>
              <w:left w:type="dxa" w:w="70"/>
              <w:bottom w:type="dxa" w:w="40"/>
              <w:right w:type="dxa" w:w="70"/>
            </w:tcMar>
          </w:tcPr>
          <w:p>
            <w:pPr>
              <w:spacing w:after="0"/>
            </w:pPr>
            <w:r>
              <w:rPr>
                <w:sz w:val="17"/>
                <w:szCs w:val="17"/>
              </w:rPr>
              <w:t xml:space="preserve">19 → 9</w:t>
            </w:r>
          </w:p>
        </w:tc>
        <w:tc>
          <w:tcPr>
            <w:tcW w:type="dxa" w:w="1200"/>
            <w:shd w:fill="FFFFFF" w:color="auto" w:val="clear"/>
            <w:tcMar>
              <w:top w:type="dxa" w:w="40"/>
              <w:left w:type="dxa" w:w="70"/>
              <w:bottom w:type="dxa" w:w="40"/>
              <w:right w:type="dxa" w:w="70"/>
            </w:tcMar>
          </w:tcPr>
          <w:p>
            <w:pPr>
              <w:spacing w:after="0"/>
            </w:pPr>
            <w:r>
              <w:rPr>
                <w:sz w:val="17"/>
                <w:szCs w:val="17"/>
              </w:rPr>
              <w:t xml:space="preserve">11 · —</w:t>
            </w:r>
          </w:p>
        </w:tc>
        <w:tc>
          <w:tcPr>
            <w:tcW w:type="dxa" w:w="900"/>
            <w:shd w:fill="FFFFFF" w:color="auto" w:val="clear"/>
            <w:tcMar>
              <w:top w:type="dxa" w:w="40"/>
              <w:left w:type="dxa" w:w="70"/>
              <w:bottom w:type="dxa" w:w="40"/>
              <w:right w:type="dxa" w:w="70"/>
            </w:tcMar>
          </w:tcPr>
          <w:p>
            <w:pPr>
              <w:spacing w:after="0"/>
            </w:pPr>
            <w:r>
              <w:rPr>
                <w:sz w:val="17"/>
                <w:szCs w:val="17"/>
              </w:rPr>
              <w:t xml:space="preserve">12.1%*</w:t>
            </w:r>
          </w:p>
        </w:tc>
        <w:tc>
          <w:tcPr>
            <w:tcW w:type="dxa" w:w="800"/>
            <w:shd w:fill="FFFFFF" w:color="auto" w:val="clear"/>
            <w:tcMar>
              <w:top w:type="dxa" w:w="40"/>
              <w:left w:type="dxa" w:w="70"/>
              <w:bottom w:type="dxa" w:w="40"/>
              <w:right w:type="dxa" w:w="70"/>
            </w:tcMar>
          </w:tcPr>
          <w:p>
            <w:pPr>
              <w:spacing w:after="0"/>
            </w:pPr>
            <w:r>
              <w:rPr>
                <w:sz w:val="17"/>
                <w:szCs w:val="17"/>
              </w:rPr>
              <w:t xml:space="preserve">1.3</w:t>
            </w:r>
          </w:p>
        </w:tc>
        <w:tc>
          <w:tcPr>
            <w:tcW w:type="dxa" w:w="1300"/>
            <w:shd w:fill="FFFFFF" w:color="auto" w:val="clear"/>
            <w:tcMar>
              <w:top w:type="dxa" w:w="40"/>
              <w:left w:type="dxa" w:w="70"/>
              <w:bottom w:type="dxa" w:w="40"/>
              <w:right w:type="dxa" w:w="70"/>
            </w:tcMar>
          </w:tcPr>
          <w:p>
            <w:pPr>
              <w:spacing w:after="0"/>
            </w:pPr>
            <w:r>
              <w:rPr>
                <w:sz w:val="17"/>
                <w:szCs w:val="17"/>
              </w:rPr>
              <w:t xml:space="preserve">$3.09 ($3.86)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$34 when released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cooling sheets</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200"/>
            <w:shd w:fill="F2F5F9" w:color="auto" w:val="clear"/>
            <w:tcMar>
              <w:top w:type="dxa" w:w="40"/>
              <w:left w:type="dxa" w:w="70"/>
              <w:bottom w:type="dxa" w:w="40"/>
              <w:right w:type="dxa" w:w="70"/>
            </w:tcMar>
          </w:tcPr>
          <w:p>
            <w:pPr>
              <w:spacing w:after="0"/>
            </w:pPr>
            <w:r>
              <w:rPr>
                <w:sz w:val="17"/>
                <w:szCs w:val="17"/>
              </w:rPr>
              <w:t xml:space="preserve">20 · 0.1</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2.3</w:t>
            </w:r>
          </w:p>
        </w:tc>
        <w:tc>
          <w:tcPr>
            <w:tcW w:type="dxa" w:w="1300"/>
            <w:shd w:fill="F2F5F9" w:color="auto" w:val="clear"/>
            <w:tcMar>
              <w:top w:type="dxa" w:w="40"/>
              <w:left w:type="dxa" w:w="70"/>
              <w:bottom w:type="dxa" w:w="40"/>
              <w:right w:type="dxa" w:w="70"/>
            </w:tcMar>
          </w:tcPr>
          <w:p>
            <w:pPr>
              <w:spacing w:after="0"/>
            </w:pPr>
            <w:r>
              <w:rPr>
                <w:sz w:val="17"/>
                <w:szCs w:val="17"/>
              </w:rPr>
              <w:t xml:space="preserve">ceiling $4.49</w:t>
            </w:r>
          </w:p>
        </w:tc>
        <w:tc>
          <w:tcPr>
            <w:tcW w:type="dxa" w:w="1000"/>
            <w:shd w:fill="F2F5F9" w:color="auto" w:val="clear"/>
            <w:tcMar>
              <w:top w:type="dxa" w:w="40"/>
              <w:left w:type="dxa" w:w="70"/>
              <w:bottom w:type="dxa" w:w="40"/>
              <w:right w:type="dxa" w:w="70"/>
            </w:tcMar>
          </w:tcPr>
          <w:p>
            <w:pPr>
              <w:spacing w:after="0"/>
            </w:pPr>
            <w:r>
              <w:rPr>
                <w:sz w:val="17"/>
                <w:szCs w:val="17"/>
              </w:rPr>
              <w:t xml:space="preserve">$4.99</w:t>
            </w:r>
          </w:p>
        </w:tc>
        <w:tc>
          <w:tcPr>
            <w:tcW w:type="dxa" w:w="1572"/>
            <w:shd w:fill="F2F5F9" w:color="auto" w:val="clear"/>
            <w:tcMar>
              <w:top w:type="dxa" w:w="40"/>
              <w:left w:type="dxa" w:w="70"/>
              <w:bottom w:type="dxa" w:w="40"/>
              <w:right w:type="dxa" w:w="70"/>
            </w:tcMar>
          </w:tcPr>
          <w:p>
            <w:pPr>
              <w:spacing w:after="0"/>
            </w:pPr>
            <w:r>
              <w:rPr>
                <w:sz w:val="17"/>
                <w:szCs w:val="17"/>
              </w:rPr>
              <w:t xml:space="preserve">$82 if the ceiling is raised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king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9</w:t>
            </w:r>
          </w:p>
        </w:tc>
        <w:tc>
          <w:tcPr>
            <w:tcW w:type="dxa" w:w="1200"/>
            <w:shd w:fill="FFFFFF" w:color="auto" w:val="clear"/>
            <w:tcMar>
              <w:top w:type="dxa" w:w="40"/>
              <w:left w:type="dxa" w:w="70"/>
              <w:bottom w:type="dxa" w:w="40"/>
              <w:right w:type="dxa" w:w="70"/>
            </w:tcMar>
          </w:tcPr>
          <w:p>
            <w:pPr>
              <w:spacing w:after="0"/>
            </w:pPr>
            <w:r>
              <w:rPr>
                <w:sz w:val="17"/>
                <w:szCs w:val="17"/>
              </w:rPr>
              <w:t xml:space="preserve">3.9 · 0 (paused)</w:t>
            </w:r>
          </w:p>
        </w:tc>
        <w:tc>
          <w:tcPr>
            <w:tcW w:type="dxa" w:w="900"/>
            <w:shd w:fill="FFFFFF" w:color="auto" w:val="clear"/>
            <w:tcMar>
              <w:top w:type="dxa" w:w="40"/>
              <w:left w:type="dxa" w:w="70"/>
              <w:bottom w:type="dxa" w:w="40"/>
              <w:right w:type="dxa" w:w="70"/>
            </w:tcMar>
          </w:tcPr>
          <w:p>
            <w:pPr>
              <w:spacing w:after="0"/>
            </w:pPr>
            <w:r>
              <w:rPr>
                <w:sz w:val="17"/>
                <w:szCs w:val="17"/>
              </w:rPr>
              <w:t xml:space="preserve">12.7%*</w:t>
            </w:r>
          </w:p>
        </w:tc>
        <w:tc>
          <w:tcPr>
            <w:tcW w:type="dxa" w:w="800"/>
            <w:shd w:fill="FFFFFF" w:color="auto" w:val="clear"/>
            <w:tcMar>
              <w:top w:type="dxa" w:w="40"/>
              <w:left w:type="dxa" w:w="70"/>
              <w:bottom w:type="dxa" w:w="40"/>
              <w:right w:type="dxa" w:w="70"/>
            </w:tcMar>
          </w:tcPr>
          <w:p>
            <w:pPr>
              <w:spacing w:after="0"/>
            </w:pPr>
            <w:r>
              <w:rPr>
                <w:sz w:val="17"/>
                <w:szCs w:val="17"/>
              </w:rPr>
              <w:t xml:space="preserve">0.5</w:t>
            </w:r>
          </w:p>
        </w:tc>
        <w:tc>
          <w:tcPr>
            <w:tcW w:type="dxa" w:w="1300"/>
            <w:shd w:fill="FFFFFF" w:color="auto" w:val="clear"/>
            <w:tcMar>
              <w:top w:type="dxa" w:w="40"/>
              <w:left w:type="dxa" w:w="70"/>
              <w:bottom w:type="dxa" w:w="40"/>
              <w:right w:type="dxa" w:w="70"/>
            </w:tcMar>
          </w:tcPr>
          <w:p>
            <w:pPr>
              <w:spacing w:after="0"/>
            </w:pPr>
            <w:r>
              <w:rPr>
                <w:sz w:val="17"/>
                <w:szCs w:val="17"/>
              </w:rPr>
              <w:t xml:space="preserve">ceiling $4.06</w:t>
            </w:r>
          </w:p>
        </w:tc>
        <w:tc>
          <w:tcPr>
            <w:tcW w:type="dxa" w:w="1000"/>
            <w:shd w:fill="FFFFFF" w:color="auto" w:val="clear"/>
            <w:tcMar>
              <w:top w:type="dxa" w:w="40"/>
              <w:left w:type="dxa" w:w="70"/>
              <w:bottom w:type="dxa" w:w="40"/>
              <w:right w:type="dxa" w:w="70"/>
            </w:tcMar>
          </w:tcPr>
          <w:p>
            <w:pPr>
              <w:spacing w:after="0"/>
            </w:pPr>
            <w:r>
              <w:rPr>
                <w:sz w:val="17"/>
                <w:szCs w:val="17"/>
              </w:rPr>
              <w:t xml:space="preserve">$6.20</w:t>
            </w:r>
          </w:p>
        </w:tc>
        <w:tc>
          <w:tcPr>
            <w:tcW w:type="dxa" w:w="1572"/>
            <w:shd w:fill="FFFFFF" w:color="auto" w:val="clear"/>
            <w:tcMar>
              <w:top w:type="dxa" w:w="40"/>
              <w:left w:type="dxa" w:w="70"/>
              <w:bottom w:type="dxa" w:w="40"/>
              <w:right w:type="dxa" w:w="70"/>
            </w:tcMar>
          </w:tcPr>
          <w:p>
            <w:pPr>
              <w:spacing w:after="0"/>
            </w:pPr>
            <w:r>
              <w:rPr>
                <w:sz w:val="17"/>
                <w:szCs w:val="17"/>
              </w:rPr>
              <w:t xml:space="preserve">$14 if the ceiling is raised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cooling sheets king size, queen cooling sheets, cooling sheets queen</w:t>
            </w:r>
          </w:p>
        </w:tc>
        <w:tc>
          <w:tcPr>
            <w:tcW w:type="dxa" w:w="1000"/>
            <w:shd w:fill="F2F5F9" w:color="auto" w:val="clear"/>
            <w:tcMar>
              <w:top w:type="dxa" w:w="40"/>
              <w:left w:type="dxa" w:w="70"/>
              <w:bottom w:type="dxa" w:w="40"/>
              <w:right w:type="dxa" w:w="70"/>
            </w:tcMar>
          </w:tcPr>
          <w:p>
            <w:pPr>
              <w:spacing w:after="0"/>
            </w:pPr>
            <w:r>
              <w:rPr>
                <w:sz w:val="17"/>
                <w:szCs w:val="17"/>
              </w:rPr>
              <w:t xml:space="preserve">True Bamboo 14 and 19</w:t>
            </w:r>
          </w:p>
        </w:tc>
        <w:tc>
          <w:tcPr>
            <w:tcW w:type="dxa" w:w="1200"/>
            <w:shd w:fill="F2F5F9" w:color="auto" w:val="clear"/>
            <w:tcMar>
              <w:top w:type="dxa" w:w="40"/>
              <w:left w:type="dxa" w:w="70"/>
              <w:bottom w:type="dxa" w:w="40"/>
              <w:right w:type="dxa" w:w="70"/>
            </w:tcMar>
          </w:tcPr>
          <w:p>
            <w:pPr>
              <w:spacing w:after="0"/>
            </w:pPr>
            <w:r>
              <w:rPr>
                <w:sz w:val="17"/>
                <w:szCs w:val="17"/>
              </w:rPr>
              <w:t xml:space="preserve">54 · 0</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6.2</w:t>
            </w:r>
          </w:p>
        </w:tc>
        <w:tc>
          <w:tcPr>
            <w:tcW w:type="dxa" w:w="1300"/>
            <w:shd w:fill="F2F5F9" w:color="auto" w:val="clear"/>
            <w:tcMar>
              <w:top w:type="dxa" w:w="40"/>
              <w:left w:type="dxa" w:w="70"/>
              <w:bottom w:type="dxa" w:w="40"/>
              <w:right w:type="dxa" w:w="70"/>
            </w:tcMar>
          </w:tcPr>
          <w:p>
            <w:pPr>
              <w:spacing w:after="0"/>
            </w:pPr>
            <w:r>
              <w:rPr>
                <w:sz w:val="17"/>
                <w:szCs w:val="17"/>
              </w:rPr>
              <w:t xml:space="preserve">ceilings $3.67–$4.49</w:t>
            </w:r>
          </w:p>
        </w:tc>
        <w:tc>
          <w:tcPr>
            <w:tcW w:type="dxa" w:w="1000"/>
            <w:shd w:fill="F2F5F9" w:color="auto" w:val="clear"/>
            <w:tcMar>
              <w:top w:type="dxa" w:w="40"/>
              <w:left w:type="dxa" w:w="70"/>
              <w:bottom w:type="dxa" w:w="40"/>
              <w:right w:type="dxa" w:w="70"/>
            </w:tcMar>
          </w:tcPr>
          <w:p>
            <w:pPr>
              <w:spacing w:after="0"/>
            </w:pPr>
            <w:r>
              <w:rPr>
                <w:sz w:val="17"/>
                <w:szCs w:val="17"/>
              </w:rPr>
              <w:t xml:space="preserve">about $5.18</w:t>
            </w:r>
          </w:p>
        </w:tc>
        <w:tc>
          <w:tcPr>
            <w:tcW w:type="dxa" w:w="1572"/>
            <w:shd w:fill="F2F5F9" w:color="auto" w:val="clear"/>
            <w:tcMar>
              <w:top w:type="dxa" w:w="40"/>
              <w:left w:type="dxa" w:w="70"/>
              <w:bottom w:type="dxa" w:w="40"/>
              <w:right w:type="dxa" w:w="70"/>
            </w:tcMar>
          </w:tcPr>
          <w:p>
            <w:pPr>
              <w:spacing w:after="0"/>
            </w:pPr>
            <w:r>
              <w:rPr>
                <w:sz w:val="17"/>
                <w:szCs w:val="17"/>
              </w:rPr>
              <w:t xml:space="preserve">built in the 1 October audit</w:t>
            </w:r>
          </w:p>
        </w:tc>
      </w:tr>
    </w:tbl>
    <w:p>
      <w:pPr>
        <w:spacing w:after="120"/>
      </w:pPr>
      <w:r>
        <w:rPr>
          <w:i/>
          <w:iCs/>
          <w:color w:val="555555"/>
          <w:sz w:val="17"/>
          <w:szCs w:val="17"/>
        </w:rPr>
        <w:t xml:space="preserve">Plan clicks = the audit’s plan for the target rank (units the rank sells ÷ conversion), before the overlap scaling in Section 12; where the audit has no plan, the register’s requirement before scaling. * The campaign’s overall conversion, which beats the market; these terms have barely been shown at the top. † Stand-in: our cooling campaigns’ conversion; B6 has almost no data of its own on these terms. “Our top-of-search cost per click” = what we paid on the term when we won the top slot (from the audit), not what it takes to hold it most hours. The audit’s only holding benchmark is about $5.18: what campaigns holding 30%+ of top-of-search impressions pay on the “bamboo sheets” and Full groups. “Thin” = the ceiling is within about 5% of our own cost per click, so the term may not hold the top. Budget = plan clicks × this week’s price; add the product-page clicks the base still buys. Ceiling = twice break-even on the advertised colour’s margin.</w:t>
      </w:r>
    </w:p>
    <w:p>
      <w:pPr>
        <w:spacing w:after="100"/>
      </w:pPr>
      <w:r>
        <w:t xml:space="preserve">Why the six wait:</w:t>
      </w:r>
    </w:p>
    <w:p>
      <w:pPr>
        <w:pStyle w:val="ListParagraph"/>
        <w:numPr>
          <w:ilvl w:val="0"/>
          <w:numId w:val="3"/>
        </w:numPr>
        <w:spacing w:after="60"/>
      </w:pPr>
      <w:r>
        <w:rPr>
          <w:b/>
          <w:bCs/>
        </w:rPr>
        <w:t xml:space="preserve">Listing check first: </w:t>
      </w:r>
      <w:r>
        <w:t xml:space="preserve">“bamboo sheets king size” and “bamboo sheets king”. On Amazon’s search query data, “bamboo sheets king size” converts at 0.68× the market and is clicked 0.55× as often (131 of our clicks over 8 weeks). “bamboo sheets king” converts at 0.81× and is clicked 0.42× as often (39 clicks). The audit notes they haven’t had a fair read at the top, so this may be placement rather than listing. Check the main image, title, price and reviews against True Bamboo first, then release them. “bamboo sheets king size” serves at $4.80 meanwhile (Section 7).</w:t>
      </w:r>
    </w:p>
    <w:p>
      <w:pPr>
        <w:pStyle w:val="ListParagraph"/>
        <w:numPr>
          <w:ilvl w:val="0"/>
          <w:numId w:val="3"/>
        </w:numPr>
        <w:spacing w:after="60"/>
      </w:pPr>
      <w:r>
        <w:rPr>
          <w:b/>
          <w:bCs/>
        </w:rPr>
        <w:t xml:space="preserve">Price limit below what we already pay at the top: </w:t>
      </w:r>
      <w:r>
        <w:t xml:space="preserve">“bamboo cooling sheets” and “bamboo king sheets”. At twice break-even they are unlikely to hold the top. They join only if you raise their ceiling for a set time.</w:t>
      </w:r>
    </w:p>
    <w:p>
      <w:pPr>
        <w:pStyle w:val="ListParagraph"/>
        <w:numPr>
          <w:ilvl w:val="0"/>
          <w:numId w:val="3"/>
        </w:numPr>
        <w:spacing w:after="60"/>
      </w:pPr>
      <w:r>
        <w:rPr>
          <w:b/>
          <w:bCs/>
        </w:rPr>
        <w:t xml:space="preserve">New campaigns: </w:t>
      </w:r>
      <w:r>
        <w:t xml:space="preserve">the three cooling terms. They need new exact campaigns, and campaigns launched in the last deal days learn on deal traffic, the same reason the audit’s 15 new campaigns are held. Their ceilings are also below the $5.18 holding benchmark. Build them in the 1 October audit, and add them to the rank tracker now.</w:t>
      </w:r>
    </w:p>
    <w:p>
      <w:pPr>
        <w:spacing w:after="100"/>
      </w:pPr>
      <w:r>
        <w:t xml:space="preserve">Left out for now:</w:t>
      </w:r>
    </w:p>
    <w:p>
      <w:pPr>
        <w:pStyle w:val="ListParagraph"/>
        <w:numPr>
          <w:ilvl w:val="0"/>
          <w:numId w:val="3"/>
        </w:numPr>
        <w:spacing w:after="60"/>
      </w:pPr>
      <w:r>
        <w:t xml:space="preserve">“cooling sheets” (rank 142): too far to reach yet.</w:t>
      </w:r>
    </w:p>
    <w:p>
      <w:pPr>
        <w:pStyle w:val="ListParagraph"/>
        <w:numPr>
          <w:ilvl w:val="0"/>
          <w:numId w:val="3"/>
        </w:numPr>
        <w:spacing w:after="60"/>
      </w:pPr>
      <w:r>
        <w:t xml:space="preserve">“cooling bed sheets”: its rank collapsed; find the cause first.</w:t>
      </w:r>
    </w:p>
    <w:p>
      <w:pPr>
        <w:pStyle w:val="ListParagraph"/>
        <w:numPr>
          <w:ilvl w:val="0"/>
          <w:numId w:val="3"/>
        </w:numPr>
        <w:spacing w:after="60"/>
      </w:pPr>
      <w:r>
        <w:t xml:space="preserve">Colour terms such as “black bamboo sheets”: these are conversions terms (Section 9).</w:t>
      </w:r>
    </w:p>
    <w:p>
      <w:pPr>
        <w:pStyle w:val="ListParagraph"/>
        <w:numPr>
          <w:ilvl w:val="0"/>
          <w:numId w:val="3"/>
        </w:numPr>
        <w:spacing w:after="60"/>
      </w:pPr>
      <w:r>
        <w:t xml:space="preserve">“king size bamboo sheets set”: a plan of 5 clicks a week.</w:t>
      </w:r>
    </w:p>
    <w:p>
      <w:pPr>
        <w:pStyle w:val="ListParagraph"/>
        <w:numPr>
          <w:ilvl w:val="0"/>
          <w:numId w:val="3"/>
        </w:numPr>
        <w:spacing w:after="60"/>
      </w:pPr>
      <w:r>
        <w:t xml:space="preserve">The rank-1 targets with no campaign and no data, such as “organic sheets queen”.</w:t>
      </w:r>
    </w:p>
    <w:p>
      <w:pPr>
        <w:spacing w:after="100"/>
      </w:pPr>
      <w:r>
        <w:rPr>
          <w:b/>
          <w:bCs/>
          <w:color w:val="1F3A5F"/>
        </w:rPr>
        <w:t xml:space="preserve">What it costs. </w:t>
      </w:r>
      <w:r>
        <w:t xml:space="preserve">The funded push is about $1,060 a day. With about $220 a day on the other campaigns, total B6 ad spend is about $1,280 a day, inside the $1,300 limit. For the deal’s remaining days (29–30 September) the push costs about $2,100. From 1 October its budget is re-evaluated in the post-deal audit.</w:t>
      </w:r>
    </w:p>
    <w:p>
      <w:pPr>
        <w:spacing w:after="100"/>
      </w:pPr>
      <w:r>
        <w:rPr>
          <w:b/>
          <w:bCs/>
          <w:color w:val="1F3A5F"/>
        </w:rPr>
        <w:t xml:space="preserve">The two-day margin exception. </w:t>
      </w:r>
      <w:r>
        <w:t xml:space="preserve">Today B6 spends $982 a day at about 11% margin after ads. B6 keeps 23.8% of sales before ads, so that implies about $7,670 a day in total sales during the deal. At those sales, 10% margin allows about $1,060 a day of ads in total. At $1,300 a day, margin runs at about 7%. That costs about $240 a day, or about $480 over the two days, against holding 10%. The push’s own sales won’t close the gap on the same days: even if every push sale were new and arrived at once, 10% would allow only about $120 a day more than today. It is taken knowingly: these two days are for pushing, because the last deal days are when rank is cheapest to buy, since the deal lifts conversion. From 1 October the budget and the margin rule are re-evaluated.</w:t>
      </w:r>
    </w:p>
    <w:p>
      <w:pPr>
        <w:spacing w:after="100"/>
      </w:pPr>
      <w:r>
        <w:t xml:space="preserve">It should bring about 32 orders a day at about 41% ACoS, which is above the 23.8% break-even: each push order costs more than it earns. The payback is organic. At their target ranks the audit’s plan puts these terms at about 245 units a week, against the roughly 480 a week B6 sells today. Most of those units would come without an ad once the rank holds.</w:t>
      </w:r>
    </w:p>
    <w:p>
      <w:pPr>
        <w:spacing w:after="100"/>
      </w:pPr>
      <w:r>
        <w:t xml:space="preserve">From 1 October, whatever margin rule the post-deal audit sets governs. Check B6’s margin after ads every week, and if it drops below that floor, cut the push from the bottom of the funded list up. Released or re-ceilinged terms join only while total spend stays inside the limit the 1 October audit sets.</w:t>
      </w:r>
    </w:p>
    <w:p>
      <w:pPr>
        <w:spacing w:after="100"/>
      </w:pPr>
      <w:r>
        <w:t xml:space="preserve">How each push term is tuned: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 Where the hourly sponsored-rank read is missing (Joseph’s team is backfilling it, not for every term), the 30% impression-share test governs on its own.</w:t>
      </w:r>
    </w:p>
    <w:p>
      <w:pPr>
        <w:pStyle w:val="ListParagraph"/>
        <w:numPr>
          <w:ilvl w:val="0"/>
          <w:numId w:val="3"/>
        </w:numPr>
        <w:spacing w:after="60"/>
      </w:pPr>
      <w:r>
        <w:rPr>
          <w:b/>
          <w:bCs/>
        </w:rPr>
        <w:t xml:space="preserve">At the ceiling for 3 days without holding the top: </w:t>
      </w:r>
      <w:r>
        <w:t xml:space="preserve">bring it to you, to raise that term’s ceiling for a set time or swap the term.</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spacing w:after="100"/>
      </w:pPr>
      <w:r>
        <w:rPr>
          <w:b/>
          <w:bCs/>
          <w:color w:val="1F3A5F"/>
        </w:rPr>
        <w:t xml:space="preserve">Budget. </w:t>
      </w:r>
      <w:r>
        <w:t xml:space="preserve">For the rest of the deal (29–30 September), up to $1,300 a day of B6 ad spend in total, as a stated two-day exception at about 7% margin; the funded push is about $1,060 a day. From 1 October the budget and the margin rule are re-evaluated in the post-deal audit.</w:t>
      </w:r>
    </w:p>
    <w:p>
      <w:pPr>
        <w:pStyle w:val="Heading2"/>
      </w:pPr>
      <w:r>
        <w:t xml:space="preserve">5.4 Which terms qualify</w:t>
      </w:r>
    </w:p>
    <w:p>
      <w:pPr>
        <w:spacing w:after="100"/>
      </w:pPr>
      <w:r>
        <w:t xml:space="preserve">Nine B6 terms beat the market at top of search on both click-through and conversion and have 7+ days of Available stock. Most also leak to product pages, so the base cut goes in the same write as the push price.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 (product pages 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(52%)</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(63%)</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base cut in the same write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Colour term: conversions, at break-even; base cut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5.5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cut the base $1.70 → $1.28 and set $7.10,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Base $1.37 → $1.03 and top of search +30% to $7.71, in one write. Then up to 30% a day toward $8.86 until it holds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$2.24 once on Queen White = $19.51 ×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$5.61, capped at 2× = $4.49</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cut the base $1.58 → $1.19 and set $4.11 (+30%), in one write; then up to 30% a day toward $4.49</w:t>
            </w:r>
          </w:p>
        </w:tc>
      </w:tr>
    </w:tbl>
    <w:p>
      <w:pPr>
        <w:spacing w:after="120"/>
      </w:pPr>
      <w:r>
        <w:rPr>
          <w:i/>
          <w:iCs/>
          <w:color w:val="555555"/>
          <w:sz w:val="17"/>
          <w:szCs w:val="17"/>
        </w:rPr>
        <w:t xml:space="preserve">Premium = (rank now ÷ target − 1) × 50%, or +25% when the ratio is 1.5 or less; the push price never exceeds twice break-even and steps up by at most 30% a day. Break-even = the advertised colour’s Sellerboard margin × the campaign’s top-of-search conversion; where the ad moves to White, it is priced on White’s margin. “Now · audit” = today’s top-of-search price and what the audit writes.</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a deeper base cut, so the money goes to the top instead of product pages.</w:t>
      </w:r>
    </w:p>
    <w:p>
      <w:pPr>
        <w:spacing w:after="100"/>
      </w:pPr>
      <w:r>
        <w:t xml:space="preserve">It buys too little at the top: 39% of its clicks, against 57% on product pages, and 1.5% of the top-of-search impressions. The plan asks for 69 top-of-search clicks a day (about 40 after the overlap scaling in Section 12); it gets 7. The fix is the mix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That puts it at up to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In the push plan. </w:t>
      </w:r>
      <w:r>
        <w:t xml:space="preserve">69 top-of-search clicks a day at $6.16 is about $425 a day and should bring about 13 orders a day (Section 5.3).</w:t>
      </w:r>
    </w:p>
    <w:p>
      <w:pPr>
        <w:pStyle w:val="Heading2"/>
      </w:pPr>
      <w:r>
        <w:t xml:space="preserve">5.7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is in the plan: the base cut and push price in one write, daily steps until it holds the top, and a budget for its planned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w:t>
      </w:r>
    </w:p>
    <w:p>
      <w:pPr>
        <w:pStyle w:val="Heading2"/>
      </w:pPr>
      <w:r>
        <w:t xml:space="preserve">5.8 How the push is paid for</w:t>
      </w:r>
    </w:p>
    <w:p>
      <w:pPr>
        <w:spacing w:after="100"/>
      </w:pPr>
      <w:r>
        <w:t xml:space="preserve">The push grows spend on purpose; that is what buys rank at the speed True Bamboo showed. Part of it is paid for by:</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spacing w:after="100"/>
      </w:pPr>
      <w:r>
        <w:t xml:space="preserve">The rest is new money. That is why the push budget is set for the deal days, re-evaluated on 1 October, and tuned weekly on rank movement.</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in one write, and check the ad is live on King White. That leaves room up to $6.00 at the top. It is the plan’s second term (54 units a week), so it is not parked: it serves at $4.80 while its listing is checked, then joins the push (Section 5.3).</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 The push plan (Section 5.3) shows the cost at both the full and the scaled volume.</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load the funded push terms (Section 5.3), keeping total B6 ad spend within $1,300 a day, and start the listing check on the two King terms.</w:t>
      </w:r>
    </w:p>
    <w:p>
      <w:pPr>
        <w:pStyle w:val="ListParagraph"/>
        <w:numPr>
          <w:ilvl w:val="0"/>
          <w:numId w:val="5"/>
        </w:numPr>
        <w:spacing w:after="60"/>
      </w:pPr>
      <w:r>
        <w:t xml:space="preserve">Today to 30 September:</w:t>
      </w:r>
    </w:p>
    <w:p>
      <w:pPr>
        <w:pStyle w:val="ListParagraph"/>
        <w:numPr>
          <w:ilvl w:val="0"/>
          <w:numId w:val="3"/>
        </w:numPr>
        <w:spacing w:after="60"/>
      </w:pPr>
      <w:r>
        <w:t xml:space="preserve">On the push terms: the base cut and the push price in one write, budgets by hand, and daily steps until each holds the top. No change to bidding strategies.</w:t>
      </w:r>
    </w:p>
    <w:p>
      <w:pPr>
        <w:pStyle w:val="ListParagraph"/>
        <w:numPr>
          <w:ilvl w:val="0"/>
          <w:numId w:val="3"/>
        </w:numPr>
        <w:spacing w:after="60"/>
      </w:pPr>
      <w:r>
        <w:t xml:space="preserve">Restart “bamboo sheets full” and “bamboo king sheets”. Add “cooling sheets king size”, “cooling sheets queen” and “queen cooling sheets” to the rank tracker; their exact campaigns are built in the 1 October audit. Start hourly tracking of sponsored and organic rank for B6 and True Bamboo on the push terms.</w:t>
      </w:r>
    </w:p>
    <w:p>
      <w:pPr>
        <w:pStyle w:val="ListParagraph"/>
        <w:numPr>
          <w:ilvl w:val="0"/>
          <w:numId w:val="3"/>
        </w:numPr>
        <w:spacing w:after="60"/>
      </w:pPr>
      <w:r>
        <w:t xml:space="preserve">Keep every ranking ad on White, and hold the audit’s 15 new campaigns and the retags.</w:t>
      </w:r>
    </w:p>
    <w:p>
      <w:pPr>
        <w:pStyle w:val="ListParagraph"/>
        <w:numPr>
          <w:ilvl w:val="0"/>
          <w:numId w:val="5"/>
        </w:numPr>
        <w:spacing w:after="60"/>
      </w:pPr>
      <w:r>
        <w:t xml:space="preserve">1 October: the separate post-deal audit re-prices on the full-price margin, sets the TACoS goal and spend limit outside the push, and keeps the push running.</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5, 12 and 19 October: tune the push plan. Fund what moves; fix or swap what doesn’t.</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Its own history shows B6 terms reaching the top 10 in a median of 5 days once the clicks land, but its plans don’t put that pace to work. It should also use competitor hourly sponsored and organic rank and traffic estimates to size clicks and timelines.</w:t>
      </w:r>
    </w:p>
    <w:p>
      <w:pPr>
        <w:pStyle w:val="ListParagraph"/>
        <w:numPr>
          <w:ilvl w:val="0"/>
          <w:numId w:val="3"/>
        </w:numPr>
        <w:spacing w:after="60"/>
      </w:pPr>
      <w:r>
        <w:t xml:space="preserve">It spreads the push across hundreds of campaigns instead of a tactical set of terms with a costed click plan.</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2026-09-28T23:41:31.168Z</dcterms:created>
  <dcterms:modified xsi:type="dcterms:W3CDTF">2026-09-28T23:41:31.169Z</dcterms:modified>
</cp:coreProperties>
</file>

<file path=docProps/custom.xml><?xml version="1.0" encoding="utf-8"?>
<Properties xmlns="http://schemas.openxmlformats.org/officeDocument/2006/custom-properties" xmlns:vt="http://schemas.openxmlformats.org/officeDocument/2006/docPropsVTypes"/>
</file>