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4-Piece (B4)</w:t>
      </w:r>
    </w:p>
    <w:p>
      <w:pPr>
        <w:spacing w:after="200"/>
      </w:pPr>
      <w:r>
        <w:rPr>
          <w:color w:val="555555"/>
          <w:sz w:val="19"/>
          <w:szCs w:val="19"/>
        </w:rPr>
        <w:t xml:space="preserve">For Joseph · 28 September 2026 · audit run 20260928-9e6e6bb5 · combines two independent reviews of the same audit</w:t>
      </w:r>
    </w:p>
    <w:p>
      <w:pPr>
        <w:pStyle w:val="Heading1"/>
      </w:pPr>
      <w:r>
        <w:t xml:space="preserve">Summary</w:t>
      </w:r>
    </w:p>
    <w:p>
      <w:pPr>
        <w:spacing w:after="100"/>
      </w:pPr>
      <w:r>
        <w:t xml:space="preserve">The audit proposes 343 changes on 144 of the product’s campaigns and six new campaigns. It moves the ranking focus to California King and bamboo cooling sheets. It raises prices on those terms without a plan behind them, and it spreads money thinly across everything else. It has no plan for moving out of the deal that ends today.</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of corrected decisions is in the separate campaign register.</w:t>
      </w:r>
    </w:p>
    <w:p>
      <w:pPr>
        <w:spacing w:after="100"/>
      </w:pPr>
      <w:r>
        <w:t xml:space="preserve">The corrections:</w:t>
      </w:r>
    </w:p>
    <w:p>
      <w:pPr>
        <w:pStyle w:val="ListParagraph"/>
        <w:numPr>
          <w:ilvl w:val="0"/>
          <w:numId w:val="2"/>
        </w:numPr>
        <w:spacing w:after="60"/>
      </w:pPr>
      <w:r>
        <w:rPr>
          <w:b/>
          <w:bCs/>
        </w:rPr>
        <w:t xml:space="preserve">Set goals for the run. </w:t>
      </w:r>
      <w:r>
        <w:t xml:space="preserve">The audit has no spend target, no TACoS goal and no product goal, only a forecast. The run needs all three: a TACoS goal below the pre-deal level, a spend limit tied to sales, and a product goal to build rank on the focus terms steadily into Prime and Black Friday / Cyber Monday (Section 3).</w:t>
      </w:r>
    </w:p>
    <w:p>
      <w:pPr>
        <w:pStyle w:val="ListParagraph"/>
        <w:numPr>
          <w:ilvl w:val="0"/>
          <w:numId w:val="2"/>
        </w:numPr>
        <w:spacing w:after="60"/>
      </w:pPr>
      <w:r>
        <w:rPr>
          <w:b/>
          <w:bCs/>
        </w:rPr>
        <w:t xml:space="preserve">Plan the move out of the deal. </w:t>
      </w:r>
      <w:r>
        <w:t xml:space="preserve">Ad spend doubled during the deal and has to come down on 29 September without losing the rank the deal bought (Section 4).</w:t>
      </w:r>
    </w:p>
    <w:p>
      <w:pPr>
        <w:pStyle w:val="ListParagraph"/>
        <w:numPr>
          <w:ilvl w:val="0"/>
          <w:numId w:val="2"/>
        </w:numPr>
        <w:spacing w:after="60"/>
      </w:pPr>
      <w:r>
        <w:rPr>
          <w:b/>
          <w:bCs/>
        </w:rPr>
        <w:t xml:space="preserve">Push the focus terms at top of search now; bring everything else to break-even. </w:t>
      </w:r>
      <w:r>
        <w:t xml:space="preserve">The rank push can’t wait for the next deal: it has to be built before each event. The push is sized to each term’s rank gap, never more than twice its break-even, and climbs at most 30% per step. The audit’s three 75% jumps go. Every other ranking campaign comes down to break-even, and that saving pays for the push (Section 5).</w:t>
      </w:r>
    </w:p>
    <w:p>
      <w:pPr>
        <w:pStyle w:val="ListParagraph"/>
        <w:numPr>
          <w:ilvl w:val="0"/>
          <w:numId w:val="2"/>
        </w:numPr>
        <w:spacing w:after="60"/>
      </w:pPr>
      <w:r>
        <w:rPr>
          <w:b/>
          <w:bCs/>
        </w:rPr>
        <w:t xml:space="preserve">Break-even is lower than the audit thinks. </w:t>
      </w:r>
      <w:r>
        <w:t xml:space="preserve">The audit prices on $24.49 profit per unit (33.3% break-even ACoS). The real margin before ads, from Sellerboard, is $20.64 for the product and $17.88 for King White, so break-even ACoS is 27.9%.</w:t>
      </w:r>
    </w:p>
    <w:p>
      <w:pPr>
        <w:pStyle w:val="ListParagraph"/>
        <w:numPr>
          <w:ilvl w:val="0"/>
          <w:numId w:val="2"/>
        </w:numPr>
        <w:spacing w:after="60"/>
      </w:pPr>
      <w:r>
        <w:rPr>
          <w:b/>
          <w:bCs/>
        </w:rPr>
        <w:t xml:space="preserve">Advertise the right colours. </w:t>
      </w:r>
      <w:r>
        <w:t xml:space="preserve">The audit picks the colour with the most units on hand, not the next-best seller. 94 ranking campaigns advertise the wrong colour (Section 7).</w:t>
      </w:r>
    </w:p>
    <w:p>
      <w:pPr>
        <w:pStyle w:val="ListParagraph"/>
        <w:numPr>
          <w:ilvl w:val="0"/>
          <w:numId w:val="2"/>
        </w:numPr>
        <w:spacing w:after="60"/>
      </w:pPr>
      <w:r>
        <w:rPr>
          <w:b/>
          <w:bCs/>
        </w:rPr>
        <w:t xml:space="preserve">Stop our campaigns competing with each other. </w:t>
      </w:r>
      <w:r>
        <w:t xml:space="preserve">A clearance campaign took 164 clicks on “bamboo sheets” in 30 days. 26 ranking terms are also bought by broad or auto campaigns (Section 11).</w:t>
      </w:r>
    </w:p>
    <w:p>
      <w:pPr>
        <w:pStyle w:val="ListParagraph"/>
        <w:numPr>
          <w:ilvl w:val="0"/>
          <w:numId w:val="2"/>
        </w:numPr>
        <w:spacing w:after="60"/>
      </w:pPr>
      <w:r>
        <w:rPr>
          <w:b/>
          <w:bCs/>
        </w:rPr>
        <w:t xml:space="preserve">Don’t load changes the engine got wrong. </w:t>
      </w:r>
      <w:r>
        <w:t xml:space="preserve">These include rows it marked “don’t change”, duplicates, changes on paused campaigns and blocked budgets. Its forecast is also about ten times too high (Sections 13 and 15).</w:t>
      </w:r>
    </w:p>
    <w:p>
      <w:pPr>
        <w:spacing w:after="100"/>
      </w:pPr>
      <w:r>
        <w:rPr>
          <w:b/>
          <w:bCs/>
          <w:color w:val="1F3A5F"/>
        </w:rPr>
        <w:t xml:space="preserve">Decisions needed from you by 30 September: </w:t>
      </w:r>
      <w:r>
        <w:t xml:space="preserve">the goals (Section 3) and whether “bamboo sheets” joins the push (Section 5.4).</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 The price is the decision; the boost is just the percentage that produces it.</w:t>
            </w:r>
          </w:p>
        </w:tc>
      </w:tr>
      <w:tr>
        <w:tc>
          <w:tcPr>
            <w:tcW w:type="dxa" w:w="2600"/>
            <w:shd w:fill="F2F5F9"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2F5F9" w:color="auto" w:val="clear"/>
            <w:tcMar>
              <w:top w:type="dxa" w:w="40"/>
              <w:left w:type="dxa" w:w="70"/>
              <w:bottom w:type="dxa" w:w="40"/>
              <w:right w:type="dxa" w:w="70"/>
            </w:tcMar>
          </w:tcPr>
          <w:p>
            <w:pPr>
              <w:spacing w:after="0"/>
            </w:pPr>
            <w:r>
              <w:rPr>
                <w:sz w:val="17"/>
                <w:szCs w:val="17"/>
              </w:rPr>
              <w:t xml:space="preserve">Profit per unit before ads × the chance a click becomes a sale. Above it, each ad sale loses money. Profit per unit comes from Sellerboard: $20.64 for the product and $17.88 for King White (break-even ACoS 27.9%). The conversion rate is the size’s average until a campaign has 15 clicks, blends toward its own between 15 and 50 clicks, and is its own from 50. Each campaign’s figure is in the campaign register.</w:t>
            </w:r>
          </w:p>
        </w:tc>
      </w:tr>
      <w:tr>
        <w:tc>
          <w:tcPr>
            <w:tcW w:type="dxa" w:w="2600"/>
            <w:shd w:fill="FFFFFF" w:color="auto" w:val="clear"/>
            <w:tcMar>
              <w:top w:type="dxa" w:w="40"/>
              <w:left w:type="dxa" w:w="70"/>
              <w:bottom w:type="dxa" w:w="40"/>
              <w:right w:type="dxa" w:w="70"/>
            </w:tcMar>
          </w:tcPr>
          <w:p>
            <w:pPr>
              <w:spacing w:after="0"/>
            </w:pPr>
            <w:r>
              <w:rPr>
                <w:sz w:val="17"/>
                <w:szCs w:val="17"/>
              </w:rPr>
              <w:t xml:space="preserve">Push price</w:t>
            </w:r>
          </w:p>
        </w:tc>
        <w:tc>
          <w:tcPr>
            <w:tcW w:type="dxa" w:w="7372"/>
            <w:shd w:fill="FFFFFF"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and it climbs at most 30% per step.</w:t>
            </w:r>
          </w:p>
        </w:tc>
      </w:tr>
      <w:tr>
        <w:tc>
          <w:tcPr>
            <w:tcW w:type="dxa" w:w="2600"/>
            <w:shd w:fill="F2F5F9"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2F5F9" w:color="auto" w:val="clear"/>
            <w:tcMar>
              <w:top w:type="dxa" w:w="40"/>
              <w:left w:type="dxa" w:w="70"/>
              <w:bottom w:type="dxa" w:w="40"/>
              <w:right w:type="dxa" w:w="70"/>
            </w:tcMar>
          </w:tcPr>
          <w:p>
            <w:pPr>
              <w:spacing w:after="0"/>
            </w:pPr>
            <w:r>
              <w:rPr>
                <w:sz w:val="17"/>
                <w:szCs w:val="17"/>
              </w:rPr>
              <w:t xml:space="preserve">Units Amazon can sell today. Units in transfer between warehouses count only toward replenishment, and customer orders never count.</w:t>
            </w:r>
          </w:p>
        </w:tc>
      </w:tr>
      <w:tr>
        <w:tc>
          <w:tcPr>
            <w:tcW w:type="dxa" w:w="2600"/>
            <w:shd w:fill="FFFFFF"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FFFFF" w:color="auto" w:val="clear"/>
            <w:tcMar>
              <w:top w:type="dxa" w:w="40"/>
              <w:left w:type="dxa" w:w="70"/>
              <w:bottom w:type="dxa" w:w="40"/>
              <w:right w:type="dxa" w:w="70"/>
            </w:tcMar>
          </w:tcPr>
          <w:p>
            <w:pPr>
              <w:spacing w:after="0"/>
            </w:pPr>
            <w:r>
              <w:rPr>
                <w:sz w:val="17"/>
                <w:szCs w:val="17"/>
              </w:rPr>
              <w:t xml:space="preserve">Ranking campaigns advertise White (or the size’s next-best seller while White is short). Auto, broad and phrase campaigns advertise a slow-selling colour with a lot of stock.</w:t>
            </w:r>
          </w:p>
        </w:tc>
      </w:tr>
    </w:tbl>
    <w:p>
      <w:pPr>
        <w:spacing w:after="40"/>
      </w:pPr>
    </w:p>
    <w:p>
      <w:pPr>
        <w:pStyle w:val="Heading1"/>
      </w:pPr>
      <w:r>
        <w:t xml:space="preserve">1. Where things stand as the deal ends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(2–14 Sep)</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week 1 (15–21 Sep)</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week 2 (22–27 Sep)</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all campaigns for this product. * Still filling in: Amazon credits sales up to 7 days after the click. The Best Deal (15–28 September) sold 752 units for $53,568. TACoS was 14.1% before the deal, 16.1% over the last 30 days, and about 19% in the deal’s last week.</w:t>
      </w:r>
    </w:p>
    <w:p>
      <w:pPr>
        <w:spacing w:after="100"/>
      </w:pPr>
      <w:r>
        <w:t xml:space="preserve">The deal lifted orders by about a third, but ad spend rose 76% and ACoS went to about 44%. Most of the extra money didn’t buy rank: product pages took as many clicks as top of search, and the top-of-search share never passed 42%. The main term, “bamboo sheets”, spent $4,309 in 13 deal days at 81% ACoS and started the deal at 38 and ended it at 36.</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the average top-of-search bid. Bottom: organic rank for four keyword groups (lower is better). Shaded: the Best Deal.</w:t>
      </w:r>
    </w:p>
    <w:p>
      <w:pPr>
        <w:pStyle w:val="Heading1"/>
      </w:pPr>
      <w:r>
        <w:t xml:space="preserve">2. The rules these corrections apply</w:t>
      </w:r>
    </w:p>
    <w:p>
      <w:pPr>
        <w:pStyle w:val="ListParagraph"/>
        <w:numPr>
          <w:ilvl w:val="0"/>
          <w:numId w:val="3"/>
        </w:numPr>
        <w:spacing w:after="60"/>
      </w:pPr>
      <w:r>
        <w:rPr>
          <w:b/>
          <w:bCs/>
        </w:rPr>
        <w:t xml:space="preserve">Rank is built before a sales event, not only during it. </w:t>
      </w:r>
      <w:r>
        <w:t xml:space="preserve">Focus terms are pushed at top of search continuously into each event (Prime, Black Friday / Cyber Monday). Each term needs four things for a push: shoppers click our ad more than the market average, clicks convert better than the market average, stock can hold the position, and the campaign is actually serving. A term missing any of them runs at break-even until it’s fixed.</w:t>
      </w:r>
    </w:p>
    <w:p>
      <w:pPr>
        <w:pStyle w:val="ListParagraph"/>
        <w:numPr>
          <w:ilvl w:val="0"/>
          <w:numId w:val="3"/>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twice break-even: that keeps the cost per sale inside the order value. Never climb more than 30% in one step.</w:t>
      </w:r>
    </w:p>
    <w:p>
      <w:pPr>
        <w:pStyle w:val="ListParagraph"/>
        <w:numPr>
          <w:ilvl w:val="0"/>
          <w:numId w:val="3"/>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3"/>
        </w:numPr>
        <w:spacing w:after="60"/>
      </w:pPr>
      <w:r>
        <w:rPr>
          <w:b/>
          <w:bCs/>
        </w:rPr>
        <w:t xml:space="preserve">Break-even comes from real margin. </w:t>
      </w:r>
      <w:r>
        <w:t xml:space="preserve">Use Sellerboard profit before ads (after product cost, all Amazon fees including storage, refunds and promotions) over the 30 days before the deal. Use the campaign’s own conversion rate once it has enough clicks.</w:t>
      </w:r>
    </w:p>
    <w:p>
      <w:pPr>
        <w:pStyle w:val="ListParagraph"/>
        <w:numPr>
          <w:ilvl w:val="0"/>
          <w:numId w:val="3"/>
        </w:numPr>
        <w:spacing w:after="60"/>
      </w:pPr>
      <w:r>
        <w:rPr>
          <w:b/>
          <w:bCs/>
        </w:rPr>
        <w:t xml:space="preserve">Fix where the clicks land before paying a premium. </w:t>
      </w:r>
      <w:r>
        <w:t xml:space="preserve">If more than 20% of clicks land on product pages, lower the base bid and raise the boost so the top-of-search price stays the same. If under 30% land at top of search, this comes first.</w:t>
      </w:r>
    </w:p>
    <w:p>
      <w:pPr>
        <w:pStyle w:val="ListParagraph"/>
        <w:numPr>
          <w:ilvl w:val="0"/>
          <w:numId w:val="3"/>
        </w:numPr>
        <w:spacing w:after="60"/>
      </w:pPr>
      <w:r>
        <w:rPr>
          <w:b/>
          <w:bCs/>
        </w:rPr>
        <w:t xml:space="preserve">If a campaign gets no clicks, don’t cut its base bid. </w:t>
      </w:r>
      <w:r>
        <w:t xml:space="preserve">Check whether down-only bidding is holding the price down, and switch to fixed bidding if it is.</w:t>
      </w:r>
    </w:p>
    <w:p>
      <w:pPr>
        <w:pStyle w:val="ListParagraph"/>
        <w:numPr>
          <w:ilvl w:val="0"/>
          <w:numId w:val="3"/>
        </w:numPr>
        <w:spacing w:after="60"/>
      </w:pPr>
      <w:r>
        <w:rPr>
          <w:b/>
          <w:bCs/>
        </w:rPr>
        <w:t xml:space="preserve">One owner per search term. </w:t>
      </w:r>
      <w:r>
        <w:t xml:space="preserve">Each ranking term is bought by one exact campaign; broad, auto and phrase campaigns exclude it.</w:t>
      </w:r>
    </w:p>
    <w:p>
      <w:pPr>
        <w:pStyle w:val="ListParagraph"/>
        <w:numPr>
          <w:ilvl w:val="0"/>
          <w:numId w:val="3"/>
        </w:numPr>
        <w:spacing w:after="60"/>
      </w:pPr>
      <w:r>
        <w:rPr>
          <w:b/>
          <w:bCs/>
        </w:rPr>
        <w:t xml:space="preserve">Advertise the right colour, judged on Available stock. </w:t>
      </w:r>
      <w:r>
        <w:t xml:space="preserve">Ranking campaigns advertise White, or the size’s next-best seller with healthy stock while White is short. Discovery campaigns advertise the size’s clearance colour.</w:t>
      </w:r>
    </w:p>
    <w:p>
      <w:pPr>
        <w:pStyle w:val="ListParagraph"/>
        <w:numPr>
          <w:ilvl w:val="0"/>
          <w:numId w:val="3"/>
        </w:numPr>
        <w:spacing w:after="60"/>
      </w:pPr>
      <w:r>
        <w:rPr>
          <w:b/>
          <w:bCs/>
        </w:rPr>
        <w:t xml:space="preserve">Outside ranking, each campaign pays for itself. </w:t>
      </w:r>
      <w:r>
        <w:t xml:space="preserve">It is judged on its own results over 30 days against 90. Over break-even, the base bid comes down. Inside break-even, or under 15 clicks, nothing moves.</w:t>
      </w:r>
    </w:p>
    <w:p>
      <w:pPr>
        <w:pStyle w:val="ListParagraph"/>
        <w:numPr>
          <w:ilvl w:val="0"/>
          <w:numId w:val="3"/>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$1,107 to $1,384 a day and TACoS to 24.8%. It also uses a 25% TACoS ceiling to size its biggest price jumps. It never sets a goal for the run, so none of those numbers is checked against anything. A 25% ceiling is far too loose: B4 ran at 14.1% TACoS before the deal.</w:t>
      </w:r>
    </w:p>
    <w:p>
      <w:pPr>
        <w:spacing w:after="100"/>
      </w:pPr>
      <w:r>
        <w:rPr>
          <w:b/>
          <w:bCs/>
          <w:color w:val="1F3A5F"/>
        </w:rPr>
        <w:t xml:space="preserve">Correction: set these goals from 29 September through Black Friday / Cyber Monday. </w:t>
      </w:r>
      <w:r>
        <w:t xml:space="preserve"/>
      </w:r>
    </w:p>
    <w:p>
      <w:pPr>
        <w:pStyle w:val="ListParagraph"/>
        <w:numPr>
          <w:ilvl w:val="0"/>
          <w:numId w:val="4"/>
        </w:numPr>
        <w:spacing w:after="60"/>
      </w:pPr>
      <w:r>
        <w:rPr>
          <w:b/>
          <w:bCs/>
        </w:rPr>
        <w:t xml:space="preserve">TACoS goal: below the pre-deal level. </w:t>
      </w:r>
      <w:r>
        <w:t xml:space="preserve">Set it under the 14.1% B4 ran at before the deal, and bring it down further as organic rank grows. The push is paid for by cutting waste, not by adding spend on top (Section 5.5).</w:t>
      </w:r>
    </w:p>
    <w:p>
      <w:pPr>
        <w:pStyle w:val="ListParagraph"/>
        <w:numPr>
          <w:ilvl w:val="0"/>
          <w:numId w:val="4"/>
        </w:numPr>
        <w:spacing w:after="60"/>
      </w:pPr>
      <w:r>
        <w:rPr>
          <w:b/>
          <w:bCs/>
        </w:rPr>
        <w:t xml:space="preserve">Spend limit: a share of the last 7 days’ total sales, </w:t>
      </w:r>
      <w:r>
        <w:t xml:space="preserve">set from the TACoS goal. The limit rises as sales rise, so rank gains fund a bigger push. Within the limit, the focus terms’ top-of-search push is funded first.</w:t>
      </w:r>
    </w:p>
    <w:p>
      <w:pPr>
        <w:pStyle w:val="ListParagraph"/>
        <w:numPr>
          <w:ilvl w:val="0"/>
          <w:numId w:val="4"/>
        </w:numPr>
        <w:spacing w:after="60"/>
      </w:pPr>
      <w:r>
        <w:rPr>
          <w:b/>
          <w:bCs/>
        </w:rPr>
        <w:t xml:space="preserve">Product goal: </w:t>
      </w:r>
      <w:r>
        <w:t xml:space="preserve">enter Prime and Black Friday with the focus terms as high as possible, and keep the gains afterwards. Milestones:</w:t>
      </w:r>
    </w:p>
    <w:p>
      <w:pPr>
        <w:pStyle w:val="ListParagraph"/>
        <w:numPr>
          <w:ilvl w:val="0"/>
          <w:numId w:val="4"/>
        </w:numPr>
        <w:spacing w:after="60"/>
      </w:pPr>
      <w:r>
        <w:t xml:space="preserve">Hold the ground the deal bought: “bamboo sheets” no worse than 36 and “bamboo cooling sheets” no worse than 30, today’s ranks.</w:t>
      </w:r>
    </w:p>
    <w:p>
      <w:pPr>
        <w:pStyle w:val="ListParagraph"/>
        <w:numPr>
          <w:ilvl w:val="0"/>
          <w:numId w:val="4"/>
        </w:numPr>
        <w:spacing w:after="60"/>
      </w:pPr>
      <w:r>
        <w:t xml:space="preserve">Move “bamboo cooling sheets” and the two King White terms (“bamboo sheets king” and “bamboo sheets king size”) up every week toward their targets of 5, 8 and 10.</w:t>
      </w:r>
    </w:p>
    <w:p>
      <w:pPr>
        <w:pStyle w:val="ListParagraph"/>
        <w:numPr>
          <w:ilvl w:val="0"/>
          <w:numId w:val="4"/>
        </w:numPr>
        <w:spacing w:after="60"/>
      </w:pPr>
      <w:r>
        <w:t xml:space="preserve">Keep ad orders at 27 a day or more, the pre-deal level.</w:t>
      </w:r>
    </w:p>
    <w:p>
      <w:pPr>
        <w:pStyle w:val="ListParagraph"/>
        <w:numPr>
          <w:ilvl w:val="0"/>
          <w:numId w:val="4"/>
        </w:numPr>
        <w:spacing w:after="60"/>
      </w:pPr>
      <w:r>
        <w:t xml:space="preserve">Get at least 70% of focus-campaign clicks at top of search.</w:t>
      </w:r>
    </w:p>
    <w:p>
      <w:pPr>
        <w:spacing w:after="100"/>
      </w:pPr>
      <w:r>
        <w:t xml:space="preserve">Check every Monday. If TACoS runs over the goal, cut first whatever is still above break-even outside the push. If it runs under the goal and rank is climbing, raise the push budget.</w:t>
      </w:r>
    </w:p>
    <w:p>
      <w:pPr>
        <w:pStyle w:val="Heading1"/>
      </w:pPr>
      <w:r>
        <w:t xml:space="preserve">4. Moving out of the deal: the transition plan</w:t>
      </w:r>
    </w:p>
    <w:p>
      <w:pPr>
        <w:spacing w:after="100"/>
      </w:pPr>
      <w:r>
        <w:t xml:space="preserve">The audit treats 28 September as a normal day. It has no step for ending deal-level spend, no guard for rank as deal sales stop, and no link to the next events. Rank usually slips when deal sales stop, so the transition has two jobs: bring spend back inside the goals quickly, and move the money onto the focus terms before rank falls.</w:t>
      </w:r>
    </w:p>
    <w:p>
      <w:pPr>
        <w:pStyle w:val="Heading2"/>
      </w:pPr>
      <w:r>
        <w:t xml:space="preserve">Day 1 — 29 September</w:t>
      </w:r>
    </w:p>
    <w:p>
      <w:pPr>
        <w:pStyle w:val="ListParagraph"/>
        <w:numPr>
          <w:ilvl w:val="0"/>
          <w:numId w:val="4"/>
        </w:numPr>
        <w:spacing w:after="60"/>
      </w:pPr>
      <w:r>
        <w:t xml:space="preserve">Confirm the listing is back at its regular price with no deal badge left.</w:t>
      </w:r>
    </w:p>
    <w:p>
      <w:pPr>
        <w:pStyle w:val="ListParagraph"/>
        <w:numPr>
          <w:ilvl w:val="0"/>
          <w:numId w:val="4"/>
        </w:numPr>
        <w:spacing w:after="60"/>
      </w:pPr>
      <w:r>
        <w:rPr>
          <w:b/>
          <w:bCs/>
        </w:rPr>
        <w:t xml:space="preserve">Bring spend back inside the limit. </w:t>
      </w:r>
      <w:r>
        <w:t xml:space="preserve">Spend is $1,142 a day, far above the pre-deal $656. The cut comes from what doesn’t build rank: out-of-focus ranking campaigns come to break-even (straight away with no top-of-search clicks, in 50% steps with them), product-page leaks are fixed (Section 9), and ranking terms are excluded from broad, auto and clearance campaigns (Section 11). Conversions campaigns over break-even step down too (Section 12).</w:t>
      </w:r>
    </w:p>
    <w:p>
      <w:pPr>
        <w:pStyle w:val="ListParagraph"/>
        <w:numPr>
          <w:ilvl w:val="0"/>
          <w:numId w:val="4"/>
        </w:numPr>
        <w:spacing w:after="60"/>
      </w:pPr>
      <w:r>
        <w:rPr>
          <w:b/>
          <w:bCs/>
        </w:rPr>
        <w:t xml:space="preserve">Start the push on the same day. </w:t>
      </w:r>
      <w:r>
        <w:t xml:space="preserve">Write each focus term’s push price (Section 5). Raise the focus budgets to their required clicks at that price. The focus terms must not see a gap between deal traffic ending and the push starting.</w:t>
      </w:r>
    </w:p>
    <w:p>
      <w:pPr>
        <w:pStyle w:val="ListParagraph"/>
        <w:numPr>
          <w:ilvl w:val="0"/>
          <w:numId w:val="4"/>
        </w:numPr>
        <w:spacing w:after="60"/>
      </w:pPr>
      <w:r>
        <w:t xml:space="preserve">Reset budgets raised for the deal to each campaign’s required clicks at its new price. Drop the budget increases on campaigns that aren’t serving (Section 8).</w:t>
      </w:r>
    </w:p>
    <w:p>
      <w:pPr>
        <w:pStyle w:val="ListParagraph"/>
        <w:numPr>
          <w:ilvl w:val="0"/>
          <w:numId w:val="4"/>
        </w:numPr>
        <w:spacing w:after="60"/>
      </w:pPr>
      <w:r>
        <w:t xml:space="preserve">Make the colour switches by hand and move the campaigns on unsellable stock (Sections 7–8).</w:t>
      </w:r>
    </w:p>
    <w:p>
      <w:pPr>
        <w:pStyle w:val="Heading2"/>
      </w:pPr>
      <w:r>
        <w:t xml:space="preserve">Week 1 — 29 September to 5 October: watch, don’t judge</w:t>
      </w:r>
    </w:p>
    <w:p>
      <w:pPr>
        <w:pStyle w:val="ListParagraph"/>
        <w:numPr>
          <w:ilvl w:val="0"/>
          <w:numId w:val="4"/>
        </w:numPr>
        <w:spacing w:after="60"/>
      </w:pPr>
      <w:r>
        <w:t xml:space="preserve">Sales from deal clicks keep arriving until about 5 October, so no ACoS or conversion from this week judges a campaign. Break-even stays on the 30 days before the deal.</w:t>
      </w:r>
    </w:p>
    <w:p>
      <w:pPr>
        <w:pStyle w:val="ListParagraph"/>
        <w:numPr>
          <w:ilvl w:val="0"/>
          <w:numId w:val="4"/>
        </w:numPr>
        <w:spacing w:after="60"/>
      </w:pPr>
      <w:r>
        <w:rPr>
          <w:b/>
          <w:bCs/>
        </w:rPr>
        <w:t xml:space="preserve">Check daily: </w:t>
      </w:r>
      <w:r>
        <w:t xml:space="preserve">total spend against the limit; ad orders against 27 a day; top-of-search share on the focus campaigns; rank on the head terms; Available stock on Queen White (82 units) and California King White (43 units).</w:t>
      </w:r>
    </w:p>
    <w:p>
      <w:pPr>
        <w:pStyle w:val="ListParagraph"/>
        <w:numPr>
          <w:ilvl w:val="0"/>
          <w:numId w:val="4"/>
        </w:numPr>
        <w:spacing w:after="60"/>
      </w:pPr>
      <w:r>
        <w:t xml:space="preserve">If a head term falls more than 10 places, find the cause (listing, competitor, stock or category) before touching price (Section 14).</w:t>
      </w:r>
    </w:p>
    <w:p>
      <w:pPr>
        <w:pStyle w:val="Heading2"/>
      </w:pPr>
      <w:r>
        <w:t xml:space="preserve">Week 2 — 6 to 12 October: first clean read</w:t>
      </w:r>
    </w:p>
    <w:p>
      <w:pPr>
        <w:pStyle w:val="ListParagraph"/>
        <w:numPr>
          <w:ilvl w:val="0"/>
          <w:numId w:val="4"/>
        </w:numPr>
        <w:spacing w:after="60"/>
      </w:pPr>
      <w:r>
        <w:t xml:space="preserve">Re-run break-even on seven normal days of conversion.</w:t>
      </w:r>
    </w:p>
    <w:p>
      <w:pPr>
        <w:pStyle w:val="ListParagraph"/>
        <w:numPr>
          <w:ilvl w:val="0"/>
          <w:numId w:val="4"/>
        </w:numPr>
        <w:spacing w:after="60"/>
      </w:pPr>
      <w:r>
        <w:t xml:space="preserve">Take the second 50% step on campaigns still above break-even.</w:t>
      </w:r>
    </w:p>
    <w:p>
      <w:pPr>
        <w:pStyle w:val="ListParagraph"/>
        <w:numPr>
          <w:ilvl w:val="0"/>
          <w:numId w:val="4"/>
        </w:numPr>
        <w:spacing w:after="60"/>
      </w:pPr>
      <w:r>
        <w:t xml:space="preserve">Give focus terms whose rank moved their next push step (at most +30%). Where rank didn’t move after a week of full delivery, stop the premium and find out why.</w:t>
      </w:r>
    </w:p>
    <w:p>
      <w:pPr>
        <w:pStyle w:val="ListParagraph"/>
        <w:numPr>
          <w:ilvl w:val="0"/>
          <w:numId w:val="4"/>
        </w:numPr>
        <w:spacing w:after="60"/>
      </w:pPr>
      <w:r>
        <w:t xml:space="preserve">12 October: King White checkpoint (Section 6).</w:t>
      </w:r>
    </w:p>
    <w:p>
      <w:pPr>
        <w:pStyle w:val="Heading2"/>
      </w:pPr>
      <w:r>
        <w:t xml:space="preserve">Into the events — 13 October to Black Friday</w:t>
      </w:r>
    </w:p>
    <w:p>
      <w:pPr>
        <w:pStyle w:val="ListParagraph"/>
        <w:numPr>
          <w:ilvl w:val="0"/>
          <w:numId w:val="4"/>
        </w:numPr>
        <w:spacing w:after="60"/>
      </w:pPr>
      <w:r>
        <w:rPr>
          <w:b/>
          <w:bCs/>
        </w:rPr>
        <w:t xml:space="preserve">Prime: </w:t>
      </w:r>
      <w:r>
        <w:t xml:space="preserve">at least three weeks before the event, size its push per focus term (price, clicks, budget, owner) and check stock covers it. After each event, repeat Day 1 and Week 1: back to the limit, and no judging on event data.</w:t>
      </w:r>
    </w:p>
    <w:p>
      <w:pPr>
        <w:pStyle w:val="ListParagraph"/>
        <w:numPr>
          <w:ilvl w:val="0"/>
          <w:numId w:val="4"/>
        </w:numPr>
        <w:spacing w:after="60"/>
      </w:pPr>
      <w:r>
        <w:rPr>
          <w:b/>
          <w:bCs/>
        </w:rPr>
        <w:t xml:space="preserve">Stock arrivals: </w:t>
      </w:r>
      <w:r>
        <w:t xml:space="preserve">King White (606 units) and Twin White land about 16 October; Queen and Full White about 27 October. Switch each size’s ranking ads back to White on arrival, so the Queen and King pushes run on White into Black Friday.</w:t>
      </w:r>
    </w:p>
    <w:p>
      <w:pPr>
        <w:pStyle w:val="ListParagraph"/>
        <w:numPr>
          <w:ilvl w:val="0"/>
          <w:numId w:val="4"/>
        </w:numPr>
        <w:spacing w:after="60"/>
      </w:pPr>
      <w:r>
        <w:rPr>
          <w:b/>
          <w:bCs/>
        </w:rPr>
        <w:t xml:space="preserve">Black Friday / Cyber Monday (27–30 November): </w:t>
      </w:r>
      <w:r>
        <w:t xml:space="preserve">the push on the focus terms runs from early November, with Queen White back in stock. Submit the Black Friday deal early enough that stock is in place by mid-November.</w:t>
      </w:r>
    </w:p>
    <w:p>
      <w:pPr>
        <w:pStyle w:val="Heading1"/>
      </w:pPr>
      <w:r>
        <w:t xml:space="preserve">5. Ranking prices: push the focus terms, bring the rest to break-even</w:t>
      </w:r>
    </w:p>
    <w:p>
      <w:pPr>
        <w:pStyle w:val="Heading2"/>
      </w:pPr>
      <w:r>
        <w:t xml:space="preserve">5.1 What the audit does wrong</w:t>
      </w:r>
    </w:p>
    <w:p>
      <w:pPr>
        <w:pStyle w:val="ListParagraph"/>
        <w:numPr>
          <w:ilvl w:val="0"/>
          <w:numId w:val="4"/>
        </w:numPr>
        <w:spacing w:after="60"/>
      </w:pPr>
      <w:r>
        <w:t xml:space="preserve">It raises prices on 16 ranking campaigns without applying the push limits. 14 of the raises land above break-even without being sized to the rank gap, and three are 75% jumps in one step (the audit calls them “dose” pushes). Its own notes rate those at about a 20% chance of working, and none of the three keywords has made a sale yet.</w:t>
      </w:r>
    </w:p>
    <w:p>
      <w:pPr>
        <w:pStyle w:val="ListParagraph"/>
        <w:numPr>
          <w:ilvl w:val="0"/>
          <w:numId w:val="4"/>
        </w:numPr>
        <w:spacing w:after="60"/>
      </w:pPr>
      <w:r>
        <w:t xml:space="preserve">It pushes terms that don’t qualify. The California King terms haven’t converted better than the market on a readable number of clicks, and California King White has 43 units Available with no dated arrival.</w:t>
      </w:r>
    </w:p>
    <w:p>
      <w:pPr>
        <w:pStyle w:val="ListParagraph"/>
        <w:numPr>
          <w:ilvl w:val="0"/>
          <w:numId w:val="4"/>
        </w:numPr>
        <w:spacing w:after="60"/>
      </w:pPr>
      <w:r>
        <w:t xml:space="preserve">It raises the price on “bamboo cooling sheets” by about 8%, and its own review held the raise. The review’s reason was that the last raise, on 15 September (boost 340% → 718%), had delivered its traffic without the rank the audit expected. Rank did move, from 36 to 30, so a further step is justified, but only up to the ceiling of twice break-even. That is $8.00, not the uncapped climb the audit is heading for.</w:t>
      </w:r>
    </w:p>
    <w:p>
      <w:pPr>
        <w:pStyle w:val="ListParagraph"/>
        <w:numPr>
          <w:ilvl w:val="0"/>
          <w:numId w:val="4"/>
        </w:numPr>
        <w:spacing w:after="60"/>
      </w:pPr>
      <w:r>
        <w:t xml:space="preserve">It leaves 148 of 274 ranking campaigns paying above break-even at top of search. Many are out of focus, so the money spent there buys no rank the plan needs.</w:t>
      </w:r>
    </w:p>
    <w:p>
      <w:pPr>
        <w:pStyle w:val="ListParagraph"/>
        <w:numPr>
          <w:ilvl w:val="0"/>
          <w:numId w:val="4"/>
        </w:numPr>
        <w:spacing w:after="60"/>
      </w:pPr>
      <w:r>
        <w:t xml:space="preserve">Its notes sometimes contradict the price it writes. On Bamboo Cooling Sheets King Size [Bamboo|Cooling], the notes say the price is held at the market limit and the keyword is “not pushed”, yet the audit writes a 75% raise to $12.07, about $88 per sale.</w:t>
      </w:r>
    </w:p>
    <w:p>
      <w:pPr>
        <w:pStyle w:val="Heading2"/>
      </w:pPr>
      <w:r>
        <w:t xml:space="preserve">5.2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50"/>
        <w:gridCol w:w="1400"/>
        <w:gridCol w:w="1100"/>
        <w:gridCol w:w="25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15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Push price before caps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Cooling Sheets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$4.00</w:t>
            </w:r>
          </w:p>
        </w:tc>
        <w:tc>
          <w:tcPr>
            <w:tcW w:type="dxa" w:w="1150"/>
            <w:shd w:fill="FFFFFF" w:color="auto" w:val="clear"/>
            <w:tcMar>
              <w:top w:type="dxa" w:w="40"/>
              <w:left w:type="dxa" w:w="70"/>
              <w:bottom w:type="dxa" w:w="40"/>
              <w:right w:type="dxa" w:w="70"/>
            </w:tcMar>
          </w:tcPr>
          <w:p>
            <w:pPr>
              <w:spacing w:after="0"/>
            </w:pPr>
            <w:r>
              <w:rPr>
                <w:sz w:val="17"/>
                <w:szCs w:val="17"/>
              </w:rPr>
              <w:t xml:space="preserve">30 → 5</w:t>
            </w:r>
          </w:p>
        </w:tc>
        <w:tc>
          <w:tcPr>
            <w:tcW w:type="dxa" w:w="1400"/>
            <w:shd w:fill="FFFFFF" w:color="auto" w:val="clear"/>
            <w:tcMar>
              <w:top w:type="dxa" w:w="40"/>
              <w:left w:type="dxa" w:w="70"/>
              <w:bottom w:type="dxa" w:w="40"/>
              <w:right w:type="dxa" w:w="70"/>
            </w:tcMar>
          </w:tcPr>
          <w:p>
            <w:pPr>
              <w:spacing w:after="0"/>
            </w:pPr>
            <w:r>
              <w:rPr>
                <w:sz w:val="17"/>
                <w:szCs w:val="17"/>
              </w:rPr>
              <w:t xml:space="preserve">$4.00 × 3.5 = $14.00, capped at 2× = $8.00</w:t>
            </w:r>
          </w:p>
        </w:tc>
        <w:tc>
          <w:tcPr>
            <w:tcW w:type="dxa" w:w="1100"/>
            <w:shd w:fill="FFFFFF" w:color="auto" w:val="clear"/>
            <w:tcMar>
              <w:top w:type="dxa" w:w="40"/>
              <w:left w:type="dxa" w:w="70"/>
              <w:bottom w:type="dxa" w:w="40"/>
              <w:right w:type="dxa" w:w="70"/>
            </w:tcMar>
          </w:tcPr>
          <w:p>
            <w:pPr>
              <w:spacing w:after="0"/>
            </w:pPr>
            <w:r>
              <w:rPr>
                <w:sz w:val="17"/>
                <w:szCs w:val="17"/>
              </w:rPr>
              <w:t xml:space="preserve">$7.61 · $8.26 held</w:t>
            </w:r>
          </w:p>
        </w:tc>
        <w:tc>
          <w:tcPr>
            <w:tcW w:type="dxa" w:w="2572"/>
            <w:shd w:fill="FFFFFF" w:color="auto" w:val="clear"/>
            <w:tcMar>
              <w:top w:type="dxa" w:w="40"/>
              <w:left w:type="dxa" w:w="70"/>
              <w:bottom w:type="dxa" w:w="40"/>
              <w:right w:type="dxa" w:w="70"/>
            </w:tcMar>
          </w:tcPr>
          <w:p>
            <w:pPr>
              <w:spacing w:after="0"/>
            </w:pPr>
            <w:r>
              <w:rPr>
                <w:sz w:val="17"/>
                <w:szCs w:val="17"/>
              </w:rPr>
              <w:t xml:space="preserve">$8.00 (+5%). No further climb until rank moves again. Move the ad to Queen Light Blue.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King (King White push)</w:t>
            </w:r>
          </w:p>
        </w:tc>
        <w:tc>
          <w:tcPr>
            <w:tcW w:type="dxa" w:w="1250"/>
            <w:shd w:fill="F2F5F9" w:color="auto" w:val="clear"/>
            <w:tcMar>
              <w:top w:type="dxa" w:w="40"/>
              <w:left w:type="dxa" w:w="70"/>
              <w:bottom w:type="dxa" w:w="40"/>
              <w:right w:type="dxa" w:w="70"/>
            </w:tcMar>
          </w:tcPr>
          <w:p>
            <w:pPr>
              <w:spacing w:after="0"/>
            </w:pPr>
            <w:r>
              <w:rPr>
                <w:sz w:val="17"/>
                <w:szCs w:val="17"/>
              </w:rPr>
              <w:t xml:space="preserve">$3.53</w:t>
            </w:r>
          </w:p>
        </w:tc>
        <w:tc>
          <w:tcPr>
            <w:tcW w:type="dxa" w:w="1150"/>
            <w:shd w:fill="F2F5F9" w:color="auto" w:val="clear"/>
            <w:tcMar>
              <w:top w:type="dxa" w:w="40"/>
              <w:left w:type="dxa" w:w="70"/>
              <w:bottom w:type="dxa" w:w="40"/>
              <w:right w:type="dxa" w:w="70"/>
            </w:tcMar>
          </w:tcPr>
          <w:p>
            <w:pPr>
              <w:spacing w:after="0"/>
            </w:pPr>
            <w:r>
              <w:rPr>
                <w:sz w:val="17"/>
                <w:szCs w:val="17"/>
              </w:rPr>
              <w:t xml:space="preserve">20 → 8</w:t>
            </w:r>
          </w:p>
        </w:tc>
        <w:tc>
          <w:tcPr>
            <w:tcW w:type="dxa" w:w="1400"/>
            <w:shd w:fill="F2F5F9" w:color="auto" w:val="clear"/>
            <w:tcMar>
              <w:top w:type="dxa" w:w="40"/>
              <w:left w:type="dxa" w:w="70"/>
              <w:bottom w:type="dxa" w:w="40"/>
              <w:right w:type="dxa" w:w="70"/>
            </w:tcMar>
          </w:tcPr>
          <w:p>
            <w:pPr>
              <w:spacing w:after="0"/>
            </w:pPr>
            <w:r>
              <w:rPr>
                <w:sz w:val="17"/>
                <w:szCs w:val="17"/>
              </w:rPr>
              <w:t xml:space="preserve">$3.53 × 1.75 = $6.18</w:t>
            </w:r>
          </w:p>
        </w:tc>
        <w:tc>
          <w:tcPr>
            <w:tcW w:type="dxa" w:w="1100"/>
            <w:shd w:fill="F2F5F9" w:color="auto" w:val="clear"/>
            <w:tcMar>
              <w:top w:type="dxa" w:w="40"/>
              <w:left w:type="dxa" w:w="70"/>
              <w:bottom w:type="dxa" w:w="40"/>
              <w:right w:type="dxa" w:w="70"/>
            </w:tcMar>
          </w:tcPr>
          <w:p>
            <w:pPr>
              <w:spacing w:after="0"/>
            </w:pPr>
            <w:r>
              <w:rPr>
                <w:sz w:val="17"/>
                <w:szCs w:val="17"/>
              </w:rPr>
              <w:t xml:space="preserve">$6.41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$6.18 (Section 6)</w:t>
            </w:r>
          </w:p>
        </w:tc>
      </w:tr>
      <w:tr>
        <w:tc>
          <w:tcPr>
            <w:tcW w:type="dxa" w:w="2500"/>
            <w:shd w:fill="FFFFFF" w:color="auto" w:val="clear"/>
            <w:tcMar>
              <w:top w:type="dxa" w:w="40"/>
              <w:left w:type="dxa" w:w="70"/>
              <w:bottom w:type="dxa" w:w="40"/>
              <w:right w:type="dxa" w:w="70"/>
            </w:tcMar>
          </w:tcPr>
          <w:p>
            <w:pPr>
              <w:spacing w:after="0"/>
            </w:pPr>
            <w:r>
              <w:rPr>
                <w:sz w:val="17"/>
                <w:szCs w:val="17"/>
              </w:rPr>
              <w:t xml:space="preserve">King Sheets Cooling (focus; too few clicks)</w:t>
            </w:r>
          </w:p>
        </w:tc>
        <w:tc>
          <w:tcPr>
            <w:tcW w:type="dxa" w:w="1250"/>
            <w:shd w:fill="FFFFFF" w:color="auto" w:val="clear"/>
            <w:tcMar>
              <w:top w:type="dxa" w:w="40"/>
              <w:left w:type="dxa" w:w="70"/>
              <w:bottom w:type="dxa" w:w="40"/>
              <w:right w:type="dxa" w:w="70"/>
            </w:tcMar>
          </w:tcPr>
          <w:p>
            <w:pPr>
              <w:spacing w:after="0"/>
            </w:pPr>
            <w:r>
              <w:rPr>
                <w:sz w:val="17"/>
                <w:szCs w:val="17"/>
              </w:rPr>
              <w:t xml:space="preserve">$3.68</w:t>
            </w:r>
          </w:p>
        </w:tc>
        <w:tc>
          <w:tcPr>
            <w:tcW w:type="dxa" w:w="1150"/>
            <w:shd w:fill="FFFFFF" w:color="auto" w:val="clear"/>
            <w:tcMar>
              <w:top w:type="dxa" w:w="40"/>
              <w:left w:type="dxa" w:w="70"/>
              <w:bottom w:type="dxa" w:w="40"/>
              <w:right w:type="dxa" w:w="70"/>
            </w:tcMar>
          </w:tcPr>
          <w:p>
            <w:pPr>
              <w:spacing w:after="0"/>
            </w:pPr>
            <w:r>
              <w:rPr>
                <w:sz w:val="17"/>
                <w:szCs w:val="17"/>
              </w:rPr>
              <w:t xml:space="preserve">not tracked → 6</w:t>
            </w:r>
          </w:p>
        </w:tc>
        <w:tc>
          <w:tcPr>
            <w:tcW w:type="dxa" w:w="1400"/>
            <w:shd w:fill="FFFFFF" w:color="auto" w:val="clear"/>
            <w:tcMar>
              <w:top w:type="dxa" w:w="40"/>
              <w:left w:type="dxa" w:w="70"/>
              <w:bottom w:type="dxa" w:w="40"/>
              <w:right w:type="dxa" w:w="70"/>
            </w:tcMar>
          </w:tcPr>
          <w:p>
            <w:pPr>
              <w:spacing w:after="0"/>
            </w:pPr>
            <w:r>
              <w:rPr>
                <w:sz w:val="17"/>
                <w:szCs w:val="17"/>
              </w:rPr>
              <w:t xml:space="preserve">no push: its live term has 7 clicks</w:t>
            </w:r>
          </w:p>
        </w:tc>
        <w:tc>
          <w:tcPr>
            <w:tcW w:type="dxa" w:w="1100"/>
            <w:shd w:fill="FFFFFF" w:color="auto" w:val="clear"/>
            <w:tcMar>
              <w:top w:type="dxa" w:w="40"/>
              <w:left w:type="dxa" w:w="70"/>
              <w:bottom w:type="dxa" w:w="40"/>
              <w:right w:type="dxa" w:w="70"/>
            </w:tcMar>
          </w:tcPr>
          <w:p>
            <w:pPr>
              <w:spacing w:after="0"/>
            </w:pPr>
            <w:r>
              <w:rPr>
                <w:sz w:val="17"/>
                <w:szCs w:val="17"/>
              </w:rPr>
              <w:t xml:space="preserve">$9.76 · no change</w:t>
            </w:r>
          </w:p>
        </w:tc>
        <w:tc>
          <w:tcPr>
            <w:tcW w:type="dxa" w:w="2572"/>
            <w:shd w:fill="FFFFFF" w:color="auto" w:val="clear"/>
            <w:tcMar>
              <w:top w:type="dxa" w:w="40"/>
              <w:left w:type="dxa" w:w="70"/>
              <w:bottom w:type="dxa" w:w="40"/>
              <w:right w:type="dxa" w:w="70"/>
            </w:tcMar>
          </w:tcPr>
          <w:p>
            <w:pPr>
              <w:spacing w:after="0"/>
            </w:pPr>
            <w:r>
              <w:rPr>
                <w:sz w:val="17"/>
                <w:szCs w:val="17"/>
              </w:rPr>
              <w:t xml:space="preserve">$4.88 now, $3.68 a week later. Add the term to the rank tracker.</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King Size [Bamboo|Cooling] (focus; 7 clicks, 0 orders)</w:t>
            </w:r>
          </w:p>
        </w:tc>
        <w:tc>
          <w:tcPr>
            <w:tcW w:type="dxa" w:w="1250"/>
            <w:shd w:fill="F2F5F9" w:color="auto" w:val="clear"/>
            <w:tcMar>
              <w:top w:type="dxa" w:w="40"/>
              <w:left w:type="dxa" w:w="70"/>
              <w:bottom w:type="dxa" w:w="40"/>
              <w:right w:type="dxa" w:w="70"/>
            </w:tcMar>
          </w:tcPr>
          <w:p>
            <w:pPr>
              <w:spacing w:after="0"/>
            </w:pPr>
            <w:r>
              <w:rPr>
                <w:sz w:val="17"/>
                <w:szCs w:val="17"/>
              </w:rPr>
              <w:t xml:space="preserve">about $2.60</w:t>
            </w:r>
          </w:p>
        </w:tc>
        <w:tc>
          <w:tcPr>
            <w:tcW w:type="dxa" w:w="1150"/>
            <w:shd w:fill="F2F5F9" w:color="auto" w:val="clear"/>
            <w:tcMar>
              <w:top w:type="dxa" w:w="40"/>
              <w:left w:type="dxa" w:w="70"/>
              <w:bottom w:type="dxa" w:w="40"/>
              <w:right w:type="dxa" w:w="70"/>
            </w:tcMar>
          </w:tcPr>
          <w:p>
            <w:pPr>
              <w:spacing w:after="0"/>
            </w:pPr>
            <w:r>
              <w:rPr>
                <w:sz w:val="17"/>
                <w:szCs w:val="17"/>
              </w:rPr>
              <w:t xml:space="preserve">31 → 7</w:t>
            </w:r>
          </w:p>
        </w:tc>
        <w:tc>
          <w:tcPr>
            <w:tcW w:type="dxa" w:w="1400"/>
            <w:shd w:fill="F2F5F9" w:color="auto" w:val="clear"/>
            <w:tcMar>
              <w:top w:type="dxa" w:w="40"/>
              <w:left w:type="dxa" w:w="70"/>
              <w:bottom w:type="dxa" w:w="40"/>
              <w:right w:type="dxa" w:w="70"/>
            </w:tcMar>
          </w:tcPr>
          <w:p>
            <w:pPr>
              <w:spacing w:after="0"/>
            </w:pPr>
            <w:r>
              <w:rPr>
                <w:sz w:val="17"/>
                <w:szCs w:val="17"/>
              </w:rPr>
              <w:t xml:space="preserve">no push: too few clicks</w:t>
            </w:r>
          </w:p>
        </w:tc>
        <w:tc>
          <w:tcPr>
            <w:tcW w:type="dxa" w:w="1100"/>
            <w:shd w:fill="F2F5F9" w:color="auto" w:val="clear"/>
            <w:tcMar>
              <w:top w:type="dxa" w:w="40"/>
              <w:left w:type="dxa" w:w="70"/>
              <w:bottom w:type="dxa" w:w="40"/>
              <w:right w:type="dxa" w:w="70"/>
            </w:tcMar>
          </w:tcPr>
          <w:p>
            <w:pPr>
              <w:spacing w:after="0"/>
            </w:pPr>
            <w:r>
              <w:rPr>
                <w:sz w:val="17"/>
                <w:szCs w:val="17"/>
              </w:rPr>
              <w:t xml:space="preserve">$6.90 · $12.07 (+75%)</w:t>
            </w:r>
          </w:p>
        </w:tc>
        <w:tc>
          <w:tcPr>
            <w:tcW w:type="dxa" w:w="2572"/>
            <w:shd w:fill="F2F5F9" w:color="auto" w:val="clear"/>
            <w:tcMar>
              <w:top w:type="dxa" w:w="40"/>
              <w:left w:type="dxa" w:w="70"/>
              <w:bottom w:type="dxa" w:w="40"/>
              <w:right w:type="dxa" w:w="70"/>
            </w:tcMar>
          </w:tcPr>
          <w:p>
            <w:pPr>
              <w:spacing w:after="0"/>
            </w:pPr>
            <w:r>
              <w:rPr>
                <w:sz w:val="17"/>
                <w:szCs w:val="17"/>
              </w:rPr>
              <w:t xml:space="preserve">$3.45 now, $2.60 a week later. See Section 8 for which campaign owns the term.</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California King (focus; fails on conversion and stock)</w:t>
            </w:r>
          </w:p>
        </w:tc>
        <w:tc>
          <w:tcPr>
            <w:tcW w:type="dxa" w:w="1250"/>
            <w:shd w:fill="FFFFFF" w:color="auto" w:val="clear"/>
            <w:tcMar>
              <w:top w:type="dxa" w:w="40"/>
              <w:left w:type="dxa" w:w="70"/>
              <w:bottom w:type="dxa" w:w="40"/>
              <w:right w:type="dxa" w:w="70"/>
            </w:tcMar>
          </w:tcPr>
          <w:p>
            <w:pPr>
              <w:spacing w:after="0"/>
            </w:pPr>
            <w:r>
              <w:rPr>
                <w:sz w:val="17"/>
                <w:szCs w:val="17"/>
              </w:rPr>
              <w:t xml:space="preserve">break-even</w:t>
            </w:r>
          </w:p>
        </w:tc>
        <w:tc>
          <w:tcPr>
            <w:tcW w:type="dxa" w:w="1150"/>
            <w:shd w:fill="FFFFFF" w:color="auto" w:val="clear"/>
            <w:tcMar>
              <w:top w:type="dxa" w:w="40"/>
              <w:left w:type="dxa" w:w="70"/>
              <w:bottom w:type="dxa" w:w="40"/>
              <w:right w:type="dxa" w:w="70"/>
            </w:tcMar>
          </w:tcPr>
          <w:p>
            <w:pPr>
              <w:spacing w:after="0"/>
            </w:pPr>
            <w:r>
              <w:rPr>
                <w:sz w:val="17"/>
                <w:szCs w:val="17"/>
              </w:rPr>
              <w:t xml:space="preserve">16 → 6</w:t>
            </w:r>
          </w:p>
        </w:tc>
        <w:tc>
          <w:tcPr>
            <w:tcW w:type="dxa" w:w="1400"/>
            <w:shd w:fill="FFFFFF" w:color="auto" w:val="clear"/>
            <w:tcMar>
              <w:top w:type="dxa" w:w="40"/>
              <w:left w:type="dxa" w:w="70"/>
              <w:bottom w:type="dxa" w:w="40"/>
              <w:right w:type="dxa" w:w="70"/>
            </w:tcMar>
          </w:tcPr>
          <w:p>
            <w:pPr>
              <w:spacing w:after="0"/>
            </w:pPr>
            <w:r>
              <w:rPr>
                <w:sz w:val="17"/>
                <w:szCs w:val="17"/>
              </w:rPr>
              <w:t xml:space="preserve">no push</w:t>
            </w:r>
          </w:p>
        </w:tc>
        <w:tc>
          <w:tcPr>
            <w:tcW w:type="dxa" w:w="1100"/>
            <w:shd w:fill="FFFFFF" w:color="auto" w:val="clear"/>
            <w:tcMar>
              <w:top w:type="dxa" w:w="40"/>
              <w:left w:type="dxa" w:w="70"/>
              <w:bottom w:type="dxa" w:w="40"/>
              <w:right w:type="dxa" w:w="70"/>
            </w:tcMar>
          </w:tcPr>
          <w:p>
            <w:pPr>
              <w:spacing w:after="0"/>
            </w:pPr>
            <w:r>
              <w:rPr>
                <w:sz w:val="17"/>
                <w:szCs w:val="17"/>
              </w:rPr>
              <w:t xml:space="preserve">boost 238% · 491%</w:t>
            </w:r>
          </w:p>
        </w:tc>
        <w:tc>
          <w:tcPr>
            <w:tcW w:type="dxa" w:w="2572"/>
            <w:shd w:fill="FFFFFF" w:color="auto" w:val="clear"/>
            <w:tcMar>
              <w:top w:type="dxa" w:w="40"/>
              <w:left w:type="dxa" w:w="70"/>
              <w:bottom w:type="dxa" w:w="40"/>
              <w:right w:type="dxa" w:w="70"/>
            </w:tcMar>
          </w:tcPr>
          <w:p>
            <w:pPr>
              <w:spacing w:after="0"/>
            </w:pPr>
            <w:r>
              <w:rPr>
                <w:sz w:val="17"/>
                <w:szCs w:val="17"/>
              </w:rPr>
              <w:t xml:space="preserve">Break-even. Keep White. Guard rank only.</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Full Size (out of focus)</w:t>
            </w:r>
          </w:p>
        </w:tc>
        <w:tc>
          <w:tcPr>
            <w:tcW w:type="dxa" w:w="1250"/>
            <w:shd w:fill="F2F5F9" w:color="auto" w:val="clear"/>
            <w:tcMar>
              <w:top w:type="dxa" w:w="40"/>
              <w:left w:type="dxa" w:w="70"/>
              <w:bottom w:type="dxa" w:w="40"/>
              <w:right w:type="dxa" w:w="70"/>
            </w:tcMar>
          </w:tcPr>
          <w:p>
            <w:pPr>
              <w:spacing w:after="0"/>
            </w:pPr>
            <w:r>
              <w:rPr>
                <w:sz w:val="17"/>
                <w:szCs w:val="17"/>
              </w:rPr>
              <w:t xml:space="preserve">$1.79</w:t>
            </w:r>
          </w:p>
        </w:tc>
        <w:tc>
          <w:tcPr>
            <w:tcW w:type="dxa" w:w="1150"/>
            <w:shd w:fill="F2F5F9" w:color="auto" w:val="clear"/>
            <w:tcMar>
              <w:top w:type="dxa" w:w="40"/>
              <w:left w:type="dxa" w:w="70"/>
              <w:bottom w:type="dxa" w:w="40"/>
              <w:right w:type="dxa" w:w="70"/>
            </w:tcMar>
          </w:tcPr>
          <w:p>
            <w:pPr>
              <w:spacing w:after="0"/>
            </w:pPr>
            <w:r>
              <w:rPr>
                <w:sz w:val="17"/>
                <w:szCs w:val="17"/>
              </w:rPr>
              <w:t xml:space="preserve">—</w:t>
            </w:r>
          </w:p>
        </w:tc>
        <w:tc>
          <w:tcPr>
            <w:tcW w:type="dxa" w:w="1400"/>
            <w:shd w:fill="F2F5F9" w:color="auto" w:val="clear"/>
            <w:tcMar>
              <w:top w:type="dxa" w:w="40"/>
              <w:left w:type="dxa" w:w="70"/>
              <w:bottom w:type="dxa" w:w="40"/>
              <w:right w:type="dxa" w:w="70"/>
            </w:tcMar>
          </w:tcPr>
          <w:p>
            <w:pPr>
              <w:spacing w:after="0"/>
            </w:pPr>
            <w:r>
              <w:rPr>
                <w:sz w:val="17"/>
                <w:szCs w:val="17"/>
              </w:rPr>
              <w:t xml:space="preserve">no push</w:t>
            </w:r>
          </w:p>
        </w:tc>
        <w:tc>
          <w:tcPr>
            <w:tcW w:type="dxa" w:w="1100"/>
            <w:shd w:fill="F2F5F9" w:color="auto" w:val="clear"/>
            <w:tcMar>
              <w:top w:type="dxa" w:w="40"/>
              <w:left w:type="dxa" w:w="70"/>
              <w:bottom w:type="dxa" w:w="40"/>
              <w:right w:type="dxa" w:w="70"/>
            </w:tcMar>
          </w:tcPr>
          <w:p>
            <w:pPr>
              <w:spacing w:after="0"/>
            </w:pPr>
            <w:r>
              <w:rPr>
                <w:sz w:val="17"/>
                <w:szCs w:val="17"/>
              </w:rPr>
              <w:t xml:space="preserve">$4.96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$2.48 now, $1.79 a week later</w:t>
            </w:r>
          </w:p>
        </w:tc>
      </w:tr>
    </w:tbl>
    <w:p>
      <w:pPr>
        <w:spacing w:after="120"/>
      </w:pPr>
      <w:r>
        <w:rPr>
          <w:i/>
          <w:iCs/>
          <w:color w:val="555555"/>
          <w:sz w:val="17"/>
          <w:szCs w:val="17"/>
        </w:rPr>
        <w:t xml:space="preserve">Premium = (rank now ÷ target − 1) × 50%, or +25% when the ratio is 1.5 or less; the push price never exceeds twice break-even. Ranks: our daily organic rank crawl, 28 September. The four conditions: clicks above market, conversion above market, stock, serving. “Now · audit” = today’s top-of-search price and what the audit writes.</w:t>
      </w:r>
    </w:p>
    <w:p>
      <w:pPr>
        <w:pStyle w:val="Heading2"/>
      </w:pPr>
      <w:r>
        <w:t xml:space="preserve">5.3 Every focus campaign gets a move this week</w:t>
      </w:r>
    </w:p>
    <w:p>
      <w:pPr>
        <w:spacing w:after="100"/>
      </w:pPr>
      <w:r>
        <w:t xml:space="preserve">No focus campaign is held for review. Each gets one of these moves:</w:t>
      </w:r>
    </w:p>
    <w:p>
      <w:pPr>
        <w:pStyle w:val="ListParagraph"/>
        <w:numPr>
          <w:ilvl w:val="0"/>
          <w:numId w:val="4"/>
        </w:numPr>
        <w:spacing w:after="60"/>
      </w:pPr>
      <w:r>
        <w:rPr>
          <w:b/>
          <w:bCs/>
        </w:rPr>
        <w:t xml:space="preserve">Push </w:t>
      </w:r>
      <w:r>
        <w:t xml:space="preserve">where all four conditions hold: the push price, a budget for its required clicks, and one owner for the term.</w:t>
      </w:r>
    </w:p>
    <w:p>
      <w:pPr>
        <w:pStyle w:val="ListParagraph"/>
        <w:numPr>
          <w:ilvl w:val="0"/>
          <w:numId w:val="4"/>
        </w:numPr>
        <w:spacing w:after="60"/>
      </w:pPr>
      <w:r>
        <w:rPr>
          <w:b/>
          <w:bCs/>
        </w:rPr>
        <w:t xml:space="preserve">Fix the failing condition </w:t>
      </w:r>
      <w:r>
        <w:t xml:space="preserve">where one fails, at break-even in the meantime: the mix (Section 9), the colour (Section 7), serving (Section 8), or a duplicate exact campaign (Section 11).</w:t>
      </w:r>
    </w:p>
    <w:p>
      <w:pPr>
        <w:pStyle w:val="ListParagraph"/>
        <w:numPr>
          <w:ilvl w:val="0"/>
          <w:numId w:val="4"/>
        </w:numPr>
        <w:spacing w:after="60"/>
      </w:pPr>
      <w:r>
        <w:rPr>
          <w:b/>
          <w:bCs/>
        </w:rPr>
        <w:t xml:space="preserve">Guard the rank </w:t>
      </w:r>
      <w:r>
        <w:t xml:space="preserve">where stock can’t support a push, such as California King White: hold it at break-even and check that down-only bidding isn’t holding it back.</w:t>
      </w:r>
    </w:p>
    <w:p>
      <w:pPr>
        <w:pStyle w:val="Heading2"/>
      </w:pPr>
      <w:r>
        <w:t xml:space="preserve">5.4 The main “Bamboo Sheets” campaign</w:t>
      </w:r>
    </w:p>
    <w:p>
      <w:pPr>
        <w:spacing w:after="100"/>
      </w:pPr>
      <w:r>
        <w:t xml:space="preserve">It spends about $319 a day, 29% of all ad spend, and pays $7.42 at top of search against a $2.26 break-even (King White margin × its own 12.7% conversion on 2,448 clicks). The audit leaves it untouched and writes “a human decides” without asking anyone. Even as a push, the price is too high: from rank 36 to a target of 10, the formula gives $5.20, and the twice-break-even ceiling holds it to $4.52.</w:t>
      </w:r>
    </w:p>
    <w:p>
      <w:pPr>
        <w:spacing w:after="100"/>
      </w:pPr>
      <w:r>
        <w:rPr>
          <w:b/>
          <w:bCs/>
          <w:color w:val="1F3A5F"/>
        </w:rPr>
        <w:t xml:space="preserve">Correction. </w:t>
      </w:r>
      <w:r>
        <w:t xml:space="preserve">Step it to $4.52 now (−39%) and keep excluding “bamboo sheets” from the broad and clearance campaigns that take its clicks.</w:t>
      </w:r>
    </w:p>
    <w:p>
      <w:pPr>
        <w:spacing w:after="100"/>
      </w:pPr>
      <w:r>
        <w:rPr>
          <w:b/>
          <w:bCs/>
          <w:color w:val="1F3A5F"/>
        </w:rPr>
        <w:t xml:space="preserve">This is the riskiest change in the document. </w:t>
      </w:r>
      <w:r>
        <w:t xml:space="preserve">“bamboo sheets” is the term where losing rank costs the most, and its rank swung between 28 and 41 in the deal’s last week. Check its rank every day. If it is worse than 40 on two days running, return the price to $5.90 (half-way back) and find the cause before stepping down again.</w:t>
      </w:r>
    </w:p>
    <w:p>
      <w:pPr>
        <w:spacing w:after="100"/>
      </w:pPr>
      <w:r>
        <w:rPr>
          <w:b/>
          <w:bCs/>
          <w:color w:val="1F3A5F"/>
        </w:rPr>
        <w:t xml:space="preserve">Your decision. </w:t>
      </w:r>
      <w:r>
        <w:t xml:space="preserve">Whether “bamboo sheets” is a push term into the events. That needs a budget of about 23 top-of-search clicks a day. If it isn’t a push term, its price steps down to the $2.26 break-even the following week.</w:t>
      </w:r>
    </w:p>
    <w:p>
      <w:pPr>
        <w:pStyle w:val="Heading2"/>
      </w:pPr>
      <w:r>
        <w:t xml:space="preserve">5.5 How the push is paid for</w:t>
      </w:r>
    </w:p>
    <w:p>
      <w:pPr>
        <w:spacing w:after="100"/>
      </w:pPr>
      <w:r>
        <w:t xml:space="preserve">The push costs less than the deal did because the money moves rather than grows. The money comes from:</w:t>
      </w:r>
    </w:p>
    <w:p>
      <w:pPr>
        <w:pStyle w:val="ListParagraph"/>
        <w:numPr>
          <w:ilvl w:val="0"/>
          <w:numId w:val="4"/>
        </w:numPr>
        <w:spacing w:after="60"/>
      </w:pPr>
      <w:r>
        <w:t xml:space="preserve">Out-of-focus ranking campaigns coming down to break-even.</w:t>
      </w:r>
    </w:p>
    <w:p>
      <w:pPr>
        <w:pStyle w:val="ListParagraph"/>
        <w:numPr>
          <w:ilvl w:val="0"/>
          <w:numId w:val="4"/>
        </w:numPr>
        <w:spacing w:after="60"/>
      </w:pPr>
      <w:r>
        <w:t xml:space="preserve">Product-page leaks on ranking campaigns (60 campaigns, Section 9).</w:t>
      </w:r>
    </w:p>
    <w:p>
      <w:pPr>
        <w:pStyle w:val="ListParagraph"/>
        <w:numPr>
          <w:ilvl w:val="0"/>
          <w:numId w:val="4"/>
        </w:numPr>
        <w:spacing w:after="60"/>
      </w:pPr>
      <w:r>
        <w:t xml:space="preserve">The clearance broad campaign buying “bamboo sheets” ($409 in 30 days).</w:t>
      </w:r>
    </w:p>
    <w:p>
      <w:pPr>
        <w:pStyle w:val="ListParagraph"/>
        <w:numPr>
          <w:ilvl w:val="0"/>
          <w:numId w:val="4"/>
        </w:numPr>
        <w:spacing w:after="60"/>
      </w:pPr>
      <w:r>
        <w:t xml:space="preserve">Conversions campaigns over break-even (Section 12).</w:t>
      </w:r>
    </w:p>
    <w:p>
      <w:pPr>
        <w:spacing w:after="100"/>
      </w:pPr>
      <w:r>
        <w:t xml:space="preserve">Each Monday, spend is checked against the limit (Section 3).</w:t>
      </w:r>
    </w:p>
    <w:p>
      <w:pPr>
        <w:pStyle w:val="Heading1"/>
      </w:pPr>
      <w:r>
        <w:t xml:space="preserve">6. The King White push: two terms, starting now</w:t>
      </w:r>
    </w:p>
    <w:p>
      <w:pPr>
        <w:spacing w:after="100"/>
      </w:pPr>
      <w:r>
        <w:t xml:space="preserve">King White is B4’s best-selling King colour: 220 units in 30 days, with 298 Available (29 days) and 606 more landing about 16 October. It beats the market on clicks and conversion on its main King terms. The audit leaves King out of the focus and tapers it. Correction: King White joins the push, but only on the two terms that need it and can carry it, not across all 108 King campaigns.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tblHeader/>
        </w:trPr>
        <w:tc>
          <w:tcPr>
            <w:tcW w:type="dxa" w:w="2400"/>
            <w:shd w:fill="1F3A5F" w:color="auto" w:val="clear"/>
            <w:tcMar>
              <w:top w:type="dxa" w:w="40"/>
              <w:left w:type="dxa" w:w="70"/>
              <w:bottom w:type="dxa" w:w="40"/>
              <w:right w:type="dxa" w:w="70"/>
            </w:tcMar>
          </w:tcPr>
          <w:p>
            <w:pPr>
              <w:spacing w:after="0"/>
            </w:pPr>
            <w:r>
              <w:rPr>
                <w:b/>
                <w:bCs/>
                <w:color w:val="FFFFFF"/>
                <w:sz w:val="17"/>
                <w:szCs w:val="17"/>
              </w:rPr>
              <w:t xml:space="preserve"/>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(MSV)</w:t>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Size (HSV)</w:t>
            </w:r>
          </w:p>
        </w:tc>
      </w:tr>
      <w:tr>
        <w:tc>
          <w:tcPr>
            <w:tcW w:type="dxa" w:w="2400"/>
            <w:shd w:fill="FFFFFF" w:color="auto" w:val="clear"/>
            <w:tcMar>
              <w:top w:type="dxa" w:w="40"/>
              <w:left w:type="dxa" w:w="70"/>
              <w:bottom w:type="dxa" w:w="40"/>
              <w:right w:type="dxa" w:w="70"/>
            </w:tcMar>
          </w:tcPr>
          <w:p>
            <w:pPr>
              <w:spacing w:after="0"/>
            </w:pPr>
            <w:r>
              <w:rPr>
                <w:sz w:val="17"/>
                <w:szCs w:val="17"/>
              </w:rPr>
              <w:t xml:space="preserve">Rank now · target</w:t>
            </w:r>
          </w:p>
        </w:tc>
        <w:tc>
          <w:tcPr>
            <w:tcW w:type="dxa" w:w="3786"/>
            <w:shd w:fill="FFFFFF" w:color="auto" w:val="clear"/>
            <w:tcMar>
              <w:top w:type="dxa" w:w="40"/>
              <w:left w:type="dxa" w:w="70"/>
              <w:bottom w:type="dxa" w:w="40"/>
              <w:right w:type="dxa" w:w="70"/>
            </w:tcMar>
          </w:tcPr>
          <w:p>
            <w:pPr>
              <w:spacing w:after="0"/>
            </w:pPr>
            <w:r>
              <w:rPr>
                <w:sz w:val="17"/>
                <w:szCs w:val="17"/>
              </w:rPr>
              <w:t xml:space="preserve">20 · 8</w:t>
            </w:r>
          </w:p>
        </w:tc>
        <w:tc>
          <w:tcPr>
            <w:tcW w:type="dxa" w:w="3786"/>
            <w:shd w:fill="FFFFFF" w:color="auto" w:val="clear"/>
            <w:tcMar>
              <w:top w:type="dxa" w:w="40"/>
              <w:left w:type="dxa" w:w="70"/>
              <w:bottom w:type="dxa" w:w="40"/>
              <w:right w:type="dxa" w:w="70"/>
            </w:tcMar>
          </w:tcPr>
          <w:p>
            <w:pPr>
              <w:spacing w:after="0"/>
            </w:pPr>
            <w:r>
              <w:rPr>
                <w:sz w:val="17"/>
                <w:szCs w:val="17"/>
              </w:rPr>
              <w:t xml:space="preserve">35 · 10 (it was 19–20 on 20–21 September)</w:t>
            </w:r>
          </w:p>
        </w:tc>
      </w:tr>
      <w:tr>
        <w:tc>
          <w:tcPr>
            <w:tcW w:type="dxa" w:w="2400"/>
            <w:shd w:fill="F2F5F9" w:color="auto" w:val="clear"/>
            <w:tcMar>
              <w:top w:type="dxa" w:w="40"/>
              <w:left w:type="dxa" w:w="70"/>
              <w:bottom w:type="dxa" w:w="40"/>
              <w:right w:type="dxa" w:w="70"/>
            </w:tcMar>
          </w:tcPr>
          <w:p>
            <w:pPr>
              <w:spacing w:after="0"/>
            </w:pPr>
            <w:r>
              <w:rPr>
                <w:sz w:val="17"/>
                <w:szCs w:val="17"/>
              </w:rPr>
              <w:t xml:space="preserve">Top-of-search click-through / conversion vs market</w:t>
            </w:r>
          </w:p>
        </w:tc>
        <w:tc>
          <w:tcPr>
            <w:tcW w:type="dxa" w:w="3786"/>
            <w:shd w:fill="F2F5F9" w:color="auto" w:val="clear"/>
            <w:tcMar>
              <w:top w:type="dxa" w:w="40"/>
              <w:left w:type="dxa" w:w="70"/>
              <w:bottom w:type="dxa" w:w="40"/>
              <w:right w:type="dxa" w:w="70"/>
            </w:tcMar>
          </w:tcPr>
          <w:p>
            <w:pPr>
              <w:spacing w:after="0"/>
            </w:pPr>
            <w:r>
              <w:rPr>
                <w:sz w:val="17"/>
                <w:szCs w:val="17"/>
              </w:rPr>
              <w:t xml:space="preserve">3.72% vs 1.77% · 19.7% vs 3.64%</w:t>
            </w:r>
          </w:p>
        </w:tc>
        <w:tc>
          <w:tcPr>
            <w:tcW w:type="dxa" w:w="3786"/>
            <w:shd w:fill="F2F5F9" w:color="auto" w:val="clear"/>
            <w:tcMar>
              <w:top w:type="dxa" w:w="40"/>
              <w:left w:type="dxa" w:w="70"/>
              <w:bottom w:type="dxa" w:w="40"/>
              <w:right w:type="dxa" w:w="70"/>
            </w:tcMar>
          </w:tcPr>
          <w:p>
            <w:pPr>
              <w:spacing w:after="0"/>
            </w:pPr>
            <w:r>
              <w:rPr>
                <w:sz w:val="17"/>
                <w:szCs w:val="17"/>
              </w:rPr>
              <w:t xml:space="preserve">4.17% vs 1.77% · 15.4% vs 3.64%</w:t>
            </w:r>
          </w:p>
        </w:tc>
      </w:tr>
      <w:tr>
        <w:tc>
          <w:tcPr>
            <w:tcW w:type="dxa" w:w="2400"/>
            <w:shd w:fill="FFFFFF" w:color="auto" w:val="clear"/>
            <w:tcMar>
              <w:top w:type="dxa" w:w="40"/>
              <w:left w:type="dxa" w:w="70"/>
              <w:bottom w:type="dxa" w:w="40"/>
              <w:right w:type="dxa" w:w="70"/>
            </w:tcMar>
          </w:tcPr>
          <w:p>
            <w:pPr>
              <w:spacing w:after="0"/>
            </w:pPr>
            <w:r>
              <w:rPr>
                <w:sz w:val="17"/>
                <w:szCs w:val="17"/>
              </w:rPr>
              <w:t xml:space="preserve">Clicks at top of search / on product pages (30 days)</w:t>
            </w:r>
          </w:p>
        </w:tc>
        <w:tc>
          <w:tcPr>
            <w:tcW w:type="dxa" w:w="3786"/>
            <w:shd w:fill="FFFFFF" w:color="auto" w:val="clear"/>
            <w:tcMar>
              <w:top w:type="dxa" w:w="40"/>
              <w:left w:type="dxa" w:w="70"/>
              <w:bottom w:type="dxa" w:w="40"/>
              <w:right w:type="dxa" w:w="70"/>
            </w:tcMar>
          </w:tcPr>
          <w:p>
            <w:pPr>
              <w:spacing w:after="0"/>
            </w:pPr>
            <w:r>
              <w:rPr>
                <w:sz w:val="17"/>
                <w:szCs w:val="17"/>
              </w:rPr>
              <w:t xml:space="preserve">87% / 11%</w:t>
            </w:r>
          </w:p>
        </w:tc>
        <w:tc>
          <w:tcPr>
            <w:tcW w:type="dxa" w:w="3786"/>
            <w:shd w:fill="FFFFFF" w:color="auto" w:val="clear"/>
            <w:tcMar>
              <w:top w:type="dxa" w:w="40"/>
              <w:left w:type="dxa" w:w="70"/>
              <w:bottom w:type="dxa" w:w="40"/>
              <w:right w:type="dxa" w:w="70"/>
            </w:tcMar>
          </w:tcPr>
          <w:p>
            <w:pPr>
              <w:spacing w:after="0"/>
            </w:pPr>
            <w:r>
              <w:rPr>
                <w:sz w:val="17"/>
                <w:szCs w:val="17"/>
              </w:rPr>
              <w:t xml:space="preserve">34% / 63% (7% at top in the last 14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Break-even → push price</w:t>
            </w:r>
          </w:p>
        </w:tc>
        <w:tc>
          <w:tcPr>
            <w:tcW w:type="dxa" w:w="3786"/>
            <w:shd w:fill="F2F5F9" w:color="auto" w:val="clear"/>
            <w:tcMar>
              <w:top w:type="dxa" w:w="40"/>
              <w:left w:type="dxa" w:w="70"/>
              <w:bottom w:type="dxa" w:w="40"/>
              <w:right w:type="dxa" w:w="70"/>
            </w:tcMar>
          </w:tcPr>
          <w:p>
            <w:pPr>
              <w:spacing w:after="0"/>
            </w:pPr>
            <w:r>
              <w:rPr>
                <w:sz w:val="17"/>
                <w:szCs w:val="17"/>
              </w:rPr>
              <w:t xml:space="preserve">$3.53 → $6.18</w:t>
            </w:r>
          </w:p>
        </w:tc>
        <w:tc>
          <w:tcPr>
            <w:tcW w:type="dxa" w:w="3786"/>
            <w:shd w:fill="F2F5F9" w:color="auto" w:val="clear"/>
            <w:tcMar>
              <w:top w:type="dxa" w:w="40"/>
              <w:left w:type="dxa" w:w="70"/>
              <w:bottom w:type="dxa" w:w="40"/>
              <w:right w:type="dxa" w:w="70"/>
            </w:tcMar>
          </w:tcPr>
          <w:p>
            <w:pPr>
              <w:spacing w:after="0"/>
            </w:pPr>
            <w:r>
              <w:rPr>
                <w:sz w:val="17"/>
                <w:szCs w:val="17"/>
              </w:rPr>
              <w:t xml:space="preserve">$2.75 → $5.50 (the formula gives $6.19; twice break-even caps it)</w:t>
            </w:r>
          </w:p>
        </w:tc>
      </w:tr>
      <w:tr>
        <w:tc>
          <w:tcPr>
            <w:tcW w:type="dxa" w:w="2400"/>
            <w:shd w:fill="FFFFFF" w:color="auto" w:val="clear"/>
            <w:tcMar>
              <w:top w:type="dxa" w:w="40"/>
              <w:left w:type="dxa" w:w="70"/>
              <w:bottom w:type="dxa" w:w="40"/>
              <w:right w:type="dxa" w:w="70"/>
            </w:tcMar>
          </w:tcPr>
          <w:p>
            <w:pPr>
              <w:spacing w:after="0"/>
            </w:pPr>
            <w:r>
              <w:rPr>
                <w:sz w:val="17"/>
                <w:szCs w:val="17"/>
              </w:rPr>
              <w:t xml:space="preserve">29 September</w:t>
            </w:r>
          </w:p>
        </w:tc>
        <w:tc>
          <w:tcPr>
            <w:tcW w:type="dxa" w:w="3786"/>
            <w:shd w:fill="FFFFFF" w:color="auto" w:val="clear"/>
            <w:tcMar>
              <w:top w:type="dxa" w:w="40"/>
              <w:left w:type="dxa" w:w="70"/>
              <w:bottom w:type="dxa" w:w="40"/>
              <w:right w:type="dxa" w:w="70"/>
            </w:tcMar>
          </w:tcPr>
          <w:p>
            <w:pPr>
              <w:spacing w:after="0"/>
            </w:pPr>
            <w:r>
              <w:rPr>
                <w:sz w:val="17"/>
                <w:szCs w:val="17"/>
              </w:rPr>
              <w:t xml:space="preserve">Top of search $6.41 → $6.18. Budget to its required clicks at that price.</w:t>
            </w:r>
          </w:p>
        </w:tc>
        <w:tc>
          <w:tcPr>
            <w:tcW w:type="dxa" w:w="3786"/>
            <w:shd w:fill="FFFFFF" w:color="auto" w:val="clear"/>
            <w:tcMar>
              <w:top w:type="dxa" w:w="40"/>
              <w:left w:type="dxa" w:w="70"/>
              <w:bottom w:type="dxa" w:w="40"/>
              <w:right w:type="dxa" w:w="70"/>
            </w:tcMar>
          </w:tcPr>
          <w:p>
            <w:pPr>
              <w:spacing w:after="0"/>
            </w:pPr>
            <w:r>
              <w:rPr>
                <w:sz w:val="17"/>
                <w:szCs w:val="17"/>
              </w:rPr>
              <w:t xml:space="preserve">Fix the mix first: base $1.60 → $1.20 and top of search at $2.75. Its fall from 19–20 to 35 this week has a visible cause: only 7% of its clicks were at top of search in the last 14 days. Move to the $5.50 push price once 70% of clicks are at top of search for 7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Check</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 checkpoint on 12 October</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w:t>
            </w:r>
          </w:p>
        </w:tc>
      </w:tr>
      <w:tr>
        <w:tc>
          <w:tcPr>
            <w:tcW w:type="dxa" w:w="2400"/>
            <w:shd w:fill="FFFFFF" w:color="auto" w:val="clear"/>
            <w:tcMar>
              <w:top w:type="dxa" w:w="40"/>
              <w:left w:type="dxa" w:w="70"/>
              <w:bottom w:type="dxa" w:w="40"/>
              <w:right w:type="dxa" w:w="70"/>
            </w:tcMar>
          </w:tcPr>
          <w:p>
            <w:pPr>
              <w:spacing w:after="0"/>
            </w:pPr>
            <w:r>
              <w:rPr>
                <w:sz w:val="17"/>
                <w:szCs w:val="17"/>
              </w:rPr>
              <w:t xml:space="preserve">If it doesn’t work</w:t>
            </w:r>
          </w:p>
        </w:tc>
        <w:tc>
          <w:tcPr>
            <w:tcW w:type="dxa" w:w="3786"/>
            <w:shd w:fill="FFFFFF" w:color="auto" w:val="clear"/>
            <w:tcMar>
              <w:top w:type="dxa" w:w="40"/>
              <w:left w:type="dxa" w:w="70"/>
              <w:bottom w:type="dxa" w:w="40"/>
              <w:right w:type="dxa" w:w="70"/>
            </w:tcMar>
          </w:tcPr>
          <w:p>
            <w:pPr>
              <w:spacing w:after="0"/>
            </w:pPr>
            <w:r>
              <w:rPr>
                <w:sz w:val="17"/>
                <w:szCs w:val="17"/>
              </w:rPr>
              <w:t xml:space="preserve">If delivery is under 70% of the required clicks, fix delivery (budget, down-only bidding). If rank doesn’t move on full delivery, stop the premium and find the cause.</w:t>
            </w:r>
          </w:p>
        </w:tc>
        <w:tc>
          <w:tcPr>
            <w:tcW w:type="dxa" w:w="3786"/>
            <w:shd w:fill="FFFFFF" w:color="auto" w:val="clear"/>
            <w:tcMar>
              <w:top w:type="dxa" w:w="40"/>
              <w:left w:type="dxa" w:w="70"/>
              <w:bottom w:type="dxa" w:w="40"/>
              <w:right w:type="dxa" w:w="70"/>
            </w:tcMar>
          </w:tcPr>
          <w:p>
            <w:pPr>
              <w:spacing w:after="0"/>
            </w:pPr>
            <w:r>
              <w:rPr>
                <w:sz w:val="17"/>
                <w:szCs w:val="17"/>
              </w:rPr>
              <w:t xml:space="preserve">If the mix doesn’t move, cut the base bid again, then switch to fixed bidding.</w:t>
            </w:r>
          </w:p>
        </w:tc>
      </w:tr>
    </w:tbl>
    <w:p>
      <w:pPr>
        <w:spacing w:after="40"/>
      </w:pPr>
    </w:p>
    <w:p>
      <w:pPr>
        <w:spacing w:after="100"/>
      </w:pPr>
      <w:r>
        <w:t xml:space="preserve">Before the push price goes live: exclude “bamboo sheets king” from the clearance broad campaign (10 of its 50 clicks went there) and from the main broad campaign.</w:t>
      </w:r>
    </w:p>
    <w:p>
      <w:pPr>
        <w:spacing w:after="100"/>
      </w:pPr>
      <w:r>
        <w:t xml:space="preserve">Stock: the engine reads King stock on Creme, as if King White were running out, and its own check fails because 26 King campaigns stay on White with no swap written. It writes no King swap at all, but renames 17 campaigns “KING-CREME” anyway. King White is not running out, and the push leaves room. At today’s pace (about 7 units a day), the 18 days to the 16 October arrival use about 130 of the 298 Available units. The two pushed terms sold about 19 units in 30 days, so even doubling them adds only about 11 units. Keep King on White, override the flag, and undo the renames.</w:t>
      </w:r>
    </w:p>
    <w:p>
      <w:pPr>
        <w:pStyle w:val="Heading1"/>
      </w:pPr>
      <w:r>
        <w:t xml:space="preserve">7. Which colour each campaign advertises</w:t>
      </w:r>
    </w:p>
    <w:p>
      <w:pPr>
        <w:spacing w:after="100"/>
      </w:pPr>
      <w:r>
        <w:t xml:space="preserve">The audit moves ads to whichever colour has the most units on hand. The rule is the next-best seller with healthy stock, judged on Available units: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1900"/>
        <w:gridCol w:w="2972"/>
      </w:tblGrid>
      <w:tr>
        <w:trPr>
          <w:tblHeader/>
        </w:trPr>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800"/>
            <w:shd w:fill="1F3A5F" w:color="auto" w:val="clear"/>
            <w:tcMar>
              <w:top w:type="dxa" w:w="40"/>
              <w:left w:type="dxa" w:w="70"/>
              <w:bottom w:type="dxa" w:w="40"/>
              <w:right w:type="dxa" w:w="70"/>
            </w:tcMar>
          </w:tcPr>
          <w:p>
            <w:pPr>
              <w:spacing w:after="0"/>
            </w:pPr>
            <w:r>
              <w:rPr>
                <w:b/>
                <w:bCs/>
                <w:color w:val="FFFFFF"/>
                <w:sz w:val="17"/>
                <w:szCs w:val="17"/>
              </w:rPr>
              <w:t xml:space="preserve">White: 30-day sales · Available stock</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9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300"/>
            <w:shd w:fill="FFFFFF" w:color="auto" w:val="clear"/>
            <w:tcMar>
              <w:top w:type="dxa" w:w="40"/>
              <w:left w:type="dxa" w:w="70"/>
              <w:bottom w:type="dxa" w:w="40"/>
              <w:right w:type="dxa" w:w="70"/>
            </w:tcMar>
          </w:tcPr>
          <w:p>
            <w:pPr>
              <w:spacing w:after="0"/>
            </w:pPr>
            <w:r>
              <w:rPr>
                <w:sz w:val="17"/>
                <w:szCs w:val="17"/>
              </w:rPr>
              <w:t xml:space="preserve">King</w:t>
            </w:r>
          </w:p>
        </w:tc>
        <w:tc>
          <w:tcPr>
            <w:tcW w:type="dxa" w:w="3800"/>
            <w:shd w:fill="FFFFFF" w:color="auto" w:val="clear"/>
            <w:tcMar>
              <w:top w:type="dxa" w:w="40"/>
              <w:left w:type="dxa" w:w="70"/>
              <w:bottom w:type="dxa" w:w="40"/>
              <w:right w:type="dxa" w:w="70"/>
            </w:tcMar>
          </w:tcPr>
          <w:p>
            <w:pPr>
              <w:spacing w:after="0"/>
            </w:pPr>
            <w:r>
              <w:rPr>
                <w:sz w:val="17"/>
                <w:szCs w:val="17"/>
              </w:rPr>
              <w:t xml:space="preserve">220 units (#1 in the size); 298 Available = 29 days</w:t>
            </w:r>
          </w:p>
        </w:tc>
        <w:tc>
          <w:tcPr>
            <w:tcW w:type="dxa" w:w="1900"/>
            <w:shd w:fill="FFFFFF" w:color="auto" w:val="clear"/>
            <w:tcMar>
              <w:top w:type="dxa" w:w="40"/>
              <w:left w:type="dxa" w:w="70"/>
              <w:bottom w:type="dxa" w:w="40"/>
              <w:right w:type="dxa" w:w="70"/>
            </w:tcMar>
          </w:tcPr>
          <w:p>
            <w:pPr>
              <w:spacing w:after="0"/>
            </w:pPr>
            <w:r>
              <w:rPr>
                <w:sz w:val="17"/>
                <w:szCs w:val="17"/>
              </w:rPr>
              <w:t xml:space="preserve">no swap written, but 17 campaigns renamed “KING-CREME” and stock read on Creme</w:t>
            </w:r>
          </w:p>
        </w:tc>
        <w:tc>
          <w:tcPr>
            <w:tcW w:type="dxa" w:w="29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300"/>
            <w:shd w:fill="F2F5F9" w:color="auto" w:val="clear"/>
            <w:tcMar>
              <w:top w:type="dxa" w:w="40"/>
              <w:left w:type="dxa" w:w="70"/>
              <w:bottom w:type="dxa" w:w="40"/>
              <w:right w:type="dxa" w:w="70"/>
            </w:tcMar>
          </w:tcPr>
          <w:p>
            <w:pPr>
              <w:spacing w:after="0"/>
            </w:pPr>
            <w:r>
              <w:rPr>
                <w:sz w:val="17"/>
                <w:szCs w:val="17"/>
              </w:rPr>
              <w:t xml:space="preserve">Queen</w:t>
            </w:r>
          </w:p>
        </w:tc>
        <w:tc>
          <w:tcPr>
            <w:tcW w:type="dxa" w:w="3800"/>
            <w:shd w:fill="F2F5F9" w:color="auto" w:val="clear"/>
            <w:tcMar>
              <w:top w:type="dxa" w:w="40"/>
              <w:left w:type="dxa" w:w="70"/>
              <w:bottom w:type="dxa" w:w="40"/>
              <w:right w:type="dxa" w:w="70"/>
            </w:tcMar>
          </w:tcPr>
          <w:p>
            <w:pPr>
              <w:spacing w:after="0"/>
            </w:pPr>
            <w:r>
              <w:rPr>
                <w:sz w:val="17"/>
                <w:szCs w:val="17"/>
              </w:rPr>
              <w:t xml:space="preserve">109 units (#1); 82 Available = 15 days; arrival 27 Oct</w:t>
            </w:r>
          </w:p>
        </w:tc>
        <w:tc>
          <w:tcPr>
            <w:tcW w:type="dxa" w:w="1900"/>
            <w:shd w:fill="F2F5F9" w:color="auto" w:val="clear"/>
            <w:tcMar>
              <w:top w:type="dxa" w:w="40"/>
              <w:left w:type="dxa" w:w="70"/>
              <w:bottom w:type="dxa" w:w="40"/>
              <w:right w:type="dxa" w:w="70"/>
            </w:tcMar>
          </w:tcPr>
          <w:p>
            <w:pPr>
              <w:spacing w:after="0"/>
            </w:pPr>
            <w:r>
              <w:rPr>
                <w:sz w:val="17"/>
                <w:szCs w:val="17"/>
              </w:rPr>
              <w:t xml:space="preserve">Olive</w:t>
            </w:r>
          </w:p>
        </w:tc>
        <w:tc>
          <w:tcPr>
            <w:tcW w:type="dxa" w:w="2972"/>
            <w:shd w:fill="F2F5F9" w:color="auto" w:val="clear"/>
            <w:tcMar>
              <w:top w:type="dxa" w:w="40"/>
              <w:left w:type="dxa" w:w="70"/>
              <w:bottom w:type="dxa" w:w="40"/>
              <w:right w:type="dxa" w:w="70"/>
            </w:tcMar>
          </w:tcPr>
          <w:p>
            <w:pPr>
              <w:spacing w:after="0"/>
            </w:pPr>
            <w:r>
              <w:rPr>
                <w:sz w:val="17"/>
                <w:szCs w:val="17"/>
              </w:rPr>
              <w:t xml:space="preserve">Light Blue (71 units, 57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3800"/>
            <w:shd w:fill="FFFFFF" w:color="auto" w:val="clear"/>
            <w:tcMar>
              <w:top w:type="dxa" w:w="40"/>
              <w:left w:type="dxa" w:w="70"/>
              <w:bottom w:type="dxa" w:w="40"/>
              <w:right w:type="dxa" w:w="70"/>
            </w:tcMar>
          </w:tcPr>
          <w:p>
            <w:pPr>
              <w:spacing w:after="0"/>
            </w:pPr>
            <w:r>
              <w:rPr>
                <w:sz w:val="17"/>
                <w:szCs w:val="17"/>
              </w:rPr>
              <w:t xml:space="preserve">36 units (#1); 43 Available = 28 days</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White: keep</w:t>
            </w:r>
          </w:p>
        </w:tc>
      </w:tr>
      <w:tr>
        <w:tc>
          <w:tcPr>
            <w:tcW w:type="dxa" w:w="1300"/>
            <w:shd w:fill="F2F5F9" w:color="auto" w:val="clear"/>
            <w:tcMar>
              <w:top w:type="dxa" w:w="40"/>
              <w:left w:type="dxa" w:w="70"/>
              <w:bottom w:type="dxa" w:w="40"/>
              <w:right w:type="dxa" w:w="70"/>
            </w:tcMar>
          </w:tcPr>
          <w:p>
            <w:pPr>
              <w:spacing w:after="0"/>
            </w:pPr>
            <w:r>
              <w:rPr>
                <w:sz w:val="17"/>
                <w:szCs w:val="17"/>
              </w:rPr>
              <w:t xml:space="preserve">Full</w:t>
            </w:r>
          </w:p>
        </w:tc>
        <w:tc>
          <w:tcPr>
            <w:tcW w:type="dxa" w:w="3800"/>
            <w:shd w:fill="F2F5F9" w:color="auto" w:val="clear"/>
            <w:tcMar>
              <w:top w:type="dxa" w:w="40"/>
              <w:left w:type="dxa" w:w="70"/>
              <w:bottom w:type="dxa" w:w="40"/>
              <w:right w:type="dxa" w:w="70"/>
            </w:tcMar>
          </w:tcPr>
          <w:p>
            <w:pPr>
              <w:spacing w:after="0"/>
            </w:pPr>
            <w:r>
              <w:rPr>
                <w:sz w:val="17"/>
                <w:szCs w:val="17"/>
              </w:rPr>
              <w:t xml:space="preserve">10 units; 0 Available</w:t>
            </w:r>
          </w:p>
        </w:tc>
        <w:tc>
          <w:tcPr>
            <w:tcW w:type="dxa" w:w="1900"/>
            <w:shd w:fill="F2F5F9" w:color="auto" w:val="clear"/>
            <w:tcMar>
              <w:top w:type="dxa" w:w="40"/>
              <w:left w:type="dxa" w:w="70"/>
              <w:bottom w:type="dxa" w:w="40"/>
              <w:right w:type="dxa" w:w="70"/>
            </w:tcMar>
          </w:tcPr>
          <w:p>
            <w:pPr>
              <w:spacing w:after="0"/>
            </w:pPr>
            <w:r>
              <w:rPr>
                <w:sz w:val="17"/>
                <w:szCs w:val="17"/>
              </w:rPr>
              <w:t xml:space="preserve">Light Olive</w:t>
            </w:r>
          </w:p>
        </w:tc>
        <w:tc>
          <w:tcPr>
            <w:tcW w:type="dxa" w:w="2972"/>
            <w:shd w:fill="F2F5F9" w:color="auto" w:val="clear"/>
            <w:tcMar>
              <w:top w:type="dxa" w:w="40"/>
              <w:left w:type="dxa" w:w="70"/>
              <w:bottom w:type="dxa" w:w="40"/>
              <w:right w:type="dxa" w:w="70"/>
            </w:tcMar>
          </w:tcPr>
          <w:p>
            <w:pPr>
              <w:spacing w:after="0"/>
            </w:pPr>
            <w:r>
              <w:rPr>
                <w:sz w:val="17"/>
                <w:szCs w:val="17"/>
              </w:rPr>
              <w:t xml:space="preserve">Olive (30 units, 70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Twin</w:t>
            </w:r>
          </w:p>
        </w:tc>
        <w:tc>
          <w:tcPr>
            <w:tcW w:type="dxa" w:w="3800"/>
            <w:shd w:fill="FFFFFF" w:color="auto" w:val="clear"/>
            <w:tcMar>
              <w:top w:type="dxa" w:w="40"/>
              <w:left w:type="dxa" w:w="70"/>
              <w:bottom w:type="dxa" w:w="40"/>
              <w:right w:type="dxa" w:w="70"/>
            </w:tcMar>
          </w:tcPr>
          <w:p>
            <w:pPr>
              <w:spacing w:after="0"/>
            </w:pPr>
            <w:r>
              <w:rPr>
                <w:sz w:val="17"/>
                <w:szCs w:val="17"/>
              </w:rPr>
              <w:t xml:space="preserve">31 units (#1); 0 Available, 154 in transfer</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Navy Blue (16 units, 80 days) until the transfer lands</w:t>
            </w:r>
          </w:p>
        </w:tc>
      </w:tr>
    </w:tbl>
    <w:p>
      <w:pPr>
        <w:spacing w:after="120"/>
      </w:pPr>
      <w:r>
        <w:rPr>
          <w:i/>
          <w:iCs/>
          <w:color w:val="555555"/>
          <w:sz w:val="17"/>
          <w:szCs w:val="17"/>
        </w:rPr>
        <w:t xml:space="preserve">Sellerboard, 30-day units by colour and stock on 28 September.</w:t>
      </w:r>
    </w:p>
    <w:p>
      <w:pPr>
        <w:pStyle w:val="ListParagraph"/>
        <w:numPr>
          <w:ilvl w:val="0"/>
          <w:numId w:val="4"/>
        </w:numPr>
        <w:spacing w:after="60"/>
      </w:pPr>
      <w:r>
        <w:rPr>
          <w:b/>
          <w:bCs/>
        </w:rPr>
        <w:t xml:space="preserve">Why Queen moves off White for now: </w:t>
      </w:r>
      <w:r>
        <w:t xml:space="preserve">Queen White is the size’s best seller and sells mostly without ads (only 13 of its 109 units came from its own ads). Its stock covers 15 days against a 27 October arrival. Pushing it through ads would drain stock it needs, so Light Blue carries Queen until White lands.</w:t>
      </w:r>
    </w:p>
    <w:p>
      <w:pPr>
        <w:pStyle w:val="ListParagraph"/>
        <w:numPr>
          <w:ilvl w:val="0"/>
          <w:numId w:val="4"/>
        </w:numPr>
        <w:spacing w:after="60"/>
      </w:pPr>
      <w:r>
        <w:rPr>
          <w:b/>
          <w:bCs/>
        </w:rPr>
        <w:t xml:space="preserve">Why the audit’s picks are wrong: </w:t>
      </w:r>
      <w:r>
        <w:t xml:space="preserve">Full Light Olive and Twin Burgundy are among the slowest sellers in their sizes (261 and 665 days of stock), which makes them clearance colours, not ranking colours. California King White still sells and has about a month of cover.</w:t>
      </w:r>
    </w:p>
    <w:p>
      <w:pPr>
        <w:pStyle w:val="ListParagraph"/>
        <w:numPr>
          <w:ilvl w:val="0"/>
          <w:numId w:val="4"/>
        </w:numPr>
        <w:spacing w:after="60"/>
      </w:pPr>
      <w:r>
        <w:rPr>
          <w:b/>
          <w:bCs/>
        </w:rPr>
        <w:t xml:space="preserve">Discovery campaigns (auto, broad, phrase) advertise the clearance colour, never White: </w:t>
      </w:r>
      <w:r>
        <w:t xml:space="preserve">Queen Light Olive, California King Grey, Full Light Blue and Twin Burgundy-New. King has no clearance colour today, so use any colour other than White. 8 discovery campaigns advertise the wrong colour, most of them White.</w:t>
      </w:r>
    </w:p>
    <w:p>
      <w:pPr>
        <w:pStyle w:val="ListParagraph"/>
        <w:numPr>
          <w:ilvl w:val="0"/>
          <w:numId w:val="4"/>
        </w:numPr>
        <w:spacing w:after="60"/>
      </w:pPr>
      <w:r>
        <w:rPr>
          <w:b/>
          <w:bCs/>
        </w:rPr>
        <w:t xml:space="preserve">Names must match the colour advertised. </w:t>
      </w:r>
      <w:r>
        <w:t xml:space="preserve">17 renames write “KING-CREME” into campaign names while the ad stays on King White. Two swaps also move a King and a Queen campaign to another size without renaming them.</w:t>
      </w:r>
    </w:p>
    <w:p>
      <w:pPr>
        <w:pStyle w:val="ListParagraph"/>
        <w:numPr>
          <w:ilvl w:val="0"/>
          <w:numId w:val="4"/>
        </w:numPr>
        <w:spacing w:after="60"/>
      </w:pPr>
      <w:r>
        <w:rPr>
          <w:b/>
          <w:bCs/>
        </w:rPr>
        <w:t xml:space="preserve">The competitor-targeting test </w:t>
      </w:r>
      <w:r>
        <w:t xml:space="preserve">($47.64 a day) advertises Queen White. Move it to Queen Light Blue and match each competitor page by size.</w:t>
      </w:r>
    </w:p>
    <w:p>
      <w:pPr>
        <w:spacing w:after="100"/>
      </w:pPr>
      <w:r>
        <w:t xml:space="preserve">94 ranking campaigns advertise a colour other than their size’s ranking colour. The upload tool skips every colour switch, so they have to be made by hand. Date the switch back to White for each arrival (Section 4).</w:t>
      </w:r>
    </w:p>
    <w:p>
      <w:pPr>
        <w:pStyle w:val="Heading1"/>
      </w:pPr>
      <w:r>
        <w:t xml:space="preserve">8. Campaigns advertising stock that can’t sell, or not serving at all</w:t>
      </w:r>
    </w:p>
    <w:p>
      <w:pPr>
        <w:spacing w:after="100"/>
      </w:pPr>
      <w:r>
        <w:t xml:space="preserve">Ads can only sell Available units. Under 5 days of Available stock, pause ranking and aggressive top-of-search campaigns until the stock arrives; with 7 or more days, run normally. The audit keeps six campaigns spending on colours customers can’t buy today, for example Full White (0 Available) and Twin White (0 Available, 154 in transfer). Move them to the size’s ranking colour, and back once White is Available.</w:t>
      </w:r>
    </w:p>
    <w:p>
      <w:pPr>
        <w:spacing w:after="100"/>
      </w:pPr>
      <w:r>
        <w:t xml:space="preserve">Three focus campaigns with good records spent nothing in the last 14 days:</w:t>
      </w:r>
    </w:p>
    <w:p>
      <w:pPr>
        <w:pStyle w:val="ListParagraph"/>
        <w:numPr>
          <w:ilvl w:val="0"/>
          <w:numId w:val="4"/>
        </w:numPr>
        <w:spacing w:after="60"/>
      </w:pPr>
      <w:r>
        <w:t xml:space="preserve">Bamboo Cooling Sheets King Size (the older campaign, without [Bamboo|Cooling] in its name): 238 clicks and 29 orders in 90 days.</w:t>
      </w:r>
    </w:p>
    <w:p>
      <w:pPr>
        <w:pStyle w:val="ListParagraph"/>
        <w:numPr>
          <w:ilvl w:val="0"/>
          <w:numId w:val="4"/>
        </w:numPr>
        <w:spacing w:after="60"/>
      </w:pPr>
      <w:r>
        <w:t xml:space="preserve">Cal King Bamboo Sheets: 58 clicks and 7 orders.</w:t>
      </w:r>
    </w:p>
    <w:p>
      <w:pPr>
        <w:pStyle w:val="ListParagraph"/>
        <w:numPr>
          <w:ilvl w:val="0"/>
          <w:numId w:val="4"/>
        </w:numPr>
        <w:spacing w:after="60"/>
      </w:pPr>
      <w:r>
        <w:t xml:space="preserve">Cooling Bamboo Sheets Queen Size: 54 clicks and 7 orders, and no top-of-search showings at all.</w:t>
      </w:r>
    </w:p>
    <w:p>
      <w:pPr>
        <w:spacing w:after="100"/>
      </w:pPr>
      <w:r>
        <w:t xml:space="preserve">The audit raises their price, and on one it cuts the base bid, which makes a quiet campaign quieter. It also predicts one will jump from 0 to 32 top-of-search clicks a week on a $9.94 budget. They are quiet for different reasons:</w:t>
      </w:r>
    </w:p>
    <w:p>
      <w:pPr>
        <w:pStyle w:val="ListParagraph"/>
        <w:numPr>
          <w:ilvl w:val="0"/>
          <w:numId w:val="4"/>
        </w:numPr>
        <w:spacing w:after="60"/>
      </w:pPr>
      <w:r>
        <w:rPr>
          <w:b/>
          <w:bCs/>
        </w:rPr>
        <w:t xml:space="preserve">Bamboo Cooling Sheets King Size has its main keyword switched off. </w:t>
      </w:r>
      <w:r>
        <w:t xml:space="preserve">“bamboo cooling sheets king size” is paused, and its only live keyword has no clicks, so no bid change can make it serve. The same term runs in a newer campaign ([Bamboo|Cooling]) that has 7 clicks and no orders. Correction: re-enable the keyword in the campaign with the 29-order record, at break-even, and pause it in the newer one, so the term has one owner.</w:t>
      </w:r>
    </w:p>
    <w:p>
      <w:pPr>
        <w:pStyle w:val="ListParagraph"/>
        <w:numPr>
          <w:ilvl w:val="0"/>
          <w:numId w:val="4"/>
        </w:numPr>
        <w:spacing w:after="60"/>
      </w:pPr>
      <w:r>
        <w:rPr>
          <w:b/>
          <w:bCs/>
        </w:rPr>
        <w:t xml:space="preserve">The other two have live keywords but no clicks, and both use down-only bidding. </w:t>
      </w:r>
      <w:r>
        <w:t xml:space="preserve">Correction: keep the base bid and check each ad is live and on the right colour. Switch to fixed bidding at the break-even price so Amazon can’t hold the price down.</w:t>
      </w:r>
    </w:p>
    <w:p>
      <w:pPr>
        <w:spacing w:after="100"/>
      </w:pPr>
      <w:r>
        <w:t xml:space="preserve">For all three, drop the forecasts and budget increases: a campaign that spends nothing is not short of budget. Once a campaign serves, it gets its push step like any other focus term.</w:t>
      </w:r>
    </w:p>
    <w:p>
      <w:pPr>
        <w:pStyle w:val="Heading1"/>
      </w:pPr>
      <w:r>
        <w:t xml:space="preserve">9. Where the clicks land</w:t>
      </w:r>
    </w:p>
    <w:p>
      <w:pPr>
        <w:spacing w:after="100"/>
      </w:pPr>
      <w:r>
        <w:t xml:space="preserve">27 ranking campaigns take under 30% of their clicks at top of search, and 33 more lose over 20% to product pages. In the deal, product pages took as many clicks as top of search; those clicks cost money and buy almost no rank. Five campaigns also carry a rest-of-search boost they haven’t earned: it should stay at 0% until that placement converts on 15 or more clicks.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1900"/>
        <w:gridCol w:w="1872"/>
      </w:tblGrid>
      <w:tr>
        <w:trPr>
          <w:tblHeader/>
        </w:trPr>
        <w:tc>
          <w:tcPr>
            <w:tcW w:type="dxa" w:w="36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Base bid now → correct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 now → correct</w:t>
            </w:r>
          </w:p>
        </w:tc>
      </w:tr>
      <w:tr>
        <w:tc>
          <w:tcPr>
            <w:tcW w:type="dxa" w:w="3600"/>
            <w:shd w:fill="FFFFFF" w:color="auto" w:val="clear"/>
            <w:tcMar>
              <w:top w:type="dxa" w:w="40"/>
              <w:left w:type="dxa" w:w="70"/>
              <w:bottom w:type="dxa" w:w="40"/>
              <w:right w:type="dxa" w:w="70"/>
            </w:tcMar>
          </w:tcPr>
          <w:p>
            <w:pPr>
              <w:spacing w:after="0"/>
            </w:pPr>
            <w:r>
              <w:rPr>
                <w:sz w:val="17"/>
                <w:szCs w:val="17"/>
              </w:rPr>
              <w:t xml:space="preserve">Bamboo Sheets King Size (HSV)</w:t>
            </w:r>
          </w:p>
        </w:tc>
        <w:tc>
          <w:tcPr>
            <w:tcW w:type="dxa" w:w="1100"/>
            <w:shd w:fill="FFFFFF" w:color="auto" w:val="clear"/>
            <w:tcMar>
              <w:top w:type="dxa" w:w="40"/>
              <w:left w:type="dxa" w:w="70"/>
              <w:bottom w:type="dxa" w:w="40"/>
              <w:right w:type="dxa" w:w="70"/>
            </w:tcMar>
          </w:tcPr>
          <w:p>
            <w:pPr>
              <w:spacing w:after="0"/>
            </w:pPr>
            <w:r>
              <w:rPr>
                <w:sz w:val="17"/>
                <w:szCs w:val="17"/>
              </w:rPr>
              <w:t xml:space="preserve">111</w:t>
            </w:r>
          </w:p>
        </w:tc>
        <w:tc>
          <w:tcPr>
            <w:tcW w:type="dxa" w:w="1500"/>
            <w:shd w:fill="FFFFFF" w:color="auto" w:val="clear"/>
            <w:tcMar>
              <w:top w:type="dxa" w:w="40"/>
              <w:left w:type="dxa" w:w="70"/>
              <w:bottom w:type="dxa" w:w="40"/>
              <w:right w:type="dxa" w:w="70"/>
            </w:tcMar>
          </w:tcPr>
          <w:p>
            <w:pPr>
              <w:spacing w:after="0"/>
            </w:pPr>
            <w:r>
              <w:rPr>
                <w:sz w:val="17"/>
                <w:szCs w:val="17"/>
              </w:rPr>
              <w:t xml:space="preserve">34% / 63%</w:t>
            </w:r>
          </w:p>
        </w:tc>
        <w:tc>
          <w:tcPr>
            <w:tcW w:type="dxa" w:w="1900"/>
            <w:shd w:fill="FFFFFF" w:color="auto" w:val="clear"/>
            <w:tcMar>
              <w:top w:type="dxa" w:w="40"/>
              <w:left w:type="dxa" w:w="70"/>
              <w:bottom w:type="dxa" w:w="40"/>
              <w:right w:type="dxa" w:w="70"/>
            </w:tcMar>
          </w:tcPr>
          <w:p>
            <w:pPr>
              <w:spacing w:after="0"/>
            </w:pPr>
            <w:r>
              <w:rPr>
                <w:sz w:val="17"/>
                <w:szCs w:val="17"/>
              </w:rPr>
              <w:t xml:space="preserve">$1.60 → $1.20</w:t>
            </w:r>
          </w:p>
        </w:tc>
        <w:tc>
          <w:tcPr>
            <w:tcW w:type="dxa" w:w="1872"/>
            <w:shd w:fill="FFFFFF" w:color="auto" w:val="clear"/>
            <w:tcMar>
              <w:top w:type="dxa" w:w="40"/>
              <w:left w:type="dxa" w:w="70"/>
              <w:bottom w:type="dxa" w:w="40"/>
              <w:right w:type="dxa" w:w="70"/>
            </w:tcMar>
          </w:tcPr>
          <w:p>
            <w:pPr>
              <w:spacing w:after="0"/>
            </w:pPr>
            <w:r>
              <w:rPr>
                <w:sz w:val="17"/>
                <w:szCs w:val="17"/>
              </w:rPr>
              <w:t xml:space="preserve">$4.96 → $2.75 until the mix is fixed</w:t>
            </w:r>
          </w:p>
        </w:tc>
      </w:tr>
      <w:tr>
        <w:tc>
          <w:tcPr>
            <w:tcW w:type="dxa" w:w="3600"/>
            <w:shd w:fill="F2F5F9" w:color="auto" w:val="clear"/>
            <w:tcMar>
              <w:top w:type="dxa" w:w="40"/>
              <w:left w:type="dxa" w:w="70"/>
              <w:bottom w:type="dxa" w:w="40"/>
              <w:right w:type="dxa" w:w="70"/>
            </w:tcMar>
          </w:tcPr>
          <w:p>
            <w:pPr>
              <w:spacing w:after="0"/>
            </w:pPr>
            <w:r>
              <w:rPr>
                <w:sz w:val="17"/>
                <w:szCs w:val="17"/>
              </w:rPr>
              <w:t xml:space="preserve">Cooling Sheets King (MSV)</w:t>
            </w:r>
          </w:p>
        </w:tc>
        <w:tc>
          <w:tcPr>
            <w:tcW w:type="dxa" w:w="1100"/>
            <w:shd w:fill="F2F5F9" w:color="auto" w:val="clear"/>
            <w:tcMar>
              <w:top w:type="dxa" w:w="40"/>
              <w:left w:type="dxa" w:w="70"/>
              <w:bottom w:type="dxa" w:w="40"/>
              <w:right w:type="dxa" w:w="70"/>
            </w:tcMar>
          </w:tcPr>
          <w:p>
            <w:pPr>
              <w:spacing w:after="0"/>
            </w:pPr>
            <w:r>
              <w:rPr>
                <w:sz w:val="17"/>
                <w:szCs w:val="17"/>
              </w:rPr>
              <w:t xml:space="preserve">34</w:t>
            </w:r>
          </w:p>
        </w:tc>
        <w:tc>
          <w:tcPr>
            <w:tcW w:type="dxa" w:w="1500"/>
            <w:shd w:fill="F2F5F9" w:color="auto" w:val="clear"/>
            <w:tcMar>
              <w:top w:type="dxa" w:w="40"/>
              <w:left w:type="dxa" w:w="70"/>
              <w:bottom w:type="dxa" w:w="40"/>
              <w:right w:type="dxa" w:w="70"/>
            </w:tcMar>
          </w:tcPr>
          <w:p>
            <w:pPr>
              <w:spacing w:after="0"/>
            </w:pPr>
            <w:r>
              <w:rPr>
                <w:sz w:val="17"/>
                <w:szCs w:val="17"/>
              </w:rPr>
              <w:t xml:space="preserve">41% / 50%</w:t>
            </w:r>
          </w:p>
        </w:tc>
        <w:tc>
          <w:tcPr>
            <w:tcW w:type="dxa" w:w="1900"/>
            <w:shd w:fill="F2F5F9" w:color="auto" w:val="clear"/>
            <w:tcMar>
              <w:top w:type="dxa" w:w="40"/>
              <w:left w:type="dxa" w:w="70"/>
              <w:bottom w:type="dxa" w:w="40"/>
              <w:right w:type="dxa" w:w="70"/>
            </w:tcMar>
          </w:tcPr>
          <w:p>
            <w:pPr>
              <w:spacing w:after="0"/>
            </w:pPr>
            <w:r>
              <w:rPr>
                <w:sz w:val="17"/>
                <w:szCs w:val="17"/>
              </w:rPr>
              <w:t xml:space="preserve">$2.53 → $1.90</w:t>
            </w:r>
          </w:p>
        </w:tc>
        <w:tc>
          <w:tcPr>
            <w:tcW w:type="dxa" w:w="1872"/>
            <w:shd w:fill="F2F5F9" w:color="auto" w:val="clear"/>
            <w:tcMar>
              <w:top w:type="dxa" w:w="40"/>
              <w:left w:type="dxa" w:w="70"/>
              <w:bottom w:type="dxa" w:w="40"/>
              <w:right w:type="dxa" w:w="70"/>
            </w:tcMar>
          </w:tcPr>
          <w:p>
            <w:pPr>
              <w:spacing w:after="0"/>
            </w:pPr>
            <w:r>
              <w:rPr>
                <w:sz w:val="17"/>
                <w:szCs w:val="17"/>
              </w:rPr>
              <w:t xml:space="preserve">$5.97 → $2.99</w:t>
            </w:r>
          </w:p>
        </w:tc>
      </w:tr>
      <w:tr>
        <w:tc>
          <w:tcPr>
            <w:tcW w:type="dxa" w:w="36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100</w:t>
            </w:r>
          </w:p>
        </w:tc>
        <w:tc>
          <w:tcPr>
            <w:tcW w:type="dxa" w:w="1500"/>
            <w:shd w:fill="FFFFFF" w:color="auto" w:val="clear"/>
            <w:tcMar>
              <w:top w:type="dxa" w:w="40"/>
              <w:left w:type="dxa" w:w="70"/>
              <w:bottom w:type="dxa" w:w="40"/>
              <w:right w:type="dxa" w:w="70"/>
            </w:tcMar>
          </w:tcPr>
          <w:p>
            <w:pPr>
              <w:spacing w:after="0"/>
            </w:pPr>
            <w:r>
              <w:rPr>
                <w:sz w:val="17"/>
                <w:szCs w:val="17"/>
              </w:rPr>
              <w:t xml:space="preserve">57% / 42%</w:t>
            </w:r>
          </w:p>
        </w:tc>
        <w:tc>
          <w:tcPr>
            <w:tcW w:type="dxa" w:w="1900"/>
            <w:shd w:fill="FFFFFF" w:color="auto" w:val="clear"/>
            <w:tcMar>
              <w:top w:type="dxa" w:w="40"/>
              <w:left w:type="dxa" w:w="70"/>
              <w:bottom w:type="dxa" w:w="40"/>
              <w:right w:type="dxa" w:w="70"/>
            </w:tcMar>
          </w:tcPr>
          <w:p>
            <w:pPr>
              <w:spacing w:after="0"/>
            </w:pPr>
            <w:r>
              <w:rPr>
                <w:sz w:val="17"/>
                <w:szCs w:val="17"/>
              </w:rPr>
              <w:t xml:space="preserve">$2.21 → $1.66</w:t>
            </w:r>
          </w:p>
        </w:tc>
        <w:tc>
          <w:tcPr>
            <w:tcW w:type="dxa" w:w="1872"/>
            <w:shd w:fill="FFFFFF" w:color="auto" w:val="clear"/>
            <w:tcMar>
              <w:top w:type="dxa" w:w="40"/>
              <w:left w:type="dxa" w:w="70"/>
              <w:bottom w:type="dxa" w:w="40"/>
              <w:right w:type="dxa" w:w="70"/>
            </w:tcMar>
          </w:tcPr>
          <w:p>
            <w:pPr>
              <w:spacing w:after="0"/>
            </w:pPr>
            <w:r>
              <w:rPr>
                <w:sz w:val="17"/>
                <w:szCs w:val="17"/>
              </w:rPr>
              <w:t xml:space="preserve">$2.90 → $2.90</w:t>
            </w:r>
          </w:p>
        </w:tc>
      </w:tr>
      <w:tr>
        <w:tc>
          <w:tcPr>
            <w:tcW w:type="dxa" w:w="3600"/>
            <w:shd w:fill="F2F5F9" w:color="auto" w:val="clear"/>
            <w:tcMar>
              <w:top w:type="dxa" w:w="40"/>
              <w:left w:type="dxa" w:w="70"/>
              <w:bottom w:type="dxa" w:w="40"/>
              <w:right w:type="dxa" w:w="70"/>
            </w:tcMar>
          </w:tcPr>
          <w:p>
            <w:pPr>
              <w:spacing w:after="0"/>
            </w:pPr>
            <w:r>
              <w:rPr>
                <w:sz w:val="17"/>
                <w:szCs w:val="17"/>
              </w:rPr>
              <w:t xml:space="preserve">Full Size Sheets Bamboo (LSV)</w:t>
            </w:r>
          </w:p>
        </w:tc>
        <w:tc>
          <w:tcPr>
            <w:tcW w:type="dxa" w:w="1100"/>
            <w:shd w:fill="F2F5F9" w:color="auto" w:val="clear"/>
            <w:tcMar>
              <w:top w:type="dxa" w:w="40"/>
              <w:left w:type="dxa" w:w="70"/>
              <w:bottom w:type="dxa" w:w="40"/>
              <w:right w:type="dxa" w:w="70"/>
            </w:tcMar>
          </w:tcPr>
          <w:p>
            <w:pPr>
              <w:spacing w:after="0"/>
            </w:pPr>
            <w:r>
              <w:rPr>
                <w:sz w:val="17"/>
                <w:szCs w:val="17"/>
              </w:rPr>
              <w:t xml:space="preserve">26</w:t>
            </w:r>
          </w:p>
        </w:tc>
        <w:tc>
          <w:tcPr>
            <w:tcW w:type="dxa" w:w="1500"/>
            <w:shd w:fill="F2F5F9" w:color="auto" w:val="clear"/>
            <w:tcMar>
              <w:top w:type="dxa" w:w="40"/>
              <w:left w:type="dxa" w:w="70"/>
              <w:bottom w:type="dxa" w:w="40"/>
              <w:right w:type="dxa" w:w="70"/>
            </w:tcMar>
          </w:tcPr>
          <w:p>
            <w:pPr>
              <w:spacing w:after="0"/>
            </w:pPr>
            <w:r>
              <w:rPr>
                <w:sz w:val="17"/>
                <w:szCs w:val="17"/>
              </w:rPr>
              <w:t xml:space="preserve">73% / 27%</w:t>
            </w:r>
          </w:p>
        </w:tc>
        <w:tc>
          <w:tcPr>
            <w:tcW w:type="dxa" w:w="1900"/>
            <w:shd w:fill="F2F5F9" w:color="auto" w:val="clear"/>
            <w:tcMar>
              <w:top w:type="dxa" w:w="40"/>
              <w:left w:type="dxa" w:w="70"/>
              <w:bottom w:type="dxa" w:w="40"/>
              <w:right w:type="dxa" w:w="70"/>
            </w:tcMar>
          </w:tcPr>
          <w:p>
            <w:pPr>
              <w:spacing w:after="0"/>
            </w:pPr>
            <w:r>
              <w:rPr>
                <w:sz w:val="17"/>
                <w:szCs w:val="17"/>
              </w:rPr>
              <w:t xml:space="preserve">$2.40 → $1.36</w:t>
            </w:r>
          </w:p>
        </w:tc>
        <w:tc>
          <w:tcPr>
            <w:tcW w:type="dxa" w:w="1872"/>
            <w:shd w:fill="F2F5F9" w:color="auto" w:val="clear"/>
            <w:tcMar>
              <w:top w:type="dxa" w:w="40"/>
              <w:left w:type="dxa" w:w="70"/>
              <w:bottom w:type="dxa" w:w="40"/>
              <w:right w:type="dxa" w:w="70"/>
            </w:tcMar>
          </w:tcPr>
          <w:p>
            <w:pPr>
              <w:spacing w:after="0"/>
            </w:pPr>
            <w:r>
              <w:rPr>
                <w:sz w:val="17"/>
                <w:szCs w:val="17"/>
              </w:rPr>
              <w:t xml:space="preserve">$8.74 → $4.37</w:t>
            </w:r>
          </w:p>
        </w:tc>
      </w:tr>
    </w:tbl>
    <w:p>
      <w:pPr>
        <w:spacing w:after="40"/>
      </w:pPr>
    </w:p>
    <w:p>
      <w:pPr>
        <w:spacing w:after="100"/>
      </w:pPr>
      <w:r>
        <w:t xml:space="preserve">On four campaigns, the audit loads half of a base-and-boost change and holds the other half back, so the top-of-search price would rise 11–25% by accident. The two halves should load together or not at all.</w:t>
      </w:r>
    </w:p>
    <w:p>
      <w:pPr>
        <w:pStyle w:val="Heading1"/>
      </w:pPr>
      <w:r>
        <w:t xml:space="preserve">10. Campaign objectives</w:t>
      </w:r>
    </w:p>
    <w:p>
      <w:pPr>
        <w:spacing w:after="100"/>
      </w:pPr>
      <w:r>
        <w:t xml:space="preserve">The objective follows the targeting: exact generic terms = ranking, exact competitor-brand and colour terms = conversions, auto/broad/phrase = discovery (clearance campaigns keep their own), product targeting = conversions, and the brand term = defensive. The objective decides how a campaign is priced and judged. The audit gets it wrong in four ways:</w:t>
      </w:r>
    </w:p>
    <w:p>
      <w:pPr>
        <w:pStyle w:val="ListParagraph"/>
        <w:numPr>
          <w:ilvl w:val="0"/>
          <w:numId w:val="4"/>
        </w:numPr>
        <w:spacing w:after="60"/>
      </w:pPr>
      <w:r>
        <w:t xml:space="preserve">53 exact campaigns are tagged “conversions”. About 20 of them are right as they are: competitor brands (Malouf, Cozy House, Bedlifes, Bella, Doz, Tafts, Pure Bamboo), colour terms (Army Green, Moss Green, Olive Green, Taupe), Spanish-language terms and terms with no search volume. Nobody builds organic rank on another brand’s name. The other 33 are generic bamboo sheet terms and should be ranking, for example Cooling Bamboo Sheets King Size, Deep Pocket Bamboo Sheets King and Bamboo Viscose Sheets King; 13 of them are even named “(Ranking)”. The audit adds 19 more conversions tags, and each should be checked the same way.</w:t>
      </w:r>
    </w:p>
    <w:p>
      <w:pPr>
        <w:pStyle w:val="ListParagraph"/>
        <w:numPr>
          <w:ilvl w:val="0"/>
          <w:numId w:val="4"/>
        </w:numPr>
        <w:spacing w:after="60"/>
      </w:pPr>
      <w:r>
        <w:t xml:space="preserve">3 brand-term exact campaigns tagged ranking should be defensive: their job is to hold the brand shelf, not to climb.</w:t>
      </w:r>
    </w:p>
    <w:p>
      <w:pPr>
        <w:pStyle w:val="ListParagraph"/>
        <w:numPr>
          <w:ilvl w:val="0"/>
          <w:numId w:val="4"/>
        </w:numPr>
        <w:spacing w:after="60"/>
      </w:pPr>
      <w:r>
        <w:t xml:space="preserve">The broad “Cooling Sheets” campaign is tagged ranking and should be discovery: a broad campaign can’t own a term’s rank.</w:t>
      </w:r>
    </w:p>
    <w:p>
      <w:pPr>
        <w:pStyle w:val="ListParagraph"/>
        <w:numPr>
          <w:ilvl w:val="0"/>
          <w:numId w:val="4"/>
        </w:numPr>
        <w:spacing w:after="60"/>
      </w:pPr>
      <w:r>
        <w:t xml:space="preserve">Two product-targeting campaigns are tagged ranking and should be conversions.</w:t>
      </w:r>
    </w:p>
    <w:p>
      <w:pPr>
        <w:pStyle w:val="Heading1"/>
      </w:pPr>
      <w:r>
        <w:t xml:space="preserve">11. One owner per search term</w:t>
      </w:r>
    </w:p>
    <w:p>
      <w:pPr>
        <w:spacing w:after="100"/>
      </w:pPr>
      <w:r>
        <w:t xml:space="preserve">A ranking term earns rank credit only through the exact campaign that owns it. 26 ranking terms are also bought by broad or auto campaigns. The largest is the clearance broad campaign DBS6-SP-LTSF-ALL (advertising B4 Queen Olive). In 30 days it took 164 clicks on “bamboo sheets” ($409), plus clicks on most of the other ranking terms. Separately, 14 campaigns share an exact term with another active exact campaign.</w:t>
      </w:r>
    </w:p>
    <w:p>
      <w:pPr>
        <w:spacing w:after="100"/>
      </w:pPr>
      <w:r>
        <w:t xml:space="preserve">The audit misses this leak. Its exclusion change on DBS6-SP-LTSF-ALL adds four terms worth about $0.78 a week, and neither “bamboo sheets” nor “bamboo sheets king” is among them. The biggest leak on the product is left open.</w:t>
      </w:r>
    </w:p>
    <w:p>
      <w:pPr>
        <w:spacing w:after="100"/>
      </w:pPr>
      <w:r>
        <w:rPr>
          <w:b/>
          <w:bCs/>
          <w:color w:val="1F3A5F"/>
        </w:rPr>
        <w:t xml:space="preserve">Correction. </w:t>
      </w:r>
      <w:r>
        <w:t xml:space="preserve">Exclude every ranking term (negative exact) from the broad, auto and phrase campaigns that buy it, starting with the clearance broad. Keep one exact owner per term: the campaign on the ranking colour with the clicks. Pause the duplicate. Add “bamboo sheets” and “bamboo sheets king” to DBS6-SP-LTSF-ALL first. Check that the audit’s exclusion changes on the three clearance campaigns add the ranking terms rather than remove them, and send those three to the clearance owner.</w:t>
      </w:r>
    </w:p>
    <w:p>
      <w:pPr>
        <w:pStyle w:val="Heading1"/>
      </w:pPr>
      <w:r>
        <w:t xml:space="preserve">12. Conversions, discovery and product-targeting campaigns</w:t>
      </w:r>
    </w:p>
    <w:p>
      <w:pPr>
        <w:spacing w:after="100"/>
      </w:pPr>
      <w:r>
        <w:t xml:space="preserve">These are judged on their own results against the 27.9% break-even. The audit cuts the top-of-search boost by 10% on 36 of them regardless of their results, and misses the ones that are actually over break-even.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400"/>
        <w:gridCol w:w="1800"/>
        <w:gridCol w:w="1972"/>
      </w:tblGrid>
      <w:tr>
        <w:trPr>
          <w:tblHeader/>
        </w:trPr>
        <w:tc>
          <w:tcPr>
            <w:tcW w:type="dxa" w:w="33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Clicks / orders (30 days)</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ACoS 30 days (90 days)</w:t>
            </w:r>
          </w:p>
        </w:tc>
        <w:tc>
          <w:tcPr>
            <w:tcW w:type="dxa" w:w="1800"/>
            <w:shd w:fill="1F3A5F" w:color="auto" w:val="clear"/>
            <w:tcMar>
              <w:top w:type="dxa" w:w="40"/>
              <w:left w:type="dxa" w:w="70"/>
              <w:bottom w:type="dxa" w:w="40"/>
              <w:right w:type="dxa" w:w="70"/>
            </w:tcMar>
          </w:tcPr>
          <w:p>
            <w:pPr>
              <w:spacing w:after="0"/>
            </w:pPr>
            <w:r>
              <w:rPr>
                <w:b/>
                <w:bCs/>
                <w:color w:val="FFFFFF"/>
                <w:sz w:val="17"/>
                <w:szCs w:val="17"/>
              </w:rPr>
              <w:t xml:space="preserve">Audit</w:t>
            </w:r>
          </w:p>
        </w:tc>
        <w:tc>
          <w:tcPr>
            <w:tcW w:type="dxa" w:w="1972"/>
            <w:shd w:fill="1F3A5F" w:color="auto" w:val="clear"/>
            <w:tcMar>
              <w:top w:type="dxa" w:w="40"/>
              <w:left w:type="dxa" w:w="70"/>
              <w:bottom w:type="dxa" w:w="40"/>
              <w:right w:type="dxa" w:w="70"/>
            </w:tcMar>
          </w:tcPr>
          <w:p>
            <w:pPr>
              <w:spacing w:after="0"/>
            </w:pPr>
            <w:r>
              <w:rPr>
                <w:b/>
                <w:bCs/>
                <w:color w:val="FFFFFF"/>
                <w:sz w:val="17"/>
                <w:szCs w:val="17"/>
              </w:rPr>
              <w:t xml:space="preserve">Correct</w:t>
            </w:r>
          </w:p>
        </w:tc>
      </w:tr>
      <w:tr>
        <w:tc>
          <w:tcPr>
            <w:tcW w:type="dxa" w:w="3300"/>
            <w:shd w:fill="FFFFFF" w:color="auto" w:val="clear"/>
            <w:tcMar>
              <w:top w:type="dxa" w:w="40"/>
              <w:left w:type="dxa" w:w="70"/>
              <w:bottom w:type="dxa" w:w="40"/>
              <w:right w:type="dxa" w:w="70"/>
            </w:tcMar>
          </w:tcPr>
          <w:p>
            <w:pPr>
              <w:spacing w:after="0"/>
            </w:pPr>
            <w:r>
              <w:rPr>
                <w:sz w:val="17"/>
                <w:szCs w:val="17"/>
              </w:rPr>
              <w:t xml:space="preserve">Product targeting B08KQHRDDG</w:t>
            </w:r>
          </w:p>
        </w:tc>
        <w:tc>
          <w:tcPr>
            <w:tcW w:type="dxa" w:w="1500"/>
            <w:shd w:fill="FFFFFF" w:color="auto" w:val="clear"/>
            <w:tcMar>
              <w:top w:type="dxa" w:w="40"/>
              <w:left w:type="dxa" w:w="70"/>
              <w:bottom w:type="dxa" w:w="40"/>
              <w:right w:type="dxa" w:w="70"/>
            </w:tcMar>
          </w:tcPr>
          <w:p>
            <w:pPr>
              <w:spacing w:after="0"/>
            </w:pPr>
            <w:r>
              <w:rPr>
                <w:sz w:val="17"/>
                <w:szCs w:val="17"/>
              </w:rPr>
              <w:t xml:space="preserve">477 / 120</w:t>
            </w:r>
          </w:p>
        </w:tc>
        <w:tc>
          <w:tcPr>
            <w:tcW w:type="dxa" w:w="1400"/>
            <w:shd w:fill="FFFFFF" w:color="auto" w:val="clear"/>
            <w:tcMar>
              <w:top w:type="dxa" w:w="40"/>
              <w:left w:type="dxa" w:w="70"/>
              <w:bottom w:type="dxa" w:w="40"/>
              <w:right w:type="dxa" w:w="70"/>
            </w:tcMar>
          </w:tcPr>
          <w:p>
            <w:pPr>
              <w:spacing w:after="0"/>
            </w:pPr>
            <w:r>
              <w:rPr>
                <w:sz w:val="17"/>
                <w:szCs w:val="17"/>
              </w:rPr>
              <w:t xml:space="preserve">10% (10%)</w:t>
            </w:r>
          </w:p>
        </w:tc>
        <w:tc>
          <w:tcPr>
            <w:tcW w:type="dxa" w:w="1800"/>
            <w:shd w:fill="FFFFFF" w:color="auto" w:val="clear"/>
            <w:tcMar>
              <w:top w:type="dxa" w:w="40"/>
              <w:left w:type="dxa" w:w="70"/>
              <w:bottom w:type="dxa" w:w="40"/>
              <w:right w:type="dxa" w:w="70"/>
            </w:tcMar>
          </w:tcPr>
          <w:p>
            <w:pPr>
              <w:spacing w:after="0"/>
            </w:pPr>
            <w:r>
              <w:rPr>
                <w:sz w:val="17"/>
                <w:szCs w:val="17"/>
              </w:rPr>
              <w:t xml:space="preserve">boost 32% → 29%</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it is the most profitable campaign on the product</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“Bamboo Sheets”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115 / 7</w:t>
            </w:r>
          </w:p>
        </w:tc>
        <w:tc>
          <w:tcPr>
            <w:tcW w:type="dxa" w:w="1400"/>
            <w:shd w:fill="F2F5F9" w:color="auto" w:val="clear"/>
            <w:tcMar>
              <w:top w:type="dxa" w:w="40"/>
              <w:left w:type="dxa" w:w="70"/>
              <w:bottom w:type="dxa" w:w="40"/>
              <w:right w:type="dxa" w:w="70"/>
            </w:tcMar>
          </w:tcPr>
          <w:p>
            <w:pPr>
              <w:spacing w:after="0"/>
            </w:pPr>
            <w:r>
              <w:rPr>
                <w:sz w:val="17"/>
                <w:szCs w:val="17"/>
              </w:rPr>
              <w:t xml:space="preserve">35% (27%)</w:t>
            </w:r>
          </w:p>
        </w:tc>
        <w:tc>
          <w:tcPr>
            <w:tcW w:type="dxa" w:w="1800"/>
            <w:shd w:fill="F2F5F9" w:color="auto" w:val="clear"/>
            <w:tcMar>
              <w:top w:type="dxa" w:w="40"/>
              <w:left w:type="dxa" w:w="70"/>
              <w:bottom w:type="dxa" w:w="40"/>
              <w:right w:type="dxa" w:w="70"/>
            </w:tcMar>
          </w:tcPr>
          <w:p>
            <w:pPr>
              <w:spacing w:after="0"/>
            </w:pPr>
            <w:r>
              <w:rPr>
                <w:sz w:val="17"/>
                <w:szCs w:val="17"/>
              </w:rPr>
              <w:t xml:space="preserve">boost 38% → 34%</w:t>
            </w:r>
          </w:p>
        </w:tc>
        <w:tc>
          <w:tcPr>
            <w:tcW w:type="dxa" w:w="1972"/>
            <w:shd w:fill="F2F5F9" w:color="auto" w:val="clear"/>
            <w:tcMar>
              <w:top w:type="dxa" w:w="40"/>
              <w:left w:type="dxa" w:w="70"/>
              <w:bottom w:type="dxa" w:w="40"/>
              <w:right w:type="dxa" w:w="70"/>
            </w:tcMar>
          </w:tcPr>
          <w:p>
            <w:pPr>
              <w:spacing w:after="0"/>
            </w:pPr>
            <w:r>
              <w:rPr>
                <w:sz w:val="17"/>
                <w:szCs w:val="17"/>
              </w:rPr>
              <w:t xml:space="preserve">Over break-even: base down 25% (break-even $1.09 a click)</w:t>
            </w:r>
          </w:p>
        </w:tc>
      </w:tr>
      <w:tr>
        <w:tc>
          <w:tcPr>
            <w:tcW w:type="dxa" w:w="3300"/>
            <w:shd w:fill="FFFFFF" w:color="auto" w:val="clear"/>
            <w:tcMar>
              <w:top w:type="dxa" w:w="40"/>
              <w:left w:type="dxa" w:w="70"/>
              <w:bottom w:type="dxa" w:w="40"/>
              <w:right w:type="dxa" w:w="70"/>
            </w:tcMar>
          </w:tcPr>
          <w:p>
            <w:pPr>
              <w:spacing w:after="0"/>
            </w:pPr>
            <w:r>
              <w:rPr>
                <w:sz w:val="17"/>
                <w:szCs w:val="17"/>
              </w:rPr>
              <w:t xml:space="preserve">Broad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274 / 30</w:t>
            </w:r>
          </w:p>
        </w:tc>
        <w:tc>
          <w:tcPr>
            <w:tcW w:type="dxa" w:w="1400"/>
            <w:shd w:fill="FFFFFF" w:color="auto" w:val="clear"/>
            <w:tcMar>
              <w:top w:type="dxa" w:w="40"/>
              <w:left w:type="dxa" w:w="70"/>
              <w:bottom w:type="dxa" w:w="40"/>
              <w:right w:type="dxa" w:w="70"/>
            </w:tcMar>
          </w:tcPr>
          <w:p>
            <w:pPr>
              <w:spacing w:after="0"/>
            </w:pPr>
            <w:r>
              <w:rPr>
                <w:sz w:val="17"/>
                <w:szCs w:val="17"/>
              </w:rPr>
              <w:t xml:space="preserve">34% (32%)</w:t>
            </w:r>
          </w:p>
        </w:tc>
        <w:tc>
          <w:tcPr>
            <w:tcW w:type="dxa" w:w="1800"/>
            <w:shd w:fill="FFFFFF" w:color="auto" w:val="clear"/>
            <w:tcMar>
              <w:top w:type="dxa" w:w="40"/>
              <w:left w:type="dxa" w:w="70"/>
              <w:bottom w:type="dxa" w:w="40"/>
              <w:right w:type="dxa" w:w="70"/>
            </w:tcMar>
          </w:tcPr>
          <w:p>
            <w:pPr>
              <w:spacing w:after="0"/>
            </w:pPr>
            <w:r>
              <w:rPr>
                <w:sz w:val="17"/>
                <w:szCs w:val="17"/>
              </w:rPr>
              <w:t xml:space="preserve">exclusions only</w:t>
            </w:r>
          </w:p>
        </w:tc>
        <w:tc>
          <w:tcPr>
            <w:tcW w:type="dxa" w:w="1972"/>
            <w:shd w:fill="FFFFFF" w:color="auto" w:val="clear"/>
            <w:tcMar>
              <w:top w:type="dxa" w:w="40"/>
              <w:left w:type="dxa" w:w="70"/>
              <w:bottom w:type="dxa" w:w="40"/>
              <w:right w:type="dxa" w:w="70"/>
            </w:tcMar>
          </w:tcPr>
          <w:p>
            <w:pPr>
              <w:spacing w:after="0"/>
            </w:pPr>
            <w:r>
              <w:rPr>
                <w:sz w:val="17"/>
                <w:szCs w:val="17"/>
              </w:rPr>
              <w:t xml:space="preserve">Over break-even: base down 25%; re-tag as discovery</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“King Sheets Bamboo”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83 / 6</w:t>
            </w:r>
          </w:p>
        </w:tc>
        <w:tc>
          <w:tcPr>
            <w:tcW w:type="dxa" w:w="1400"/>
            <w:shd w:fill="F2F5F9" w:color="auto" w:val="clear"/>
            <w:tcMar>
              <w:top w:type="dxa" w:w="40"/>
              <w:left w:type="dxa" w:w="70"/>
              <w:bottom w:type="dxa" w:w="40"/>
              <w:right w:type="dxa" w:w="70"/>
            </w:tcMar>
          </w:tcPr>
          <w:p>
            <w:pPr>
              <w:spacing w:after="0"/>
            </w:pPr>
            <w:r>
              <w:rPr>
                <w:sz w:val="17"/>
                <w:szCs w:val="17"/>
              </w:rPr>
              <w:t xml:space="preserve">28% (34%)</w:t>
            </w:r>
          </w:p>
        </w:tc>
        <w:tc>
          <w:tcPr>
            <w:tcW w:type="dxa" w:w="1800"/>
            <w:shd w:fill="F2F5F9" w:color="auto" w:val="clear"/>
            <w:tcMar>
              <w:top w:type="dxa" w:w="40"/>
              <w:left w:type="dxa" w:w="70"/>
              <w:bottom w:type="dxa" w:w="40"/>
              <w:right w:type="dxa" w:w="70"/>
            </w:tcMar>
          </w:tcPr>
          <w:p>
            <w:pPr>
              <w:spacing w:after="0"/>
            </w:pPr>
            <w:r>
              <w:rPr>
                <w:sz w:val="17"/>
                <w:szCs w:val="17"/>
              </w:rPr>
              <w:t xml:space="preserve">bids −10%</w:t>
            </w:r>
          </w:p>
        </w:tc>
        <w:tc>
          <w:tcPr>
            <w:tcW w:type="dxa" w:w="1972"/>
            <w:shd w:fill="F2F5F9" w:color="auto" w:val="clear"/>
            <w:tcMar>
              <w:top w:type="dxa" w:w="40"/>
              <w:left w:type="dxa" w:w="70"/>
              <w:bottom w:type="dxa" w:w="40"/>
              <w:right w:type="dxa" w:w="70"/>
            </w:tcMar>
          </w:tcPr>
          <w:p>
            <w:pPr>
              <w:spacing w:after="0"/>
            </w:pPr>
            <w:r>
              <w:rPr>
                <w:sz w:val="17"/>
                <w:szCs w:val="17"/>
              </w:rPr>
              <w:t xml:space="preserve">No change: inside break-even on 30 days</w:t>
            </w:r>
          </w:p>
        </w:tc>
      </w:tr>
      <w:tr>
        <w:tc>
          <w:tcPr>
            <w:tcW w:type="dxa" w:w="3300"/>
            <w:shd w:fill="FFFFFF" w:color="auto" w:val="clear"/>
            <w:tcMar>
              <w:top w:type="dxa" w:w="40"/>
              <w:left w:type="dxa" w:w="70"/>
              <w:bottom w:type="dxa" w:w="40"/>
              <w:right w:type="dxa" w:w="70"/>
            </w:tcMar>
          </w:tcPr>
          <w:p>
            <w:pPr>
              <w:spacing w:after="0"/>
            </w:pPr>
            <w:r>
              <w:rPr>
                <w:sz w:val="17"/>
                <w:szCs w:val="17"/>
              </w:rPr>
              <w:t xml:space="preserve">23 campaigns with under 15 clicks in 90 days</w:t>
            </w:r>
          </w:p>
        </w:tc>
        <w:tc>
          <w:tcPr>
            <w:tcW w:type="dxa" w:w="1500"/>
            <w:shd w:fill="FFFFFF" w:color="auto" w:val="clear"/>
            <w:tcMar>
              <w:top w:type="dxa" w:w="40"/>
              <w:left w:type="dxa" w:w="70"/>
              <w:bottom w:type="dxa" w:w="40"/>
              <w:right w:type="dxa" w:w="70"/>
            </w:tcMar>
          </w:tcPr>
          <w:p>
            <w:pPr>
              <w:spacing w:after="0"/>
            </w:pPr>
            <w:r>
              <w:rPr>
                <w:sz w:val="17"/>
                <w:szCs w:val="17"/>
              </w:rPr>
              <w:t xml:space="preserve">—</w:t>
            </w:r>
          </w:p>
        </w:tc>
        <w:tc>
          <w:tcPr>
            <w:tcW w:type="dxa" w:w="1400"/>
            <w:shd w:fill="FFFFFF" w:color="auto" w:val="clear"/>
            <w:tcMar>
              <w:top w:type="dxa" w:w="40"/>
              <w:left w:type="dxa" w:w="70"/>
              <w:bottom w:type="dxa" w:w="40"/>
              <w:right w:type="dxa" w:w="70"/>
            </w:tcMar>
          </w:tcPr>
          <w:p>
            <w:pPr>
              <w:spacing w:after="0"/>
            </w:pPr>
            <w:r>
              <w:rPr>
                <w:sz w:val="17"/>
                <w:szCs w:val="17"/>
              </w:rPr>
              <w:t xml:space="preserve">—</w:t>
            </w:r>
          </w:p>
        </w:tc>
        <w:tc>
          <w:tcPr>
            <w:tcW w:type="dxa" w:w="1800"/>
            <w:shd w:fill="FFFFFF" w:color="auto" w:val="clear"/>
            <w:tcMar>
              <w:top w:type="dxa" w:w="40"/>
              <w:left w:type="dxa" w:w="70"/>
              <w:bottom w:type="dxa" w:w="40"/>
              <w:right w:type="dxa" w:w="70"/>
            </w:tcMar>
          </w:tcPr>
          <w:p>
            <w:pPr>
              <w:spacing w:after="0"/>
            </w:pPr>
            <w:r>
              <w:rPr>
                <w:sz w:val="17"/>
                <w:szCs w:val="17"/>
              </w:rPr>
              <w:t xml:space="preserve">boost −10% each</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too little data to judge</w:t>
            </w:r>
          </w:p>
        </w:tc>
      </w:tr>
    </w:tbl>
    <w:p>
      <w:pPr>
        <w:spacing w:after="40"/>
      </w:pPr>
    </w:p>
    <w:p>
      <w:pPr>
        <w:spacing w:after="100"/>
      </w:pPr>
      <w:r>
        <w:t xml:space="preserve">The audit also uses two break-even figures (33.3% and 34.4%). Both are above the real 27.9%.</w:t>
      </w:r>
    </w:p>
    <w:p>
      <w:pPr>
        <w:pStyle w:val="Heading1"/>
      </w:pPr>
      <w:r>
        <w:t xml:space="preserve">13. Required clicks and the forecast</w:t>
      </w:r>
    </w:p>
    <w:p>
      <w:pPr>
        <w:spacing w:after="100"/>
      </w:pPr>
      <w:r>
        <w:t xml:space="preserve">Required top-of-search clicks = what the market sells at the target rank ÷ the campaign’s conversion rate. They set each push’s volume and budget, never its price. Two corrections:</w:t>
      </w:r>
    </w:p>
    <w:p>
      <w:pPr>
        <w:pStyle w:val="ListParagraph"/>
        <w:numPr>
          <w:ilvl w:val="0"/>
          <w:numId w:val="4"/>
        </w:numPr>
        <w:spacing w:after="60"/>
      </w:pPr>
      <w:r>
        <w:rPr>
          <w:b/>
          <w:bCs/>
        </w:rPr>
        <w:t xml:space="preserve">Count only units the term doesn’t already sell, and check the total against the product. </w:t>
      </w:r>
      <w:r>
        <w:t xml:space="preserve">This product’s terms add up to 142 units a day against 72 actually sold, so every requirement is scaled down by half.</w:t>
      </w:r>
    </w:p>
    <w:p>
      <w:pPr>
        <w:pStyle w:val="ListParagraph"/>
        <w:numPr>
          <w:ilvl w:val="0"/>
          <w:numId w:val="4"/>
        </w:numPr>
        <w:spacing w:after="60"/>
      </w:pPr>
      <w:r>
        <w:rPr>
          <w:b/>
          <w:bCs/>
        </w:rPr>
        <w:t xml:space="preserve">Check the auction can supply the clicks. </w:t>
      </w:r>
      <w:r>
        <w:t xml:space="preserve">Where winning every auction at today’s volume still falls short, the requirement is above what the auction holds. Judge those campaigns on impression share and rank, not on a click count; 28 campaigns are in this position. The audit often uses a flat 40 clicks a week per campaign instead.</w:t>
      </w:r>
    </w:p>
    <w:p>
      <w:pPr>
        <w:spacing w:after="100"/>
      </w:pPr>
      <w:r>
        <w:t xml:space="preserve">The audit’s forecast promises top-of-search clicks on the changed campaigns going from 19.8 to 221.9 a week, which fails both checks:</w:t>
      </w:r>
    </w:p>
    <w:p>
      <w:pPr>
        <w:pStyle w:val="ListParagraph"/>
        <w:numPr>
          <w:ilvl w:val="0"/>
          <w:numId w:val="4"/>
        </w:numPr>
        <w:spacing w:after="60"/>
      </w:pPr>
      <w:r>
        <w:t xml:space="preserve">91 of the extra clicks come from three campaigns priced above their own budgets, including one with no top-of-search showings in 90 days.</w:t>
      </w:r>
    </w:p>
    <w:p>
      <w:pPr>
        <w:pStyle w:val="ListParagraph"/>
        <w:numPr>
          <w:ilvl w:val="0"/>
          <w:numId w:val="4"/>
        </w:numPr>
        <w:spacing w:after="60"/>
      </w:pPr>
      <w:r>
        <w:t xml:space="preserve">90 come from six campaigns expected to go from almost nothing to 15 clicks a week each.</w:t>
      </w:r>
    </w:p>
    <w:p>
      <w:pPr>
        <w:pStyle w:val="ListParagraph"/>
        <w:numPr>
          <w:ilvl w:val="0"/>
          <w:numId w:val="4"/>
        </w:numPr>
        <w:spacing w:after="60"/>
      </w:pPr>
      <w:r>
        <w:t xml:space="preserve">Only about 16 come from the focus terms.</w:t>
      </w:r>
    </w:p>
    <w:p>
      <w:pPr>
        <w:spacing w:after="100"/>
      </w:pPr>
      <w:r>
        <w:t xml:space="preserve">About 20–30 extra a week is realistic from the audit’s own changes. Its spend baseline is 14 deal days, so it also overstates normal-week spend and sales. Rebuild the forecast on the corrected push and the pre-deal baseline.</w:t>
      </w:r>
    </w:p>
    <w:p>
      <w:pPr>
        <w:pStyle w:val="Heading1"/>
      </w:pPr>
      <w:r>
        <w:t xml:space="preserve">14. Rank drops</w:t>
      </w:r>
    </w:p>
    <w:p>
      <w:pPr>
        <w:spacing w:after="100"/>
      </w:pPr>
      <w:r>
        <w:t xml:space="preserve">A keyword that falls more than 10 positions while still getting clicks has a cause other than price. Never answer it with more spend: check our listing first, then the competitor now ahead, then whether the drop is category-wide. The audit freezes seven campaigns that fell 31–87 positions but names no causes. Several are already visible:</w:t>
      </w:r>
    </w:p>
    <w:p>
      <w:pPr>
        <w:pStyle w:val="ListParagraph"/>
        <w:numPr>
          <w:ilvl w:val="0"/>
          <w:numId w:val="4"/>
        </w:numPr>
        <w:spacing w:after="60"/>
      </w:pPr>
      <w:r>
        <w:t xml:space="preserve">“bamboo sheets twin” (21 → 52): Twin White is at 0 Available. Move the ad to Navy Blue, not the Burgundy the audit picks.</w:t>
      </w:r>
    </w:p>
    <w:p>
      <w:pPr>
        <w:pStyle w:val="ListParagraph"/>
        <w:numPr>
          <w:ilvl w:val="0"/>
          <w:numId w:val="4"/>
        </w:numPr>
        <w:spacing w:after="60"/>
      </w:pPr>
      <w:r>
        <w:t xml:space="preserve">Two cooling Full-size keywords (about 47 → 130): Full White is out of stock too. Move them to Full Olive.</w:t>
      </w:r>
    </w:p>
    <w:p>
      <w:pPr>
        <w:pStyle w:val="ListParagraph"/>
        <w:numPr>
          <w:ilvl w:val="0"/>
          <w:numId w:val="4"/>
        </w:numPr>
        <w:spacing w:after="60"/>
      </w:pPr>
      <w:r>
        <w:t xml:space="preserve">“bamboo sheets king size” (19 → 35 in a week): only 7% of its clicks in the last 14 days were at top of search. Fix the mix before any push (Section 6).</w:t>
      </w:r>
    </w:p>
    <w:p>
      <w:pPr>
        <w:spacing w:after="100"/>
      </w:pPr>
      <w:r>
        <w:t xml:space="preserve">Several focus keywords also fell more than 10 places with no cause named: “bamboo sheets california king” (4 → 16), “bamboo cooling sheets queen” (23 → 52) and “bamboo sheets cal king” (23 → 39). Find each cause before any price moves.</w:t>
      </w:r>
    </w:p>
    <w:p>
      <w:pPr>
        <w:pStyle w:val="Heading1"/>
      </w:pPr>
      <w:r>
        <w:t xml:space="preserve">15. Changes that shouldn’t load as written</w:t>
      </w:r>
    </w:p>
    <w:p>
      <w:pPr>
        <w:pStyle w:val="ListParagraph"/>
        <w:numPr>
          <w:ilvl w:val="0"/>
          <w:numId w:val="4"/>
        </w:numPr>
        <w:spacing w:after="60"/>
      </w:pPr>
      <w:r>
        <w:rPr>
          <w:b/>
          <w:bCs/>
        </w:rPr>
        <w:t xml:space="preserve">About 40 changes the engine itself marked “don’t change” </w:t>
      </w:r>
      <w:r>
        <w:t xml:space="preserve">but still exported, for example the six bid cuts on product-targeting campaign B0CH885XPG. The audit’s own review passed almost all of them.</w:t>
      </w:r>
    </w:p>
    <w:p>
      <w:pPr>
        <w:pStyle w:val="ListParagraph"/>
        <w:numPr>
          <w:ilvl w:val="0"/>
          <w:numId w:val="4"/>
        </w:numPr>
        <w:spacing w:after="60"/>
      </w:pPr>
      <w:r>
        <w:rPr>
          <w:b/>
          <w:bCs/>
        </w:rPr>
        <w:t xml:space="preserve">17 changes on campaigns that are already paused, and 11 exact duplicates. </w:t>
      </w:r>
      <w:r>
        <w:t xml:space="preserve">The forecast counts their savings twice.</w:t>
      </w:r>
    </w:p>
    <w:p>
      <w:pPr>
        <w:pStyle w:val="ListParagraph"/>
        <w:numPr>
          <w:ilvl w:val="0"/>
          <w:numId w:val="4"/>
        </w:numPr>
        <w:spacing w:after="60"/>
      </w:pPr>
      <w:r>
        <w:rPr>
          <w:b/>
          <w:bCs/>
        </w:rPr>
        <w:t xml:space="preserve">Budget increases blocked by an engine error </w:t>
      </w:r>
      <w:r>
        <w:t xml:space="preserve">(they carry no forecast) while the matching price change went through. Budgets should follow the required clicks at the new price.</w:t>
      </w:r>
    </w:p>
    <w:p>
      <w:pPr>
        <w:pStyle w:val="ListParagraph"/>
        <w:numPr>
          <w:ilvl w:val="0"/>
          <w:numId w:val="4"/>
        </w:numPr>
        <w:spacing w:after="60"/>
      </w:pPr>
      <w:r>
        <w:rPr>
          <w:b/>
          <w:bCs/>
        </w:rPr>
        <w:t xml:space="preserve">21 changes on 14 campaigns missing from the audit’s own campaign list. </w:t>
      </w:r>
      <w:r>
        <w:t xml:space="preserve">Hold every raise on them until each campaign’s status, colour and keywords are confirmed; the cuts can stand.</w:t>
      </w:r>
    </w:p>
    <w:p>
      <w:pPr>
        <w:pStyle w:val="ListParagraph"/>
        <w:numPr>
          <w:ilvl w:val="0"/>
          <w:numId w:val="4"/>
        </w:numPr>
        <w:spacing w:after="60"/>
      </w:pPr>
      <w:r>
        <w:rPr>
          <w:b/>
          <w:bCs/>
        </w:rPr>
        <w:t xml:space="preserve">All 64 colour switches are skipped by the upload tool, </w:t>
      </w:r>
      <w:r>
        <w:t xml:space="preserve">so they have to be made by hand (Section 7).</w:t>
      </w:r>
    </w:p>
    <w:p>
      <w:pPr>
        <w:pStyle w:val="ListParagraph"/>
        <w:numPr>
          <w:ilvl w:val="0"/>
          <w:numId w:val="4"/>
        </w:numPr>
        <w:spacing w:after="60"/>
      </w:pPr>
      <w:r>
        <w:rPr>
          <w:b/>
          <w:bCs/>
        </w:rPr>
        <w:t xml:space="preserve">The engine’s two failed checks: </w:t>
      </w:r>
      <w:r>
        <w:t xml:space="preserve">the King check fails because 26 King campaigns stay on White with no swap to Creme, and White is the right colour (Section 6); and the video test beside a brand test on the same keyword group should be held.</w:t>
      </w:r>
    </w:p>
    <w:p>
      <w:pPr>
        <w:spacing w:after="100"/>
      </w:pPr>
      <w:r>
        <w:t xml:space="preserve">Every campaign’s corrected decision is in the campaign register.</w:t>
      </w:r>
    </w:p>
    <w:p>
      <w:pPr>
        <w:pStyle w:val="Heading1"/>
      </w:pPr>
      <w:r>
        <w:t xml:space="preserve">16. Next steps</w:t>
      </w:r>
    </w:p>
    <w:p>
      <w:pPr>
        <w:pStyle w:val="ListParagraph"/>
        <w:numPr>
          <w:ilvl w:val="0"/>
          <w:numId w:val="5"/>
        </w:numPr>
        <w:spacing w:after="60"/>
      </w:pPr>
      <w:r>
        <w:t xml:space="preserve">By 30 September: agree the goals and decide on “bamboo sheets”.</w:t>
      </w:r>
    </w:p>
    <w:p>
      <w:pPr>
        <w:pStyle w:val="ListParagraph"/>
        <w:numPr>
          <w:ilvl w:val="0"/>
          <w:numId w:val="5"/>
        </w:numPr>
        <w:spacing w:after="60"/>
      </w:pPr>
      <w:r>
        <w:t xml:space="preserve">29 September (Day 1): bring spend inside the limit, and write the push prices and budgets. Make the colour switches by hand. Re-enable “bamboo cooling sheets king size” in its original campaign, and switch the other non-serving focus campaigns to fixed bidding. Check “bamboo sheets” rank daily.</w:t>
      </w:r>
    </w:p>
    <w:p>
      <w:pPr>
        <w:pStyle w:val="ListParagraph"/>
        <w:numPr>
          <w:ilvl w:val="0"/>
          <w:numId w:val="5"/>
        </w:numPr>
        <w:spacing w:after="60"/>
      </w:pPr>
      <w:r>
        <w:t xml:space="preserve">This week: exclude ranking terms from broad, auto and clearance campaigns; pause duplicate exact campaigns; fix product-page leaks and objective tags; correct the conversions campaigns over break-even.</w:t>
      </w:r>
    </w:p>
    <w:p>
      <w:pPr>
        <w:pStyle w:val="ListParagraph"/>
        <w:numPr>
          <w:ilvl w:val="0"/>
          <w:numId w:val="5"/>
        </w:numPr>
        <w:spacing w:after="60"/>
      </w:pPr>
      <w:r>
        <w:t xml:space="preserve">Daily until 5 October: watch spend, orders, top-of-search share, head-term rank and White stock. Judge nothing on deal data.</w:t>
      </w:r>
    </w:p>
    <w:p>
      <w:pPr>
        <w:pStyle w:val="ListParagraph"/>
        <w:numPr>
          <w:ilvl w:val="0"/>
          <w:numId w:val="5"/>
        </w:numPr>
        <w:spacing w:after="60"/>
      </w:pPr>
      <w:r>
        <w:t xml:space="preserve">Every Monday: TACoS against its goal and spend against the limit.</w:t>
      </w:r>
    </w:p>
    <w:p>
      <w:pPr>
        <w:pStyle w:val="ListParagraph"/>
        <w:numPr>
          <w:ilvl w:val="0"/>
          <w:numId w:val="5"/>
        </w:numPr>
        <w:spacing w:after="60"/>
      </w:pPr>
      <w:r>
        <w:t xml:space="preserve">6–12 October: first clean read, second price steps, next push steps where rank moved, and the King White checkpoint.</w:t>
      </w:r>
    </w:p>
    <w:p>
      <w:pPr>
        <w:pStyle w:val="ListParagraph"/>
        <w:numPr>
          <w:ilvl w:val="0"/>
          <w:numId w:val="5"/>
        </w:numPr>
        <w:spacing w:after="60"/>
      </w:pPr>
      <w:r>
        <w:t xml:space="preserve">At least three weeks before each event: its push sized, owned, funded and stock-checked. Switch ads back to White as stock lands (16 and 27 October). Run the push into Black Friday / Cyber Monday from early November.</w:t>
      </w:r>
    </w:p>
    <w:p>
      <w:pPr>
        <w:pStyle w:val="Heading1"/>
      </w:pPr>
      <w:r>
        <w:t xml:space="preserve">Appendix: fixes for the engine</w:t>
      </w:r>
    </w:p>
    <w:p>
      <w:pPr>
        <w:pStyle w:val="ListParagraph"/>
        <w:numPr>
          <w:ilvl w:val="0"/>
          <w:numId w:val="4"/>
        </w:numPr>
        <w:spacing w:after="60"/>
      </w:pPr>
      <w:r>
        <w:t xml:space="preserve">It sets no spend target, TACoS goal or product goal, and it sizes pushes against a 25% TACoS ceiling.</w:t>
      </w:r>
    </w:p>
    <w:p>
      <w:pPr>
        <w:pStyle w:val="ListParagraph"/>
        <w:numPr>
          <w:ilvl w:val="0"/>
          <w:numId w:val="4"/>
        </w:numPr>
        <w:spacing w:after="60"/>
      </w:pPr>
      <w:r>
        <w:t xml:space="preserve">It has no transition step when a deal ends and no link to upcoming events.</w:t>
      </w:r>
    </w:p>
    <w:p>
      <w:pPr>
        <w:pStyle w:val="ListParagraph"/>
        <w:numPr>
          <w:ilvl w:val="0"/>
          <w:numId w:val="4"/>
        </w:numPr>
        <w:spacing w:after="60"/>
      </w:pPr>
      <w:r>
        <w:t xml:space="preserve">It prices on list-price profit ($24.49) instead of real margin from Sellerboard, and uses two break-even figures.</w:t>
      </w:r>
    </w:p>
    <w:p>
      <w:pPr>
        <w:pStyle w:val="ListParagraph"/>
        <w:numPr>
          <w:ilvl w:val="0"/>
          <w:numId w:val="4"/>
        </w:numPr>
        <w:spacing w:after="60"/>
      </w:pPr>
      <w:r>
        <w:t xml:space="preserve">Its push raises skip the rank-gap size and the 30% step limit (the “dose” rule), and it pushes terms that fail on conversion or stock.</w:t>
      </w:r>
    </w:p>
    <w:p>
      <w:pPr>
        <w:pStyle w:val="ListParagraph"/>
        <w:numPr>
          <w:ilvl w:val="0"/>
          <w:numId w:val="4"/>
        </w:numPr>
        <w:spacing w:after="60"/>
      </w:pPr>
      <w:r>
        <w:t xml:space="preserve">It chooses colours by units on hand instead of sales, and judges stock on total rather than Available units.</w:t>
      </w:r>
    </w:p>
    <w:p>
      <w:pPr>
        <w:pStyle w:val="ListParagraph"/>
        <w:numPr>
          <w:ilvl w:val="0"/>
          <w:numId w:val="4"/>
        </w:numPr>
        <w:spacing w:after="60"/>
      </w:pPr>
      <w:r>
        <w:t xml:space="preserve">It leaves campaigns in the wrong objective.</w:t>
      </w:r>
    </w:p>
    <w:p>
      <w:pPr>
        <w:pStyle w:val="ListParagraph"/>
        <w:numPr>
          <w:ilvl w:val="0"/>
          <w:numId w:val="4"/>
        </w:numPr>
        <w:spacing w:after="60"/>
      </w:pPr>
      <w:r>
        <w:t xml:space="preserve">It exports changes it has marked “don’t change”, changes on paused campaigns, and duplicates.</w:t>
      </w:r>
    </w:p>
    <w:p>
      <w:pPr>
        <w:pStyle w:val="ListParagraph"/>
        <w:numPr>
          <w:ilvl w:val="0"/>
          <w:numId w:val="4"/>
        </w:numPr>
        <w:spacing w:after="60"/>
      </w:pPr>
      <w:r>
        <w:t xml:space="preserve">It blocks budget changes by mistake while the price change goes live.</w:t>
      </w:r>
    </w:p>
    <w:p>
      <w:pPr>
        <w:pStyle w:val="ListParagraph"/>
        <w:numPr>
          <w:ilvl w:val="0"/>
          <w:numId w:val="4"/>
        </w:numPr>
        <w:spacing w:after="60"/>
      </w:pPr>
      <w:r>
        <w:t xml:space="preserve">It loads the two halves of a base-and-boost change separately.</w:t>
      </w:r>
    </w:p>
    <w:p>
      <w:pPr>
        <w:pStyle w:val="ListParagraph"/>
        <w:numPr>
          <w:ilvl w:val="0"/>
          <w:numId w:val="4"/>
        </w:numPr>
        <w:spacing w:after="60"/>
      </w:pPr>
      <w:r>
        <w:t xml:space="preserve">Its notes sometimes contradict the change it writes.</w:t>
      </w:r>
    </w:p>
    <w:p>
      <w:pPr>
        <w:pStyle w:val="ListParagraph"/>
        <w:numPr>
          <w:ilvl w:val="0"/>
          <w:numId w:val="4"/>
        </w:numPr>
        <w:spacing w:after="60"/>
      </w:pPr>
      <w:r>
        <w:t xml:space="preserve">It forecasts clicks a budget can’t buy, and clicks for campaigns that aren’t running.</w:t>
      </w:r>
    </w:p>
    <w:p>
      <w:pPr>
        <w:pStyle w:val="ListParagraph"/>
        <w:numPr>
          <w:ilvl w:val="0"/>
          <w:numId w:val="4"/>
        </w:numPr>
        <w:spacing w:after="60"/>
      </w:pPr>
      <w:r>
        <w:t xml:space="preserve">It holds decisions “for a human” without asking anyone.</w:t>
      </w:r>
    </w:p>
    <w:p>
      <w:pPr>
        <w:pStyle w:val="ListParagraph"/>
        <w:numPr>
          <w:ilvl w:val="0"/>
          <w:numId w:val="4"/>
        </w:numPr>
        <w:spacing w:after="60"/>
      </w:pPr>
      <w:r>
        <w:t xml:space="preserve">It has no current rank for several focus terms, such as “king sheets bamboo cooling”.</w:t>
      </w:r>
    </w:p>
    <w:p>
      <w:pPr>
        <w:pStyle w:val="ListParagraph"/>
        <w:numPr>
          <w:ilvl w:val="0"/>
          <w:numId w:val="4"/>
        </w:numPr>
        <w:spacing w:after="60"/>
      </w:pPr>
      <w:r>
        <w:t xml:space="preserve">It leaves 14 campaigns with changes out of its own campaign list.</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ba4abef4476d5dd210514d645c18c4ab3af71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corrections — 28 September 2026</dc:title>
  <dc:creator>Claude</dc:creator>
  <cp:lastModifiedBy>Un-named</cp:lastModifiedBy>
  <cp:revision>1</cp:revision>
  <dcterms:created xsi:type="dcterms:W3CDTF">2026-09-28T21:46:07.653Z</dcterms:created>
  <dcterms:modified xsi:type="dcterms:W3CDTF">2026-09-28T21:46:07.653Z</dcterms:modified>
</cp:coreProperties>
</file>

<file path=docProps/custom.xml><?xml version="1.0" encoding="utf-8"?>
<Properties xmlns="http://schemas.openxmlformats.org/officeDocument/2006/custom-properties" xmlns:vt="http://schemas.openxmlformats.org/officeDocument/2006/docPropsVTypes"/>
</file>