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SSS4 audit review: Sleephoria Satin Sheets 4 Piece, run 20260924-9b6d678f</w:t>
      </w:r>
    </w:p>
    <w:p>
      <w:pPr>
        <w:spacing w:after="100"/>
      </w:pPr>
      <w:r>
        <w:rPr>
          <w:rFonts w:ascii="Calibri" w:cs="Calibri" w:eastAsia="Calibri" w:hAnsi="Calibri"/>
        </w:rPr>
        <w:t xml:space="preserve">A review of every decision in the maintenance audit run on 24 September 2026 (1,087 rows, 2,480 considered), of the agent review stored with it, and of the product the run was written for. Sources: the run export; Command Center reads pulled on 25 September (365 days of product data, 12 months of daily rank for 145 terms, campaign placement reports for 90 and 14 days, economics per SKU); and the SOPs and contract in the lane-split documents. Every figure can be traced to one of these.</w:t>
      </w:r>
    </w:p>
    <w:p>
      <w:pPr>
        <w:pStyle w:val="Heading1"/>
      </w:pPr>
      <w:r>
        <w:rPr>
          <w:rFonts w:ascii="Calibri" w:cs="Calibri" w:eastAsia="Calibri" w:hAnsi="Calibri"/>
        </w:rPr>
        <w:t xml:space="preserve">The verdict</w:t>
      </w:r>
    </w:p>
    <w:p>
      <w:pPr>
        <w:spacing w:after="100"/>
      </w:pPr>
      <w:r>
        <w:rPr>
          <w:rFonts w:ascii="Calibri" w:cs="Calibri" w:eastAsia="Calibri" w:hAnsi="Calibri"/>
        </w:rPr>
        <w:t xml:space="preserve">Do not deploy this run as endorsed. The stored review endorsed the strategy and held 80 rows. The strategy is the problem. The run is written for a product with a working ranking programme and a spend brake. The product in front of it has been losing money on advertising all year: TACoS has run between 19% and 36% for the 22 complete weeks since 20 April, against a stage band of 4–7%. Total sales are down from about $25,000 a week in early March to about $9,200. Three of its four sizes have their white hero or a main colour sold out.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800"/>
        <w:gridCol w:w="2172"/>
      </w:tblGrid>
      <w:tr>
        <w:trPr>
          <w:cantSplit/>
          <w:tblHeader/>
        </w:trPr>
        <w:tc>
          <w:tcPr>
            <w:tcW w:type="dxa" w:w="7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
            </w:r>
          </w:p>
        </w:tc>
        <w:tc>
          <w:tcPr>
            <w:tcW w:type="dxa" w:w="2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Count</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Rows the run writes</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1,087</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Held by the stored review</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80</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Held here as well (the stored review’s 80, plus these)</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137</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Stand but flagged (the direction is right; the evidence or the prose is wrong)</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234</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Stand as written</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626</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Manual tasks (swaps off sold-out children: the loader skips every swap)</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r>
    </w:tbl>
    <w:p>
      <w:pPr>
        <w:spacing w:after="80"/>
      </w:pPr>
    </w:p>
    <w:p>
      <w:pPr>
        <w:spacing w:after="100"/>
      </w:pPr>
      <w:r>
        <w:rPr>
          <w:rFonts w:ascii="Calibri" w:cs="Calibri" w:eastAsia="Calibri" w:hAnsi="Calibri"/>
        </w:rPr>
        <w:t xml:space="preserve">The run books +89.8 top-of-search clicks and +17.4 orders a week. All of it comes from nine new campaigns, each assumed to take 15 top-of-search clicks and 2.4–2.8 orders a week from day one. With the rows held here removed, and savings no longer booked on campaigns that are already paused, the run cuts spend by $29.87 a day. It loses about 22 top-of-search clicks and 3.9 orders a week. That is the honest shape of a spend cut, and it is the right direction for this product. It is not the ranking gain the header claims.</w:t>
      </w:r>
    </w:p>
    <w:p>
      <w:pPr>
        <w:pStyle w:val="Heading2"/>
      </w:pPr>
      <w:r>
        <w:rPr>
          <w:rFonts w:ascii="Calibri" w:cs="Calibri" w:eastAsia="Calibri" w:hAnsi="Calibri"/>
        </w:rPr>
        <w:t xml:space="preserve">What to do instead</w:t>
      </w:r>
    </w:p>
    <w:p>
      <w:pPr>
        <w:pStyle w:val="ListParagraph"/>
        <w:numPr>
          <w:ilvl w:val="0"/>
          <w:numId w:val="2"/>
        </w:numPr>
        <w:spacing w:after="60"/>
      </w:pPr>
      <w:r>
        <w:rPr>
          <w:rFonts w:ascii="Calibri" w:cs="Calibri" w:eastAsia="Calibri" w:hAnsi="Calibri"/>
        </w:rPr>
        <w:t xml:space="preserve">Declare the posture (SOP-26 R1): TACoS above 2× its band in a validated week is code red. It has been above 2× the Mature band every week since April, and above 2× even the run’s own 12% line for the last six weeks. The PPC Lead confirms the declaration, or re-bands the product in writing. Neither is optional, because it decides which of these rows are legal.</w:t>
      </w:r>
    </w:p>
    <w:p>
      <w:pPr>
        <w:pStyle w:val="ListParagraph"/>
        <w:numPr>
          <w:ilvl w:val="0"/>
          <w:numId w:val="2"/>
        </w:numPr>
        <w:spacing w:after="60"/>
      </w:pPr>
      <w:r>
        <w:rPr>
          <w:rFonts w:ascii="Calibri" w:cs="Calibri" w:eastAsia="Calibri" w:hAnsi="Calibri"/>
        </w:rPr>
        <w:t xml:space="preserve">Deploy the cuts. That means the top-of-search and bid cuts on enabled campaigns, the discovery sweep cuts (flagged), the pauses of target colours that are sold out, and the steering negatives. Hold everything that adds spend (13 builds) and every row listed under C1–C5.</w:t>
      </w:r>
    </w:p>
    <w:p>
      <w:pPr>
        <w:pStyle w:val="ListParagraph"/>
        <w:numPr>
          <w:ilvl w:val="0"/>
          <w:numId w:val="2"/>
        </w:numPr>
        <w:spacing w:after="60"/>
      </w:pPr>
      <w:r>
        <w:rPr>
          <w:rFonts w:ascii="Calibri" w:cs="Calibri" w:eastAsia="Calibri" w:hAnsi="Calibri"/>
        </w:rPr>
        <w:t xml:space="preserve">Do the nine swaps off children with 0 units (Black Queen, Black King, Striped White King) by hand today. Then pause or re-point the other 25 enabled campaigns that advertise a sold-out child and have no swap row at all; most are Striped White King liquidation campaigns. Together the 34 took $295 of the last 14 days’ $2,953. The loader skips every swap, so as the run stands none of this happens.</w:t>
      </w:r>
    </w:p>
    <w:p>
      <w:pPr>
        <w:pStyle w:val="ListParagraph"/>
        <w:numPr>
          <w:ilvl w:val="0"/>
          <w:numId w:val="2"/>
        </w:numPr>
        <w:spacing w:after="60"/>
      </w:pPr>
      <w:r>
        <w:rPr>
          <w:rFonts w:ascii="Calibri" w:cs="Calibri" w:eastAsia="Calibri" w:hAnsi="Calibri"/>
        </w:rPr>
        <w:t xml:space="preserve">Open a re-ranking diagnosis (SOP-24 P1–P2) on the black terms and the Queen terms before pricing them again. Their losses date to stock-outs and a main-image change, not to price.</w:t>
      </w:r>
    </w:p>
    <w:p>
      <w:pPr>
        <w:pStyle w:val="ListParagraph"/>
        <w:numPr>
          <w:ilvl w:val="0"/>
          <w:numId w:val="2"/>
        </w:numPr>
        <w:spacing w:after="60"/>
      </w:pPr>
      <w:r>
        <w:rPr>
          <w:rFonts w:ascii="Calibri" w:cs="Calibri" w:eastAsia="Calibri" w:hAnsi="Calibri"/>
        </w:rPr>
        <w:t xml:space="preserve">Find out why 10 enabled campaigns went dark (no spend in 14 days after $100 or more in 90). The largest carried 111 orders in 90 days.</w:t>
      </w:r>
    </w:p>
    <w:p>
      <w:pPr>
        <w:pStyle w:val="Heading1"/>
      </w:pPr>
      <w:r>
        <w:rPr>
          <w:rFonts w:ascii="Calibri" w:cs="Calibri" w:eastAsia="Calibri" w:hAnsi="Calibri"/>
        </w:rPr>
        <w:t xml:space="preserve">A. The product the run was written for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1500"/>
        <w:gridCol w:w="1500"/>
        <w:gridCol w:w="1972"/>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Week of</w:t>
            </w:r>
          </w:p>
        </w:tc>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Total sales</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spend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TACoS</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w:t>
            </w:r>
          </w:p>
        </w:tc>
        <w:tc>
          <w:tcPr>
            <w:tcW w:type="dxa" w:w="1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sales per unit</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2026-06-15</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$9,473</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$1,962</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41.0%</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$33.71</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2026-06-22</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$19,322</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$6,253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49.2%</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$29.43</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2026-06-29</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$12,602</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$4,481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35.6%</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53.2%</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$34.40</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2026-07-06</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$13,470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$4,110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40.5%</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$32.95</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2026-07-13</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$19,638</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$6,127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31.2%</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38.5%</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$30.61</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2026-07-20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$22,836</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$7,267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31.8%</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45.9%</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$27.70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2026-07-27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$19,550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$4,424</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22.6%</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41.4%</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$30.68</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2026-08-03</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$15,852</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$4,274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43.7%</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$32.25</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2026-08-10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$15,494</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$4,427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28.6%</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44.5%</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$30.18</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2026-08-17</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$12,111</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$4,192</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34.6%</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53.4%</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$31.53</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2026-08-24</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$10,348</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$3,217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47.2%</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$32.77</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2026-08-31</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$10,011</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$2,732</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45.9%</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$32.33</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2026-09-07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$9,610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$2,482</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46.8%</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$32.73</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2026-09-14</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$9,210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$2,217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24.1%</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43.0%</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$32.61</w:t>
            </w:r>
          </w:p>
        </w:tc>
      </w:tr>
    </w:tbl>
    <w:p>
      <w:pPr>
        <w:spacing w:after="80"/>
      </w:pPr>
    </w:p>
    <w:p>
      <w:pPr>
        <w:spacing w:after="120"/>
      </w:pPr>
      <w:r>
        <w:rPr>
          <w:rFonts w:ascii="Calibri" w:cs="Calibri" w:eastAsia="Calibri" w:hAnsi="Calibri"/>
          <w:i/>
          <w:iCs/>
          <w:color w:val="555555"/>
          <w:sz w:val="17"/>
          <w:szCs w:val="17"/>
        </w:rPr>
        <w:t xml:space="preserve">Source: Command Center ppc_daily, product 39. Total sales = spend ÷ TACoS. Only complete weeks are shown. The week of 21 September is still settling and is left out.</w:t>
      </w:r>
    </w:p>
    <w:p>
      <w:pPr>
        <w:spacing w:after="100"/>
      </w:pPr>
      <w:r>
        <w:rPr>
          <w:rFonts w:ascii="Calibri" w:cs="Calibri" w:eastAsia="Calibri" w:hAnsi="Calibri"/>
        </w:rPr>
        <w:t xml:space="preserve">For comparison, the weeks of 2 and 9 March ran at 11.2% and 11.6% TACoS on about $25,500 of total sales a week. Since the week of 20 April TACoS has not been under 19%, and ACoS has not been under the 31.2% break-even the run uses. Logged events: a main-image and secondary-image update on 1 April, four price updates on 27 July, a MAIN IMAGE change on 28 August, and swatch images on 11 September. No deal is logged.</w:t>
      </w:r>
    </w:p>
    <w:p>
      <w:pPr>
        <w:pStyle w:val="Heading2"/>
      </w:pPr>
      <w:r>
        <w:rPr>
          <w:rFonts w:ascii="Calibri" w:cs="Calibri" w:eastAsia="Calibri" w:hAnsi="Calibri"/>
        </w:rPr>
        <w:t xml:space="preserve">Economics</w:t>
      </w:r>
    </w:p>
    <w:p>
      <w:pPr>
        <w:spacing w:after="100"/>
      </w:pPr>
      <w:r>
        <w:rPr>
          <w:rFonts w:ascii="Calibri" w:cs="Calibri" w:eastAsia="Calibri" w:hAnsi="Calibri"/>
        </w:rPr>
        <w:t xml:space="preserve">The run prices every row on one product contribution: $10.19 a unit (break-even 31.2%, source “profitability”). Command Center’s landed-cost figure is $14.10 (38.3%), but that is at list price ($36.86 blended). Ad sales per unit have run at $32.3–$32.8 for the last six weeks, and at that realised price the landed-cost contribution comes to about $10.50. The run’s figure is therefore close for the product as a whole. It is wrong per child: at list price Gold Queen earns $17.27 and Striped White Queen $9.77, and ceilings should differ by child (gap I1). The run also prints two different break-evens: 31.2% in the header and 28.3% on every sweep row.</w:t>
      </w:r>
    </w:p>
    <w:p>
      <w:pPr>
        <w:pStyle w:val="Heading2"/>
      </w:pPr>
      <w:r>
        <w:rPr>
          <w:rFonts w:ascii="Calibri" w:cs="Calibri" w:eastAsia="Calibri" w:hAnsi="Calibri"/>
        </w:rPr>
        <w:t xml:space="preserve">Stock</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400"/>
        <w:gridCol w:w="2400"/>
        <w:gridCol w:w="1272"/>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Size</w:t>
            </w:r>
          </w:p>
        </w:tc>
        <w:tc>
          <w:tcPr>
            <w:tcW w:type="dxa" w:w="3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Hero (white)</w:t>
            </w:r>
          </w:p>
        </w:tc>
        <w:tc>
          <w:tcPr>
            <w:tcW w:type="dxa" w:w="2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Serving child</w:t>
            </w:r>
          </w:p>
        </w:tc>
        <w:tc>
          <w:tcPr>
            <w:tcW w:type="dxa" w:w="2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Sold out</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Size sells / day</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SS-SATIN-WHITE-KING-4PCS, 373 units</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SS-SATIN-IVORY-KING-4PCS, 613</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Black King, Striped White King</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21.7</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SS-SATIN-WHITE-QUEEN-4PCS, 0 units (PO 17 Dec, 102)</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SS-SATIN-GOLD-QUEEN-4PCS, 284</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White Queen, Black Queen, Stone Grey Queen</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10.5</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Full</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SS-SATIN-WHITE-FULL-4PCS, 0 units (PO 17 Dec, 12)</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SS-SATIN-LAVENDER-FULL-4PCS, 116</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White Full</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7.6</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SS-SATIN-WHITE-TWIN-3PCS, 34 units</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SS-SATIN-LAVENDER-TWIN-3PCS, 78</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w:t>
            </w:r>
          </w:p>
        </w:tc>
      </w:tr>
    </w:tbl>
    <w:p>
      <w:pPr>
        <w:spacing w:after="80"/>
      </w:pPr>
    </w:p>
    <w:p>
      <w:pPr>
        <w:spacing w:after="100"/>
      </w:pPr>
      <w:r>
        <w:rPr>
          <w:rFonts w:ascii="Calibri" w:cs="Calibri" w:eastAsia="Calibri" w:hAnsi="Calibri"/>
        </w:rPr>
        <w:t xml:space="preserve">34 enabled campaigns advertise a child with 0 units. They took $295.16 of the $2,952.68 spent across enabled campaigns in the last 14 days.</w:t>
      </w:r>
    </w:p>
    <w:p>
      <w:pPr>
        <w:pStyle w:val="Heading1"/>
      </w:pPr>
      <w:r>
        <w:rPr>
          <w:rFonts w:ascii="Calibri" w:cs="Calibri" w:eastAsia="Calibri" w:hAnsi="Calibri"/>
        </w:rPr>
        <w:t xml:space="preserve">B. The posture the run took, and the one the SOPs require</w:t>
      </w:r>
    </w:p>
    <w:p>
      <w:pPr>
        <w:spacing w:after="100"/>
      </w:pPr>
      <w:r>
        <w:rPr>
          <w:rFonts w:ascii="Calibri" w:cs="Calibri" w:eastAsia="Calibri" w:hAnsi="Calibri"/>
        </w:rPr>
        <w:t xml:space="preserve">The run is labelled a Maintenance audit on a MATURE product. Its brake is a “maintenance rung”: TACoS 22.3% against a 12% line. That holds every budget and turns planned top-of-search raises into −30% “ladder” cuts. Underneath, the ranking engine still writes as if pushing. It prices 60 rank terms against targets due on 21 December, claims rank IMPROVES on 26 rows, proposes 13 new campaigns, and describes the product 299 times as “a Re-Launch product whose objective is re-ranking”.</w:t>
      </w:r>
    </w:p>
    <w:p>
      <w:pPr>
        <w:spacing w:after="100"/>
      </w:pPr>
      <w:r>
        <w:rPr>
          <w:rFonts w:ascii="Calibri" w:cs="Calibri" w:eastAsia="Calibri" w:hAnsi="Calibri"/>
        </w:rPr>
        <w:t xml:space="preserve">SOP-26 reads posture on TACoS against the stage band, never on ACoS. Mature is 4–7%. Code red is TACoS above 2× the band in one validated week, or above 1.5× for two. Every week since 20 April is above 2× the Mature band’s 7% ceiling (the lowest was 19.3%), and the last six weeks (24.1–34.6%) are above 2× even the run’s own 12% line. A code red is declared the same day and changes what is legal: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700"/>
        <w:gridCol w:w="5272"/>
      </w:tblGrid>
      <w:tr>
        <w:trPr>
          <w:cantSplit/>
          <w:tblHeader/>
        </w:trPr>
        <w:tc>
          <w:tcPr>
            <w:tcW w:type="dxa" w:w="4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SOP-26 in a code red</w:t>
            </w:r>
          </w:p>
        </w:tc>
        <w:tc>
          <w:tcPr>
            <w:tcW w:type="dxa" w:w="5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the run does</w:t>
            </w:r>
          </w:p>
        </w:tc>
      </w:tr>
      <w:tr>
        <w:trPr>
          <w:cantSplit/>
          <w:tblHeader w:val="false"/>
        </w:trPr>
        <w:tc>
          <w:tcPr>
            <w:tcW w:type="dxa" w:w="4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Freeze all non-defensive bid and modifier increases; UNLOCK TRAFFIC and FUND TEST are barred</w:t>
            </w:r>
          </w:p>
        </w:tc>
        <w:tc>
          <w:tcPr>
            <w:tcW w:type="dxa" w:w="5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Proposes 9 SP exacts and 3 Sponsored Brands campaigns (about $48 a day of new spend on the SP builds alone) and books its outcome on them</w:t>
            </w:r>
          </w:p>
        </w:tc>
      </w:tr>
      <w:tr>
        <w:trPr>
          <w:cantSplit/>
          <w:tblHeader w:val="false"/>
        </w:trPr>
        <w:tc>
          <w:tcPr>
            <w:tcW w:type="dxa" w:w="4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Map the losses first: gates, waste on the top-20 spend terms, placement bleed, structure, automation</w:t>
            </w:r>
          </w:p>
        </w:tc>
        <w:tc>
          <w:tcPr>
            <w:tcW w:type="dxa" w:w="5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map. Uniform −30% modifier rungs and −10% bid sweeps</w:t>
            </w:r>
          </w:p>
        </w:tc>
      </w:tr>
      <w:tr>
        <w:trPr>
          <w:cantSplit/>
          <w:tblHeader w:val="false"/>
        </w:trPr>
        <w:tc>
          <w:tcPr>
            <w:tcW w:type="dxa" w:w="4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Cut in loss-dollar order, to each row’s own profitable CPC (contribution × its own CVR)</w:t>
            </w:r>
          </w:p>
        </w:tc>
        <w:tc>
          <w:tcPr>
            <w:tcW w:type="dxa" w:w="5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Cuts by rung size. Several rungs leave the price above the row’s own ceiling (seq 20: $2.80 → $2.18 against a $2.01 ceiling)</w:t>
            </w:r>
          </w:p>
        </w:tc>
      </w:tr>
      <w:tr>
        <w:trPr>
          <w:cantSplit/>
          <w:tblHeader w:val="false"/>
        </w:trPr>
        <w:tc>
          <w:tcPr>
            <w:tcW w:type="dxa" w:w="4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Stock re-point (G6 RED) outranks the posture</w:t>
            </w:r>
          </w:p>
        </w:tc>
        <w:tc>
          <w:tcPr>
            <w:tcW w:type="dxa" w:w="5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Swaps are staged, but every one skips at apply</w:t>
            </w:r>
          </w:p>
        </w:tc>
      </w:tr>
      <w:tr>
        <w:trPr>
          <w:cantSplit/>
          <w:tblHeader w:val="false"/>
        </w:trPr>
        <w:tc>
          <w:tcPr>
            <w:tcW w:type="dxa" w:w="4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Liquidation campaigns are outside the cut sequence</w:t>
            </w:r>
          </w:p>
        </w:tc>
        <w:tc>
          <w:tcPr>
            <w:tcW w:type="dxa" w:w="5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Pauses 9 LTSF campaigns as “duplicate instances” and walls 10 more</w:t>
            </w:r>
          </w:p>
        </w:tc>
      </w:tr>
      <w:tr>
        <w:trPr>
          <w:cantSplit/>
          <w:tblHeader w:val="false"/>
        </w:trPr>
        <w:tc>
          <w:tcPr>
            <w:tcW w:type="dxa" w:w="4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Exit: 2 consecutive validated weeks within 1.2× the band</w:t>
            </w:r>
          </w:p>
        </w:tc>
        <w:tc>
          <w:tcPr>
            <w:tcW w:type="dxa" w:w="5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exit test</w:t>
            </w:r>
          </w:p>
        </w:tc>
      </w:tr>
    </w:tbl>
    <w:p>
      <w:pPr>
        <w:spacing w:after="80"/>
      </w:pPr>
    </w:p>
    <w:p>
      <w:pPr>
        <w:spacing w:after="100"/>
      </w:pPr>
      <w:r>
        <w:rPr>
          <w:rFonts w:ascii="Calibri" w:cs="Calibri" w:eastAsia="Calibri" w:hAnsi="Calibri"/>
        </w:rPr>
        <w:t xml:space="preserve">The ranking spend is where the money goes. Over the last 14 days, campaigns tagged Ranking ran at 61.2% ACoS on $1,392, and Discovery at 39.6% on $1,386. Defensive (brand) ran at 25.0%, inside break-even.</w:t>
      </w:r>
    </w:p>
    <w:p>
      <w:pPr>
        <w:pStyle w:val="Heading1"/>
      </w:pPr>
      <w:r>
        <w:rPr>
          <w:rFonts w:ascii="Calibri" w:cs="Calibri" w:eastAsia="Calibri" w:hAnsi="Calibri"/>
        </w:rPr>
        <w:t xml:space="preserve">C. Findings, by situation</w:t>
      </w:r>
    </w:p>
    <w:p>
      <w:pPr>
        <w:pStyle w:val="Heading2"/>
      </w:pPr>
      <w:r>
        <w:rPr>
          <w:rFonts w:ascii="Calibri" w:cs="Calibri" w:eastAsia="Calibri" w:hAnsi="Calibri"/>
        </w:rPr>
        <w:t xml:space="preserve">C1. Writes on campaigns that are paused (8 rows; the stored review passed 7)</w:t>
      </w:r>
    </w:p>
    <w:p>
      <w:pPr>
        <w:spacing w:after="100"/>
      </w:pPr>
      <w:r>
        <w:rPr>
          <w:rFonts w:ascii="Calibri" w:cs="Calibri" w:eastAsia="Calibri" w:hAnsi="Calibri"/>
        </w:rPr>
        <w:t xml:space="preserve">Six top-of-search cuts and two bid cuts are written on campaigns whose status at the audit is PAUSED (seq 1, 4, 38, 44, 60, 68, 71, 78). Seq 1 cuts the “satin sheet king size” campaign’s modifier 241% → 167% and claims rank 12 → 7 by 8 October on a campaign that takes no clicks. The outcome books $12.84 a day of savings and 23 top-of-search clicks a week of loss on five of these campaigns. Neither can happen. The run’s own engine check names the pattern (“no bid moves on a paused target (2)”), and the review passed it. All 8 are held (gap T1).</w:t>
      </w:r>
    </w:p>
    <w:p>
      <w:pPr>
        <w:pStyle w:val="Heading2"/>
      </w:pPr>
      <w:r>
        <w:rPr>
          <w:rFonts w:ascii="Calibri" w:cs="Calibri" w:eastAsia="Calibri" w:hAnsi="Calibri"/>
        </w:rPr>
        <w:t xml:space="preserve">C2. Prose that contradicts the written value (15 rows)</w:t>
      </w:r>
    </w:p>
    <w:p>
      <w:pPr>
        <w:spacing w:after="100"/>
      </w:pPr>
      <w:r>
        <w:rPr>
          <w:rFonts w:ascii="Calibri" w:cs="Calibri" w:eastAsia="Calibri" w:hAnsi="Calibri"/>
        </w:rPr>
        <w:t xml:space="preserve">Six rows say the distribution fix makes the top-of-search price “CLIMB” or “HOLD to the cent”. Their written values cut it. Seq 30 says “the top-of-search price CLIMBS 16.4%”, but it writes 240% → 168% on a base cut $0.81 → $0.73, which takes the price from $2.75 to $1.96 (−29%). Seq 50 says “HOLDS to the cent”, and the price goes from $3.00 to $2.01 (−33%). The run’s own engine check exists to catch exactly this (“a decision whose prose quotes a different value than it writes”). It passed 152 checks and none of them caught it. On nine further cut rows, the row claims rank IMPROVES within 14 days while its own mechanism predicts fewer clicks. Seq 112, for example, claims rank 18 → ≤ 6 by 8 October and predicts top-of-search clicks 2.2 → 1.3 a week. The cuts are right for the posture, so they stand, flagged. Only the mechanism prediction is gradeable (gap E4).</w:t>
      </w:r>
    </w:p>
    <w:p>
      <w:pPr>
        <w:pStyle w:val="Heading2"/>
      </w:pPr>
      <w:r>
        <w:rPr>
          <w:rFonts w:ascii="Calibri" w:cs="Calibri" w:eastAsia="Calibri" w:hAnsi="Calibri"/>
        </w:rPr>
        <w:t xml:space="preserve">C3. The brand-defence campaign loses its brand terms (4 rows, all passed)</w:t>
      </w:r>
    </w:p>
    <w:p>
      <w:pPr>
        <w:spacing w:after="100"/>
      </w:pPr>
      <w:r>
        <w:rPr>
          <w:rFonts w:ascii="Calibri" w:cs="Calibri" w:eastAsia="Calibri" w:hAnsi="Calibri"/>
        </w:rPr>
        <w:t xml:space="preserve">Seq 1548–1551 pause “sleep sanctuary satin”, “sleep sanctuary satin sheet”, “sleep sanctuary silk” and “sleep sanctuary” in SS-S4-SP-sleep sanctuary silk sheet-Brand-Agr-Broad-Def. The reason given is that they are generic terms in a defence campaign. Sleep Sanctuary is the brand: it is the SS in every campaign name, and it names the listing in the product’s events. The catalogue lists the brand as Sleephoria, which is probably why the engine cannot see it. The campaign ran at 16.9% ACoS with 17 orders in 90 days, and these are its targets. Held. The engine’s brand list needs “Sleep Sanctuary” (SOP-29 P8: brand terms live in defence).</w:t>
      </w:r>
    </w:p>
    <w:p>
      <w:pPr>
        <w:pStyle w:val="Heading2"/>
      </w:pPr>
      <w:r>
        <w:rPr>
          <w:rFonts w:ascii="Calibri" w:cs="Calibri" w:eastAsia="Calibri" w:hAnsi="Calibri"/>
        </w:rPr>
        <w:t xml:space="preserve">C4. A duplicate fold that pauses the live campaign and keeps a dark one (seq 791)</w:t>
      </w:r>
    </w:p>
    <w:p>
      <w:pPr>
        <w:spacing w:after="100"/>
      </w:pPr>
      <w:r>
        <w:rPr>
          <w:rFonts w:ascii="Calibri" w:cs="Calibri" w:eastAsia="Calibri" w:hAnsi="Calibri"/>
        </w:rPr>
        <w:t xml:space="preserve">Seq 791 pauses SS-S4-SP-king satin sheets (MSV) as the duplicate of SS-S4-SP-king size satin sheet (VLSV) on “king satin sheets”, on 90-day term counts (106 clicks and 20 orders against 230 and 62). In the last 14 days the “survivor” spent $0 while enabled, and this campaign took 13 orders at 28.8% ACoS on $128.34, inside break-even. The fold would leave the term, which held rank 2–5 until early September, with no live exact. Held.</w:t>
      </w:r>
    </w:p>
    <w:p>
      <w:pPr>
        <w:spacing w:after="100"/>
      </w:pPr>
      <w:r>
        <w:rPr>
          <w:rFonts w:ascii="Calibri" w:cs="Calibri" w:eastAsia="Calibri" w:hAnsi="Calibri"/>
        </w:rPr>
        <w:t xml:space="preserve">The survivor is one of 10 enabled campaigns that spent more than $100 in 90 days and nothing in the last 14. The run reads them as live. It writes top-of-search and bid changes on the survivor and books savings on it. What stopped them is not in the export. The possibilities are an ad or ad group paused, an ASIN suppressed, or an automation rule. It is the first thing to check, because king terms slipped over the same weeks (“satin sheets king” 7-day median 4 → 11, “king satin sheets” 5 → 9).</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000"/>
        <w:gridCol w:w="1500"/>
        <w:gridCol w:w="1472"/>
      </w:tblGrid>
      <w:tr>
        <w:trPr>
          <w:cantSplit/>
          <w:tblHeader/>
        </w:trPr>
        <w:tc>
          <w:tcPr>
            <w:tcW w:type="dxa" w:w="7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Enabled, dark for 14 days</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90d</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90d</w:t>
            </w:r>
          </w:p>
        </w:tc>
      </w:tr>
      <w:tr>
        <w:trPr>
          <w:cantSplit/>
          <w:tblHeader w:val="false"/>
        </w:trPr>
        <w:tc>
          <w:tcPr>
            <w:tcW w:type="dxa" w:w="7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SS-S4-SP-king size satin sheet-(Satin)-VLSV-Exact-Rank-DO-SS-SATIN-BLACK-KING-4P</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$1,537</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111</w:t>
            </w:r>
          </w:p>
        </w:tc>
      </w:tr>
      <w:tr>
        <w:trPr>
          <w:cantSplit/>
          <w:tblHeader w:val="false"/>
        </w:trPr>
        <w:tc>
          <w:tcPr>
            <w:tcW w:type="dxa" w:w="7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SSS4-LTSF-EXACT-(silk sheets)</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$1,328</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69</w:t>
            </w:r>
          </w:p>
        </w:tc>
      </w:tr>
      <w:tr>
        <w:trPr>
          <w:cantSplit/>
          <w:tblHeader w:val="false"/>
        </w:trPr>
        <w:tc>
          <w:tcPr>
            <w:tcW w:type="dxa" w:w="7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SS-SATIN-BLACK-QUEEN-4PCS - SP EX - PAT - B08P16XLP2</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$684</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50</w:t>
            </w:r>
          </w:p>
        </w:tc>
      </w:tr>
      <w:tr>
        <w:trPr>
          <w:cantSplit/>
          <w:tblHeader w:val="false"/>
        </w:trPr>
        <w:tc>
          <w:tcPr>
            <w:tcW w:type="dxa" w:w="7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SS-SATIN-BLACK-QUEEN-4PCS - SP EX - PAT - B0CSFTRP2X</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$539</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51</w:t>
            </w:r>
          </w:p>
        </w:tc>
      </w:tr>
      <w:tr>
        <w:trPr>
          <w:cantSplit/>
          <w:tblHeader w:val="false"/>
        </w:trPr>
        <w:tc>
          <w:tcPr>
            <w:tcW w:type="dxa" w:w="7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SS-S4-SP-full satin sheets set-(Satin)-MSV-Exact-Rank-DO-SS-SATIN-GREY-FULL-4PCS</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$519</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w:t>
            </w:r>
          </w:p>
        </w:tc>
      </w:tr>
      <w:tr>
        <w:trPr>
          <w:cantSplit/>
          <w:tblHeader w:val="false"/>
        </w:trPr>
        <w:tc>
          <w:tcPr>
            <w:tcW w:type="dxa" w:w="7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SSS4-LTSF-EXACT-(satin sheets full size)</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$403</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w:t>
            </w:r>
          </w:p>
        </w:tc>
      </w:tr>
      <w:tr>
        <w:trPr>
          <w:cantSplit/>
          <w:tblHeader w:val="false"/>
        </w:trPr>
        <w:tc>
          <w:tcPr>
            <w:tcW w:type="dxa" w:w="7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SS-S4-SP-satin bed sheets full size-(Satin)-LSV-Exact-Rank-DO-SS-SATIN-GREY-FULL</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$271</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r>
      <w:tr>
        <w:trPr>
          <w:cantSplit/>
          <w:tblHeader w:val="false"/>
        </w:trPr>
        <w:tc>
          <w:tcPr>
            <w:tcW w:type="dxa" w:w="7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SSS4-LTSF-EXACT-(queen silk sheets)</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$155</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r>
      <w:tr>
        <w:trPr>
          <w:cantSplit/>
          <w:tblHeader w:val="false"/>
        </w:trPr>
        <w:tc>
          <w:tcPr>
            <w:tcW w:type="dxa" w:w="7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SS-S4-SP-satin sheets king size bed set-(Satin)-LSV-Exact-Rank-DO-SS-SATIN-BLACK</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$130</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r>
      <w:tr>
        <w:trPr>
          <w:cantSplit/>
          <w:tblHeader w:val="false"/>
        </w:trPr>
        <w:tc>
          <w:tcPr>
            <w:tcW w:type="dxa" w:w="7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SS-S4-SP-king size satin sheets set-(Satin)-LSV-Exact-Rank-DO-SS-SATIN-BLACK-KIN</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$109</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r>
    </w:tbl>
    <w:p>
      <w:pPr>
        <w:spacing w:after="80"/>
      </w:pPr>
    </w:p>
    <w:p>
      <w:pPr>
        <w:pStyle w:val="Heading2"/>
      </w:pPr>
      <w:r>
        <w:rPr>
          <w:rFonts w:ascii="Calibri" w:cs="Calibri" w:eastAsia="Calibri" w:hAnsi="Calibri"/>
        </w:rPr>
        <w:t xml:space="preserve">C5. Stock, child swaps and renames (139 rows held)</w:t>
      </w:r>
    </w:p>
    <w:p>
      <w:pPr>
        <w:spacing w:after="100"/>
      </w:pPr>
      <w:r>
        <w:rPr>
          <w:rFonts w:ascii="Calibri" w:cs="Calibri" w:eastAsia="Calibri" w:hAnsi="Calibri"/>
        </w:rPr>
        <w:t xml:space="preserve">The run stages 72 child swaps. Every row says the same thing: “the loader has no product-ad roster today — the swap is staged and SKIPS at apply”. The stored review kept the swaps off sold-out children because holding them “would leave those ads on stock-outs”. As the run stands, those ads stay on stock-outs either way. The nine swaps off Black Queen, Black King and Striped White King on enabled campaigns are real work, and they have to be done by hand (gap S1). The rest are held:</w:t>
      </w:r>
    </w:p>
    <w:p>
      <w:pPr>
        <w:pStyle w:val="ListParagraph"/>
        <w:numPr>
          <w:ilvl w:val="0"/>
          <w:numId w:val="2"/>
        </w:numPr>
        <w:spacing w:after="60"/>
      </w:pPr>
      <w:r>
        <w:rPr>
          <w:rFonts w:ascii="Calibri" w:cs="Calibri" w:eastAsia="Calibri" w:hAnsi="Calibri"/>
        </w:rPr>
        <w:t xml:space="preserve">Seven cross-size swaps: Dark Green King → Sage Green Queen (5), Gold Queen → Red Twin on the Queen discovery campaign “queen white satin sheets”, and Stone Grey Queen → Grey King. The stored review passed four of them (gap S4).</w:t>
      </w:r>
    </w:p>
    <w:p>
      <w:pPr>
        <w:pStyle w:val="ListParagraph"/>
        <w:numPr>
          <w:ilvl w:val="0"/>
          <w:numId w:val="2"/>
        </w:numPr>
        <w:spacing w:after="60"/>
      </w:pPr>
      <w:r>
        <w:rPr>
          <w:rFonts w:ascii="Calibri" w:cs="Calibri" w:eastAsia="Calibri" w:hAnsi="Calibri"/>
        </w:rPr>
        <w:t xml:space="preserve">23 swaps onto SS-SATIN-WHITE-TWIN-3PCS, which has 34 units. Twin sells 3.4 a day as a size, so if the swapped campaigns’ traffic follows, the hero runs out in about 10 days. The run reads cover on the hero at its own pace (0.13 a day), not at the pace the swaps would give it (gap S3).</w:t>
      </w:r>
    </w:p>
    <w:p>
      <w:pPr>
        <w:pStyle w:val="ListParagraph"/>
        <w:numPr>
          <w:ilvl w:val="0"/>
          <w:numId w:val="2"/>
        </w:numPr>
        <w:spacing w:after="60"/>
      </w:pPr>
      <w:r>
        <w:rPr>
          <w:rFonts w:ascii="Calibri" w:cs="Calibri" w:eastAsia="Calibri" w:hAnsi="Calibri"/>
        </w:rPr>
        <w:t xml:space="preserve">Swaps off Grey King (257 units) onto the white hero by rule. By the stored review’s own figures, Grey King converts 17.63% against White King’s 8.50%.</w:t>
      </w:r>
    </w:p>
    <w:p>
      <w:pPr>
        <w:pStyle w:val="ListParagraph"/>
        <w:numPr>
          <w:ilvl w:val="0"/>
          <w:numId w:val="2"/>
        </w:numPr>
        <w:spacing w:after="60"/>
      </w:pPr>
      <w:r>
        <w:rPr>
          <w:rFonts w:ascii="Calibri" w:cs="Calibri" w:eastAsia="Calibri" w:hAnsi="Calibri"/>
        </w:rPr>
        <w:t xml:space="preserve">Blue King → Navy Blue King on terms that name blue.</w:t>
      </w:r>
    </w:p>
    <w:p>
      <w:pPr>
        <w:pStyle w:val="ListParagraph"/>
        <w:numPr>
          <w:ilvl w:val="0"/>
          <w:numId w:val="2"/>
        </w:numPr>
        <w:spacing w:after="60"/>
      </w:pPr>
      <w:r>
        <w:rPr>
          <w:rFonts w:ascii="Calibri" w:cs="Calibri" w:eastAsia="Calibri" w:hAnsi="Calibri"/>
        </w:rPr>
        <w:t xml:space="preserve">Three swaps on paused campaigns have no effect.</w:t>
      </w:r>
    </w:p>
    <w:p>
      <w:pPr>
        <w:spacing w:after="100"/>
      </w:pPr>
      <w:r>
        <w:rPr>
          <w:rFonts w:ascii="Calibri" w:cs="Calibri" w:eastAsia="Calibri" w:hAnsi="Calibri"/>
        </w:rPr>
        <w:t xml:space="preserve">79 of the 361 renames stamp a child the campaign will not serve, because 70 of them follow a swap that cannot load. The worst rename a campaign’s term or size. The Queen campaign “queen white satin sheets” becomes “Twin Satin Sheets … RED-TWIN”. “king satin sheets for hot sleepers” becomes “Satin Sheet … GOLD-QUEEN”. “SS-SATIN-BLACK-QUEEN … black silk sheet” becomes “Black Silk King Sheets … BLACK-KING”, onto a child with 0 units. These are held; the other renames stand (gap S2).</w:t>
      </w:r>
    </w:p>
    <w:p>
      <w:pPr>
        <w:pStyle w:val="Heading2"/>
      </w:pPr>
      <w:r>
        <w:rPr>
          <w:rFonts w:ascii="Calibri" w:cs="Calibri" w:eastAsia="Calibri" w:hAnsi="Calibri"/>
        </w:rPr>
        <w:t xml:space="preserve">C6. Rank: what the run froze, and what it missed</w:t>
      </w:r>
    </w:p>
    <w:p>
      <w:pPr>
        <w:spacing w:after="100"/>
      </w:pPr>
      <w:r>
        <w:rPr>
          <w:rFonts w:ascii="Calibri" w:cs="Calibri" w:eastAsia="Calibri" w:hAnsi="Calibri"/>
        </w:rPr>
        <w:t xml:space="preserve">The run freezes three campaigns for a “rank collapse”. None of the three is a loss by SOP-24’s test, which is a series that leaves its held band and does not return: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100"/>
        <w:gridCol w:w="900"/>
        <w:gridCol w:w="4372"/>
      </w:tblGrid>
      <w:tr>
        <w:trPr>
          <w:cantSplit/>
          <w:tblHeader/>
        </w:trPr>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Term</w:t>
            </w:r>
          </w:p>
        </w:tc>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The run’s read</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7-day median 24 Aug</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23 Sep</w:t>
            </w:r>
          </w:p>
        </w:tc>
        <w:tc>
          <w:tcPr>
            <w:tcW w:type="dxa" w:w="4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the daily series shows</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 sheets full size</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 (25 Aug) → #55</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4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Bimodal daily series: 6–13 on 12–18 Sep, 40–126 on the days around it. The 13 on 25 Aug is one low day. No held band to lose.</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full size satin sheets</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 (19 Apr) → #61</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4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“30 days ago” read is dated 19 April. The tracker has found the term unranked on every crawl since 19 May.</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silky sheets</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#53 (25 Aug) → #84</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50</w:t>
            </w:r>
          </w:p>
        </w:tc>
        <w:tc>
          <w:tcPr>
            <w:tcW w:type="dxa" w:w="4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slow slide within FAR (7-day median 36 → about 50). SLIPPING, not a collapse.</w:t>
            </w:r>
          </w:p>
        </w:tc>
      </w:tr>
    </w:tbl>
    <w:p>
      <w:pPr>
        <w:spacing w:after="80"/>
      </w:pPr>
    </w:p>
    <w:p>
      <w:pPr>
        <w:spacing w:after="100"/>
      </w:pPr>
      <w:r>
        <w:rPr>
          <w:rFonts w:ascii="Calibri" w:cs="Calibri" w:eastAsia="Calibri" w:hAnsi="Calibri"/>
        </w:rPr>
        <w:t xml:space="preserve">The losses the run did not see are on the black terms and the Queen terms. The children that serve them are sold out: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400"/>
        <w:gridCol w:w="1500"/>
        <w:gridCol w:w="1672"/>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Term</w:t>
            </w:r>
          </w:p>
        </w:tc>
        <w:tc>
          <w:tcPr>
            <w:tcW w:type="dxa" w:w="2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Best 7-day median (12 months)</w:t>
            </w:r>
          </w:p>
        </w:tc>
        <w:tc>
          <w:tcPr>
            <w:tcW w:type="dxa" w:w="1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15 Jun</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24 Aug</w:t>
            </w:r>
          </w:p>
        </w:tc>
        <w:tc>
          <w:tcPr>
            <w:tcW w:type="dxa" w:w="16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23 Sep</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black satin sheets</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 (4 Jul)</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w:t>
            </w:r>
          </w:p>
        </w:tc>
        <w:tc>
          <w:tcPr>
            <w:tcW w:type="dxa" w:w="1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124</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black silk sheets king</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 (17 Apr)</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118</w:t>
            </w:r>
          </w:p>
        </w:tc>
        <w:tc>
          <w:tcPr>
            <w:tcW w:type="dxa" w:w="1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132</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black silk sheets</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 (15 Feb)</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71</w:t>
            </w:r>
          </w:p>
        </w:tc>
        <w:tc>
          <w:tcPr>
            <w:tcW w:type="dxa" w:w="1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132</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black silk bed sheets</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 (24 Dec)</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1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124</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black satin sheets queen</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 (17 Mar)</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w:t>
            </w:r>
          </w:p>
        </w:tc>
        <w:tc>
          <w:tcPr>
            <w:tcW w:type="dxa" w:w="1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134</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 sheets queen</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 (20 Dec)</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26.5</w:t>
            </w:r>
          </w:p>
        </w:tc>
        <w:tc>
          <w:tcPr>
            <w:tcW w:type="dxa" w:w="1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 sheets queen size</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 (1 Oct)</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silk sheets queen</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 (26 Mar)</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65.5</w:t>
            </w:r>
          </w:p>
        </w:tc>
        <w:tc>
          <w:tcPr>
            <w:tcW w:type="dxa" w:w="1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71</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 sheets king</w:t>
            </w:r>
          </w:p>
        </w:tc>
        <w:tc>
          <w:tcPr>
            <w:tcW w:type="dxa" w:w="2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 (16 Apr)</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6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 satin sheets</w:t>
            </w:r>
          </w:p>
        </w:tc>
        <w:tc>
          <w:tcPr>
            <w:tcW w:type="dxa" w:w="2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 (25 Jul)</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6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r>
    </w:tbl>
    <w:p>
      <w:pPr>
        <w:spacing w:after="80"/>
      </w:pPr>
    </w:p>
    <w:p>
      <w:pPr>
        <w:spacing w:after="120"/>
      </w:pPr>
      <w:r>
        <w:rPr>
          <w:rFonts w:ascii="Calibri" w:cs="Calibri" w:eastAsia="Calibri" w:hAnsi="Calibri"/>
          <w:i/>
          <w:iCs/>
          <w:color w:val="555555"/>
          <w:sz w:val="17"/>
          <w:szCs w:val="17"/>
        </w:rPr>
        <w:t xml:space="preserve">Source: Command Center ppc_ranks, product 39, 25 Sep 2025 – 23 Sep 2026, 364 of 364 days crawled. 7-day medians are computed here.</w:t>
      </w:r>
    </w:p>
    <w:p>
      <w:pPr>
        <w:spacing w:after="100"/>
      </w:pPr>
      <w:r>
        <w:rPr>
          <w:rFonts w:ascii="Calibri" w:cs="Calibri" w:eastAsia="Calibri" w:hAnsi="Calibri"/>
        </w:rPr>
        <w:t xml:space="preserve">“black satin sheets” (3,271 searches) held around 31 in late August, stepped to 60 on 4 September and 120 on 5 September, and has not returned. The run marks it “not pushed” and says nothing. Under SOP-24 these are PROVEN or RECOVERY terms with a stock-out as the likely cause (P2.2). Nothing restores them until stock lands, and then the recovery is stood up on day 0 (P11). The Queen terms fall on a size whose hero and main colours are sold out. The 28 August main-image change is in the window for every loss after it, and it has to be tested as a listing cause (P2.3).</w:t>
      </w:r>
    </w:p>
    <w:p>
      <w:pPr>
        <w:pStyle w:val="Heading2"/>
      </w:pPr>
      <w:r>
        <w:rPr>
          <w:rFonts w:ascii="Calibri" w:cs="Calibri" w:eastAsia="Calibri" w:hAnsi="Calibri"/>
        </w:rPr>
        <w:t xml:space="preserve">C7. Discovery sweep cuts with no target read (180 rows, flagged)</w:t>
      </w:r>
    </w:p>
    <w:p>
      <w:pPr>
        <w:spacing w:after="100"/>
      </w:pPr>
      <w:r>
        <w:rPr>
          <w:rFonts w:ascii="Calibri" w:cs="Calibri" w:eastAsia="Calibri" w:hAnsi="Calibri"/>
        </w:rPr>
        <w:t xml:space="preserve">Four discovery campaigns have ACoS above the 15–30% discovery band. The engine answers with a −10% cut on every target bid in them, 64 in one campaign. None of those targets carries a state or a read (“the ledger’s bid rows — no state or read”), so paused targets may be among them. Each row says the cut runs “while the walls are read”, but the same row reads WAS at 0% on 0 zero-order terms, so there are no walls to read. The prediction is the tautology “realised CPC falls”, not discovery’s own metric (cost per discovered converter, SOP-14). In a code red a discovery cut is legal, so these stand, flagged. The better move is to negate the campaign’s worst served terms and cut the bid on the targets that carry the waste. One labelling fault: “queen white satin sheets” shows $586.29 as both its 14-day and its 90-day spend.</w:t>
      </w:r>
    </w:p>
    <w:p>
      <w:pPr>
        <w:pStyle w:val="Heading2"/>
      </w:pPr>
      <w:r>
        <w:rPr>
          <w:rFonts w:ascii="Calibri" w:cs="Calibri" w:eastAsia="Calibri" w:hAnsi="Calibri"/>
        </w:rPr>
        <w:t xml:space="preserve">C8. New campaigns in a code red (12 of 13 held)</w:t>
      </w:r>
    </w:p>
    <w:p>
      <w:pPr>
        <w:spacing w:after="100"/>
      </w:pPr>
      <w:r>
        <w:rPr>
          <w:rFonts w:ascii="Calibri" w:cs="Calibri" w:eastAsia="Calibri" w:hAnsi="Calibri"/>
        </w:rPr>
        <w:t xml:space="preserve">Nine Sponsored Products exacts at about $5–6 a day each, three Sponsored Brands category headlines, and one Sponsored Display own-page defence. The outcome books +135 top-of-search clicks and +23.9 orders a week on the nine SP builds, at an implied 17.7% conversion from day one. The terms include “sateen sheets”, a different weave, never ranked; “brown satin sheets”, best rank 77 in 12 months; and “sábanas de satin king”. The “satin sheets king” build duplicates SS-S4-SP-satin sheets king, which is dark but carried 20 orders in 90 days (gap T3). The Sponsored Brands Queen headline features White Queen, which has 0 units. Only the Sponsored Display defence stands, as a human row.</w:t>
      </w:r>
    </w:p>
    <w:p>
      <w:pPr>
        <w:pStyle w:val="Heading2"/>
      </w:pPr>
      <w:r>
        <w:rPr>
          <w:rFonts w:ascii="Calibri" w:cs="Calibri" w:eastAsia="Calibri" w:hAnsi="Calibri"/>
        </w:rPr>
        <w:t xml:space="preserve">C9. Liquidation campaigns</w:t>
      </w:r>
    </w:p>
    <w:p>
      <w:pPr>
        <w:spacing w:after="100"/>
      </w:pPr>
      <w:r>
        <w:rPr>
          <w:rFonts w:ascii="Calibri" w:cs="Calibri" w:eastAsia="Calibri" w:hAnsi="Calibri"/>
        </w:rPr>
        <w:t xml:space="preserve">Nine LTSF campaigns are paused as “the duplicate instance”. The pauses are right, for a different reason: most advertise Striped White King (0 units) or have been dark for 14 days (Champagne Full). An LTSF closure needs the closure record and the LTSF owner (SOP-27 P14), not a duplicate rule. Ten steering-negative rows add 22–59 walls each to liquidation catch-alls, which pushes their traffic onto ranking exacts that advertise other children. That is right only if no unit in them is LTSF-tagged, so they are flagged for the LTSF owner. Over 90 days, liquidation campaigns spent $13,529 at 35.2% ACoS, 21% of the product’s ad spend.</w:t>
      </w:r>
    </w:p>
    <w:p>
      <w:pPr>
        <w:pStyle w:val="Heading2"/>
      </w:pPr>
      <w:r>
        <w:rPr>
          <w:rFonts w:ascii="Calibri" w:cs="Calibri" w:eastAsia="Calibri" w:hAnsi="Calibri"/>
        </w:rPr>
        <w:t xml:space="preserve">C10. The run disagrees with itself about the product</w:t>
      </w:r>
    </w:p>
    <w:p>
      <w:pPr>
        <w:pStyle w:val="ListParagraph"/>
        <w:numPr>
          <w:ilvl w:val="0"/>
          <w:numId w:val="2"/>
        </w:numPr>
        <w:spacing w:after="60"/>
      </w:pPr>
      <w:r>
        <w:rPr>
          <w:rFonts w:ascii="Calibri" w:cs="Calibri" w:eastAsia="Calibri" w:hAnsi="Calibri"/>
        </w:rPr>
        <w:t xml:space="preserve">Stage: the header says MATURE and Maintenance; 299 holds and every sweep row say “Re-Launch … objective is re-ranking”.</w:t>
      </w:r>
    </w:p>
    <w:p>
      <w:pPr>
        <w:pStyle w:val="ListParagraph"/>
        <w:numPr>
          <w:ilvl w:val="0"/>
          <w:numId w:val="2"/>
        </w:numPr>
        <w:spacing w:after="60"/>
      </w:pPr>
      <w:r>
        <w:rPr>
          <w:rFonts w:ascii="Calibri" w:cs="Calibri" w:eastAsia="Calibri" w:hAnsi="Calibri"/>
        </w:rPr>
        <w:t xml:space="preserve">Break-even: 31.2% in the header, 28.3% on the sweep rows.</w:t>
      </w:r>
    </w:p>
    <w:p>
      <w:pPr>
        <w:pStyle w:val="ListParagraph"/>
        <w:numPr>
          <w:ilvl w:val="0"/>
          <w:numId w:val="2"/>
        </w:numPr>
        <w:spacing w:after="60"/>
      </w:pPr>
      <w:r>
        <w:rPr>
          <w:rFonts w:ascii="Calibri" w:cs="Calibri" w:eastAsia="Calibri" w:hAnsi="Calibri"/>
        </w:rPr>
        <w:t xml:space="preserve">Seq 20: the row carries three decisions. They are a −30% ladder cut, “HOLD at 278% because the budget binds (91% used)”, and a base note saying “the budget is raised in this run”. The run raises no budget (0 budget rows; 79 budget holds).</w:t>
      </w:r>
    </w:p>
    <w:p>
      <w:pPr>
        <w:pStyle w:val="ListParagraph"/>
        <w:numPr>
          <w:ilvl w:val="0"/>
          <w:numId w:val="2"/>
        </w:numPr>
        <w:spacing w:after="60"/>
      </w:pPr>
      <w:r>
        <w:rPr>
          <w:rFonts w:ascii="Calibri" w:cs="Calibri" w:eastAsia="Calibri" w:hAnsi="Calibri"/>
        </w:rPr>
        <w:t xml:space="preserve">Three structure rows ask a person to “re-price … or pause the campaign” (seq 2042–2044). A parked question is not a decision (gap T4). Held.</w:t>
      </w:r>
    </w:p>
    <w:p>
      <w:pPr>
        <w:pStyle w:val="Heading2"/>
      </w:pPr>
      <w:r>
        <w:rPr>
          <w:rFonts w:ascii="Calibri" w:cs="Calibri" w:eastAsia="Calibri" w:hAnsi="Calibri"/>
        </w:rPr>
        <w:t xml:space="preserve">C11. What the export does not carry</w:t>
      </w:r>
    </w:p>
    <w:p>
      <w:pPr>
        <w:spacing w:after="100"/>
      </w:pPr>
      <w:r>
        <w:rPr>
          <w:rFonts w:ascii="Calibri" w:cs="Calibri" w:eastAsia="Calibri" w:hAnsi="Calibri"/>
        </w:rPr>
        <w:t xml:space="preserve">Six campaigns that advertise this product spent $499 in the last 14 days and are not in the export. The largest is D-S4-SP-satin sheets queen (Broad, $275, 24 orders). 41 sweep top-of-search rows sit on campaigns missing from the export’s campaign list, so no reviewer can recompute them. They are flagged. The 16 that do not move a value (1 → 1, 2 → 2) are held (gaps I7, E2).</w:t>
      </w:r>
    </w:p>
    <w:p>
      <w:pPr>
        <w:pStyle w:val="Heading1"/>
      </w:pPr>
      <w:r>
        <w:rPr>
          <w:rFonts w:ascii="Calibri" w:cs="Calibri" w:eastAsia="Calibri" w:hAnsi="Calibri"/>
        </w:rPr>
        <w:t xml:space="preserve">D. The stored review</w:t>
      </w:r>
    </w:p>
    <w:p>
      <w:pPr>
        <w:spacing w:after="100"/>
      </w:pPr>
      <w:r>
        <w:rPr>
          <w:rFonts w:ascii="Calibri" w:cs="Calibri" w:eastAsia="Calibri" w:hAnsi="Calibri"/>
        </w:rPr>
        <w:t xml:space="preserve">The stored review (ppc-portfolio-review v1) read 322 rows and held 80. Its row-level work is good. It found the orphaned half-pairs, where a base cut was sized for a raise that the ladder replaced (seq 53: “HOLDS to the cent” does not recompute, $3.00 → $2.01). It found the lever moved inside a freeze (seq 148), several colour slips, and folds across syntax families. All 80 of its holds are held here too.</w:t>
      </w:r>
    </w:p>
    <w:p>
      <w:pPr>
        <w:spacing w:after="100"/>
      </w:pPr>
      <w:r>
        <w:rPr>
          <w:rFonts w:ascii="Calibri" w:cs="Calibri" w:eastAsia="Calibri" w:hAnsi="Calibri"/>
        </w:rPr>
        <w:t xml:space="preserve">It went wrong on the strategy. It endorsed the run because “the direction fits a MATURE product in the maintenance lane” and “nothing in the brief contradicts the premise”. The brief does contradict it: 22 weeks of TACoS above 2× the band, heroes at 0 units, and no posture declared. Its own reasoning also relies on the swaps off stock-outs loading, and the export says they skip. It passed:</w:t>
      </w:r>
    </w:p>
    <w:p>
      <w:pPr>
        <w:pStyle w:val="ListParagraph"/>
        <w:numPr>
          <w:ilvl w:val="0"/>
          <w:numId w:val="2"/>
        </w:numPr>
        <w:spacing w:after="60"/>
      </w:pPr>
      <w:r>
        <w:rPr>
          <w:rFonts w:ascii="Calibri" w:cs="Calibri" w:eastAsia="Calibri" w:hAnsi="Calibri"/>
        </w:rPr>
        <w:t xml:space="preserve">the 7 writes on paused campaigns (C1);</w:t>
      </w:r>
    </w:p>
    <w:p>
      <w:pPr>
        <w:pStyle w:val="ListParagraph"/>
        <w:numPr>
          <w:ilvl w:val="0"/>
          <w:numId w:val="2"/>
        </w:numPr>
        <w:spacing w:after="60"/>
      </w:pPr>
      <w:r>
        <w:rPr>
          <w:rFonts w:ascii="Calibri" w:cs="Calibri" w:eastAsia="Calibri" w:hAnsi="Calibri"/>
        </w:rPr>
        <w:t xml:space="preserve">the 4 brand pauses (C3);</w:t>
      </w:r>
    </w:p>
    <w:p>
      <w:pPr>
        <w:pStyle w:val="ListParagraph"/>
        <w:numPr>
          <w:ilvl w:val="0"/>
          <w:numId w:val="2"/>
        </w:numPr>
        <w:spacing w:after="60"/>
      </w:pPr>
      <w:r>
        <w:rPr>
          <w:rFonts w:ascii="Calibri" w:cs="Calibri" w:eastAsia="Calibri" w:hAnsi="Calibri"/>
        </w:rPr>
        <w:t xml:space="preserve">the live-loser fold (C4);</w:t>
      </w:r>
    </w:p>
    <w:p>
      <w:pPr>
        <w:pStyle w:val="ListParagraph"/>
        <w:numPr>
          <w:ilvl w:val="0"/>
          <w:numId w:val="2"/>
        </w:numPr>
        <w:spacing w:after="60"/>
      </w:pPr>
      <w:r>
        <w:rPr>
          <w:rFonts w:ascii="Calibri" w:cs="Calibri" w:eastAsia="Calibri" w:hAnsi="Calibri"/>
        </w:rPr>
        <w:t xml:space="preserve">four cross-size swaps (C5);</w:t>
      </w:r>
    </w:p>
    <w:p>
      <w:pPr>
        <w:pStyle w:val="ListParagraph"/>
        <w:numPr>
          <w:ilvl w:val="0"/>
          <w:numId w:val="2"/>
        </w:numPr>
        <w:spacing w:after="60"/>
      </w:pPr>
      <w:r>
        <w:rPr>
          <w:rFonts w:ascii="Calibri" w:cs="Calibri" w:eastAsia="Calibri" w:hAnsi="Calibri"/>
        </w:rPr>
        <w:t xml:space="preserve">the six rows whose prose contradicts their values (C2), although it caught the same fault on seq 53;</w:t>
      </w:r>
    </w:p>
    <w:p>
      <w:pPr>
        <w:pStyle w:val="ListParagraph"/>
        <w:numPr>
          <w:ilvl w:val="0"/>
          <w:numId w:val="2"/>
        </w:numPr>
        <w:spacing w:after="60"/>
      </w:pPr>
      <w:r>
        <w:rPr>
          <w:rFonts w:ascii="Calibri" w:cs="Calibri" w:eastAsia="Calibri" w:hAnsi="Calibri"/>
        </w:rPr>
        <w:t xml:space="preserve">11 of the 13 builds (C8).</w:t>
      </w:r>
    </w:p>
    <w:p>
      <w:pPr>
        <w:spacing w:after="100"/>
      </w:pPr>
      <w:r>
        <w:rPr>
          <w:rFonts w:ascii="Calibri" w:cs="Calibri" w:eastAsia="Calibri" w:hAnsi="Calibri"/>
        </w:rPr>
        <w:t xml:space="preserve">A review that grades rows but accepts the premise will pass a run like this every time. The fix belongs in the review skill, in its first question: before any row, test the posture (TACoS against band), the stock gate on every advertised child, and whether the moves the strategy depends on can actually load.</w:t>
      </w:r>
    </w:p>
    <w:p>
      <w:pPr>
        <w:pStyle w:val="Heading1"/>
      </w:pPr>
      <w:r>
        <w:rPr>
          <w:rFonts w:ascii="Calibri" w:cs="Calibri" w:eastAsia="Calibri" w:hAnsi="Calibri"/>
        </w:rPr>
        <w:t xml:space="preserve">E. The engine check’s three failures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000"/>
        <w:gridCol w:w="5972"/>
      </w:tblGrid>
      <w:tr>
        <w:trPr>
          <w:cantSplit/>
          <w:tblHeader/>
        </w:trPr>
        <w:tc>
          <w:tcPr>
            <w:tcW w:type="dxa" w:w="4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Failure</w:t>
            </w:r>
          </w:p>
        </w:tc>
        <w:tc>
          <w:tcPr>
            <w:tcW w:type="dxa" w:w="5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it means</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rank-collapsed campaign still moves a lever (SS-S4-SP-full size satin sheets)</w:t>
            </w:r>
          </w:p>
        </w:tc>
        <w:tc>
          <w:tcPr>
            <w:tcW w:type="dxa" w:w="5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Seq 148 cuts the modifier 51% → 36% inside the freeze. The review held it. The freeze itself is wrong (C6), so the row can stand once the freeze is lifted.</w:t>
            </w:r>
          </w:p>
        </w:tc>
      </w:tr>
      <w:tr>
        <w:trPr>
          <w:cantSplit/>
          <w:tblHeader w:val="false"/>
        </w:trPr>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bid moves on a paused target (2)</w:t>
            </w:r>
          </w:p>
        </w:tc>
        <w:tc>
          <w:tcPr>
            <w:tcW w:type="dxa" w:w="5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check counts two bid moves on paused targets without naming them. It does not test campaign status, which is why seq 4 and 71 (bid moves on paused campaigns, C1) pass it.</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Step cap on raises (0 of 0)</w:t>
            </w:r>
          </w:p>
        </w:tc>
        <w:tc>
          <w:tcPr>
            <w:tcW w:type="dxa" w:w="5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check fails on an empty set. With no raises, there is nothing to cap. This is a check bug, not a decision fault.</w:t>
            </w:r>
          </w:p>
        </w:tc>
      </w:tr>
    </w:tbl>
    <w:p>
      <w:pPr>
        <w:spacing w:after="80"/>
      </w:pPr>
    </w:p>
    <w:p>
      <w:pPr>
        <w:spacing w:after="100"/>
      </w:pPr>
      <w:r>
        <w:rPr>
          <w:rFonts w:ascii="Calibri" w:cs="Calibri" w:eastAsia="Calibri" w:hAnsi="Calibri"/>
        </w:rPr>
        <w:t xml:space="preserve">The 152 checks that passed did not catch C1 on the campaigns, C2, C3, C4 or C5. Section G lists what they need to test.</w:t>
      </w:r>
    </w:p>
    <w:p>
      <w:pPr>
        <w:pStyle w:val="Heading1"/>
      </w:pPr>
      <w:r>
        <w:rPr>
          <w:rFonts w:ascii="Calibri" w:cs="Calibri" w:eastAsia="Calibri" w:hAnsi="Calibri"/>
        </w:rPr>
        <w:t xml:space="preserve">F. What loads, what is held, what is done by hand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900"/>
        <w:gridCol w:w="1500"/>
        <w:gridCol w:w="1800"/>
        <w:gridCol w:w="1772"/>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Kind</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Rows</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by stored review</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here</w:t>
            </w:r>
          </w:p>
        </w:tc>
        <w:tc>
          <w:tcPr>
            <w:tcW w:type="dxa" w:w="1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Flagged (stand)</w:t>
            </w:r>
          </w:p>
        </w:tc>
        <w:tc>
          <w:tcPr>
            <w:tcW w:type="dxa" w:w="1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By hand or person</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64</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bid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238</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186</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child</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state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negatives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structure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76</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build</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retag</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207</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rename</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361</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79</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Total</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1087</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217</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234</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r>
    </w:tbl>
    <w:p>
      <w:pPr>
        <w:spacing w:after="80"/>
      </w:pPr>
    </w:p>
    <w:p>
      <w:pPr>
        <w:spacing w:after="100"/>
      </w:pPr>
      <w:r>
        <w:rPr>
          <w:rFonts w:ascii="Calibri" w:cs="Calibri" w:eastAsia="Calibri" w:hAnsi="Calibri"/>
        </w:rPr>
        <w:t xml:space="preserve">Outcome after these verdicts, using the run’s own per-row arithmetic with the held rows and the paused-campaign savings removed: spend $-29.87 a day, top-of-search clicks -22.3 a week, orders -3.93 a week. The run booked $-3.62, +89.8 and +17.41. The swaps are not priced in either figure.</w:t>
      </w:r>
    </w:p>
    <w:p>
      <w:pPr>
        <w:spacing w:after="100"/>
      </w:pPr>
      <w:r>
        <w:rPr>
          <w:rFonts w:ascii="Calibri" w:cs="Calibri" w:eastAsia="Calibri" w:hAnsi="Calibri"/>
        </w:rPr>
        <w:t xml:space="preserve">The per-row verdicts are in SSS4_Review_Rows_20260924-9b6d678f.xlsx. It has one row per decision, with the engine’s value, the stored review’s verdict, the verdict here, the finding code (C1–C11) and the reason.</w:t>
      </w:r>
    </w:p>
    <w:p>
      <w:pPr>
        <w:pStyle w:val="Heading1"/>
      </w:pPr>
      <w:r>
        <w:rPr>
          <w:rFonts w:ascii="Calibri" w:cs="Calibri" w:eastAsia="Calibri" w:hAnsi="Calibri"/>
        </w:rPr>
        <w:t xml:space="preserve">G. What this run adds to the engine gap list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000"/>
        <w:gridCol w:w="4200"/>
        <w:gridCol w:w="1772"/>
      </w:tblGrid>
      <w:tr>
        <w:trPr>
          <w:cantSplit/>
          <w:tblHeader/>
        </w:trPr>
        <w:tc>
          <w:tcPr>
            <w:tcW w:type="dxa" w:w="4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Seen here</w:t>
            </w:r>
          </w:p>
        </w:tc>
        <w:tc>
          <w:tcPr>
            <w:tcW w:type="dxa" w:w="4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Gap (improvement document)</w:t>
            </w:r>
          </w:p>
        </w:tc>
        <w:tc>
          <w:tcPr>
            <w:tcW w:type="dxa" w:w="1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Status</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Writes and booked savings on paused campaigns</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T1, E3</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Recurs (SCS4: 15 writes)</w:t>
            </w:r>
          </w:p>
        </w:tc>
      </w:tr>
      <w:tr>
        <w:trPr>
          <w:cantSplit/>
          <w:tblHeader w:val="false"/>
        </w:trPr>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Swaps skip at apply; renames stamp swap targets</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S1, S2</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Recurs</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Cross-size swaps; cover read on the hero, not at the swapped pace</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S4, S3</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Recurs</w:t>
            </w:r>
          </w:p>
        </w:tc>
      </w:tr>
      <w:tr>
        <w:trPr>
          <w:cantSplit/>
          <w:tblHeader w:val="false"/>
        </w:trPr>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Single-day and wrong-date rank reads freeze campaigns</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I2, I3; RR4, RR5</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Recurs</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Stock-out rank losses missed</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RR6 (event log without a stock-out class), RR19</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Recurs</w:t>
            </w:r>
          </w:p>
        </w:tc>
      </w:tr>
      <w:tr>
        <w:trPr>
          <w:cantSplit/>
          <w:tblHeader w:val="false"/>
        </w:trPr>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 IMPROVE claims on cut rows</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E4, RR10</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Recurs</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Outcome booked on unbuilt campaigns</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E3</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Recurs</w:t>
            </w:r>
          </w:p>
        </w:tc>
      </w:tr>
      <w:tr>
        <w:trPr>
          <w:cantSplit/>
          <w:tblHeader w:val="false"/>
        </w:trPr>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Campaigns missing from the export</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I7</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Recurs</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Duplicate build instead of re-enable</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T3</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Recurs</w:t>
            </w:r>
          </w:p>
        </w:tc>
      </w:tr>
      <w:tr>
        <w:trPr>
          <w:cantSplit/>
          <w:tblHeader w:val="false"/>
        </w:trPr>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posture declaration: a TACoS band breach becomes a budget “rung”</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New: P15. Compute posture from TACoS against band (SOP-26 R1) before any row, and gate row kinds on it</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New</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Brand terms read as generic</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New: I12. Brand list per product, including trading names (Sleep Sanctuary / Sleephoria)</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New</w:t>
            </w:r>
          </w:p>
        </w:tc>
      </w:tr>
      <w:tr>
        <w:trPr>
          <w:cantSplit/>
          <w:tblHeader w:val="false"/>
        </w:trPr>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Dark enabled campaigns read as live</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New: I13. A campaign with spend in 90 days and none in 14 is a finding before it is priced</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New</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fold keeps a dead survivor</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New: T8. Test the survivor’s last 14 days before folding</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New</w:t>
            </w:r>
          </w:p>
        </w:tc>
      </w:tr>
      <w:tr>
        <w:trPr>
          <w:cantSplit/>
          <w:tblHeader w:val="false"/>
        </w:trPr>
        <w:tc>
          <w:tcPr>
            <w:tcW w:type="dxa" w:w="4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Prose and written value disagree while the check passes</w:t>
            </w:r>
          </w:p>
        </w:tc>
        <w:tc>
          <w:tcPr>
            <w:tcW w:type="dxa" w:w="4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E7, and the engine check itself</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New failure of an existing check</w:t>
            </w:r>
          </w:p>
        </w:tc>
      </w:tr>
      <w:tr>
        <w:trPr>
          <w:cantSplit/>
          <w:tblHeader w:val="false"/>
        </w:trPr>
        <w:tc>
          <w:tcPr>
            <w:tcW w:type="dxa" w:w="4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Stage label differs between header and sweep</w:t>
            </w:r>
          </w:p>
        </w:tc>
        <w:tc>
          <w:tcPr>
            <w:tcW w:type="dxa" w:w="4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New: I14. One stage per run, read once</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New</w:t>
            </w:r>
          </w:p>
        </w:tc>
      </w:tr>
    </w:tbl>
    <w:p>
      <w:pPr>
        <w:spacing w:after="80"/>
      </w:pPr>
    </w:p>
    <w:sectPr>
      <w:footerReference w:type="default" r:id="rId7"/>
      <w:pgSz w:w="12240" w:h="15840"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SSS4 audit review · run 20260924-9b6d678f · 25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SSS4 audit review</dc:title>
  <dc:creator>Claude Code</dc:creator>
  <cp:lastModifiedBy>Un-named</cp:lastModifiedBy>
  <cp:revision>1</cp:revision>
  <dcterms:created xsi:type="dcterms:W3CDTF">2026-09-25T05:27:08.873Z</dcterms:created>
  <dcterms:modified xsi:type="dcterms:W3CDTF">2026-09-25T05:27:08.873Z</dcterms:modified>
</cp:coreProperties>
</file>

<file path=docProps/custom.xml><?xml version="1.0" encoding="utf-8"?>
<Properties xmlns="http://schemas.openxmlformats.org/officeDocument/2006/custom-properties" xmlns:vt="http://schemas.openxmlformats.org/officeDocument/2006/docPropsVTypes"/>
</file>