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Corrections to the 24 September run — Sleephoria Cooling Sheets 4 Piece (SCS4)</w:t>
      </w:r>
    </w:p>
    <w:p>
      <w:pPr>
        <w:spacing w:after="100"/>
      </w:pPr>
      <w:r>
        <w:rPr>
          <w:rFonts w:ascii="Calibri" w:cs="Calibri" w:eastAsia="Calibri" w:hAnsi="Calibri"/>
        </w:rPr>
        <w:t xml:space="preserve">SCS4 is in Re-Launch with no deal on the calendar (09-24 → 10-24 is empty; the engine read no deal). The run focuses four groups — Cooling, Cooling|Queen, Cooling|King and Cooling|Twin — and its job is to climb their exact ranking terms by buying top-of-search clicks. Unlike B6, SCS4 was not starved of traffic: the 22 August build-out lifted ad clicks from about 52 to 174 a day and the King and generic groups climbed hard (Cooling|King 88 → 23, Cooling 51 → 23, 7-day medians, 24 Aug → 23 Sep). But the head term “cooling sheets” slid 8 → 17.5 over the same weeks, ad clicks have fallen back to 107 a day since 15 September, and in-focus ranking campaigns land 27% of their clicks on product pages. Every price correction below is derived with the logic in “Bids and placements on Exact campaigns”: a ceiling at every placement from the serving child’s contribution × that placement’s conversion (the campaign’s own rate blended in from 15 clicks, fully its own from 50); a premium above the top-of-search ceiling only where a push is sized, dated, ceilinged, predicted and funded and the four conditions hold; each write one capped step (at most 30% of the current top-of-search price); the base cut where product pages take more than 20% of clicks; and every row stated as two prices, never a percentage.</w:t>
      </w:r>
    </w:p>
    <w:p>
      <w:pPr>
        <w:spacing w:after="100"/>
      </w:pPr>
      <w:r>
        <w:rPr>
          <w:rFonts w:ascii="Calibri" w:cs="Calibri" w:eastAsia="Calibri" w:hAnsi="Calibri"/>
        </w:rPr>
        <w:t xml:space="preserve">Each section gives the rule, what the run did, two or three campaigns where the run’s action is the problem, and the correction; every other campaign follows the same rule and is listed in the appendix (Table 3). Ranks throughout are the tracker’s 7-day median — the run sizes and freezes on single-day reads, and that is where all four of its “rank collapses” come from (A.8). Contribution is Command Center’s per-child landed-cost figure ($26.53 King White, $20.55 Queen Graphite, $13.45 Twin Graphite), not the $30.37 per unit the run priced on (C.1). Part D answers the question for SCS4 — are we short of top-of-search traffic, or short of CTR/CVR at the top — with the performance-vs-tuning history, the syntax groups, the main keywords, competitors, the campaign types that should also be running and the metrics the app should read.</w:t>
      </w:r>
    </w:p>
    <w:p>
      <w:pPr>
        <w:pStyle w:val="Heading2"/>
      </w:pPr>
      <w:r>
        <w:rPr>
          <w:rFonts w:ascii="Calibri" w:cs="Calibri" w:eastAsia="Calibri" w:hAnsi="Calibri"/>
        </w:rPr>
        <w:t xml:space="preserve">Where clicks land today</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89"/>
        <w:gridCol w:w="1553"/>
        <w:gridCol w:w="1194"/>
        <w:gridCol w:w="1194"/>
        <w:gridCol w:w="1194"/>
        <w:gridCol w:w="1074"/>
        <w:gridCol w:w="1074"/>
      </w:tblGrid>
      <w:tr>
        <w:trPr>
          <w:cantSplit/>
          <w:tblHeader/>
        </w:trPr>
        <w:tc>
          <w:tcPr>
            <w:tcW w:type="dxa" w:w="2689"/>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1553"/>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Window</w:t>
            </w:r>
          </w:p>
        </w:tc>
        <w:tc>
          <w:tcPr>
            <w:tcW w:type="dxa" w:w="119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Top of search</w:t>
            </w:r>
          </w:p>
        </w:tc>
        <w:tc>
          <w:tcPr>
            <w:tcW w:type="dxa" w:w="119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Product pages</w:t>
            </w:r>
          </w:p>
        </w:tc>
        <w:tc>
          <w:tcPr>
            <w:tcW w:type="dxa" w:w="119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Rest of search</w:t>
            </w:r>
          </w:p>
        </w:tc>
        <w:tc>
          <w:tcPr>
            <w:tcW w:type="dxa" w:w="107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share</w:t>
            </w:r>
          </w:p>
        </w:tc>
        <w:tc>
          <w:tcPr>
            <w:tcW w:type="dxa" w:w="107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PP share</w:t>
            </w:r>
          </w:p>
        </w:tc>
      </w:tr>
      <w:tr>
        <w:trPr>
          <w:cantSplit/>
          <w:tblHeader w:val="false"/>
        </w:trPr>
        <w:tc>
          <w:tcPr>
            <w:tcW w:type="dxa" w:w="26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In-focus exact ranking</w:t>
            </w:r>
          </w:p>
        </w:tc>
        <w:tc>
          <w:tcPr>
            <w:tcW w:type="dxa" w:w="155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last 14 days</w:t>
            </w:r>
          </w:p>
        </w:tc>
        <w:tc>
          <w:tcPr>
            <w:tcW w:type="dxa" w:w="119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548</w:t>
            </w:r>
          </w:p>
        </w:tc>
        <w:tc>
          <w:tcPr>
            <w:tcW w:type="dxa" w:w="119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217</w:t>
            </w:r>
          </w:p>
        </w:tc>
        <w:tc>
          <w:tcPr>
            <w:tcW w:type="dxa" w:w="119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48</w:t>
            </w:r>
          </w:p>
        </w:tc>
        <w:tc>
          <w:tcPr>
            <w:tcW w:type="dxa" w:w="107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107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r>
      <w:tr>
        <w:trPr>
          <w:cantSplit/>
          <w:tblHeader w:val="false"/>
        </w:trPr>
        <w:tc>
          <w:tcPr>
            <w:tcW w:type="dxa" w:w="26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155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last 8 days</w:t>
            </w:r>
          </w:p>
        </w:tc>
        <w:tc>
          <w:tcPr>
            <w:tcW w:type="dxa" w:w="119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282</w:t>
            </w:r>
          </w:p>
        </w:tc>
        <w:tc>
          <w:tcPr>
            <w:tcW w:type="dxa" w:w="119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118</w:t>
            </w:r>
          </w:p>
        </w:tc>
        <w:tc>
          <w:tcPr>
            <w:tcW w:type="dxa" w:w="119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107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107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w:t>
            </w:r>
          </w:p>
        </w:tc>
      </w:tr>
      <w:tr>
        <w:trPr>
          <w:cantSplit/>
          <w:tblHeader w:val="false"/>
        </w:trPr>
        <w:tc>
          <w:tcPr>
            <w:tcW w:type="dxa" w:w="26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Out-of-focus exact ranking</w:t>
            </w:r>
          </w:p>
        </w:tc>
        <w:tc>
          <w:tcPr>
            <w:tcW w:type="dxa" w:w="155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last 14 days</w:t>
            </w:r>
          </w:p>
        </w:tc>
        <w:tc>
          <w:tcPr>
            <w:tcW w:type="dxa" w:w="119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119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119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7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65%</w:t>
            </w:r>
          </w:p>
        </w:tc>
        <w:tc>
          <w:tcPr>
            <w:tcW w:type="dxa" w:w="107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r>
      <w:tr>
        <w:trPr>
          <w:cantSplit/>
          <w:tblHeader w:val="false"/>
        </w:trPr>
        <w:tc>
          <w:tcPr>
            <w:tcW w:type="dxa" w:w="26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155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last 8 days</w:t>
            </w:r>
          </w:p>
        </w:tc>
        <w:tc>
          <w:tcPr>
            <w:tcW w:type="dxa" w:w="119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119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19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7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107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r>
      <w:tr>
        <w:trPr>
          <w:cantSplit/>
          <w:tblHeader w:val="false"/>
        </w:trPr>
        <w:tc>
          <w:tcPr>
            <w:tcW w:type="dxa" w:w="26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All exact ranking</w:t>
            </w:r>
          </w:p>
        </w:tc>
        <w:tc>
          <w:tcPr>
            <w:tcW w:type="dxa" w:w="155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last 14 days</w:t>
            </w:r>
          </w:p>
        </w:tc>
        <w:tc>
          <w:tcPr>
            <w:tcW w:type="dxa" w:w="119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609</w:t>
            </w:r>
          </w:p>
        </w:tc>
        <w:tc>
          <w:tcPr>
            <w:tcW w:type="dxa" w:w="119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245</w:t>
            </w:r>
          </w:p>
        </w:tc>
        <w:tc>
          <w:tcPr>
            <w:tcW w:type="dxa" w:w="119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w:t>
            </w:r>
          </w:p>
        </w:tc>
        <w:tc>
          <w:tcPr>
            <w:tcW w:type="dxa" w:w="107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107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r>
      <w:tr>
        <w:trPr>
          <w:cantSplit/>
          <w:tblHeader w:val="false"/>
        </w:trPr>
        <w:tc>
          <w:tcPr>
            <w:tcW w:type="dxa" w:w="26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155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last 8 days</w:t>
            </w:r>
          </w:p>
        </w:tc>
        <w:tc>
          <w:tcPr>
            <w:tcW w:type="dxa" w:w="119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313</w:t>
            </w:r>
          </w:p>
        </w:tc>
        <w:tc>
          <w:tcPr>
            <w:tcW w:type="dxa" w:w="119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124</w:t>
            </w:r>
          </w:p>
        </w:tc>
        <w:tc>
          <w:tcPr>
            <w:tcW w:type="dxa" w:w="119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07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107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w:t>
            </w:r>
          </w:p>
        </w:tc>
      </w:tr>
    </w:tbl>
    <w:p>
      <w:pPr>
        <w:spacing w:after="80"/>
      </w:pPr>
    </w:p>
    <w:p>
      <w:pPr>
        <w:spacing w:after="100"/>
      </w:pPr>
      <w:r>
        <w:rPr>
          <w:rFonts w:ascii="Calibri" w:cs="Calibri" w:eastAsia="Calibri" w:hAnsi="Calibri"/>
        </w:rPr>
        <w:t xml:space="preserve">In focus the mix is outside the target (top of search above 70%, product pages at or under 20%) and the volume is a sliver of the plan: the 60 in-focus campaigns that carry a click requirement need 3,935 top-of-search clicks a week between them and got 195 in the last 8 days (5%). Unlike B6, the leak sits in the in-focus campaigns themselves — out of focus spends $17 a day — so the base cuts go on in-focus rows, in the same write as their price step (A.3).</w:t>
      </w:r>
    </w:p>
    <w:p>
      <w:pPr>
        <w:pStyle w:val="Heading2"/>
      </w:pPr>
      <w:r>
        <w:rPr>
          <w:rFonts w:ascii="Calibri" w:cs="Calibri" w:eastAsia="Calibri" w:hAnsi="Calibri"/>
        </w:rPr>
        <w:t xml:space="preserve">Windows and sources</w:t>
      </w:r>
    </w:p>
    <w:p>
      <w:pPr>
        <w:spacing w:after="100"/>
      </w:pPr>
      <w:r>
        <w:rPr>
          <w:rFonts w:ascii="Calibri" w:cs="Calibri" w:eastAsia="Calibri" w:hAnsi="Calibri"/>
        </w:rPr>
        <w:t xml:space="preserve">Amazon’s campaign placement report (Command Center), per campaign: 90 days (06-25 → 09-23) for conversion by placement; the last 14 days (09-10 → 09-23) for where clicks land; the last 8 days (09-16 → 09-23) against the 31 days before (08-16 → 09-15) for delivery; the last 7 and 3 days for budget use and whether a campaign is still serving. Ranks: the DataRova organic crawl (Command Center), 7-day median of ranked days. Economics: Command Center product context (price − referral − fulfilment − landed cost, per SKU). Top-of-search impression share is the engine’s own read, quoted from each campaign’s READ line. Orders in the last seven days are still filling in (7-day attribution). Command Center holds no logged decisions for this product, so the change rounds are dated from the run’s own “last read change” notes (22 Aug, 9 Sep, 13 Sep) and the 22 September run (review 8).</w:t>
      </w:r>
    </w:p>
    <w:p>
      <w:pPr>
        <w:pStyle w:val="Heading2"/>
      </w:pPr>
      <w:r>
        <w:rPr>
          <w:rFonts w:ascii="Calibri" w:cs="Calibri" w:eastAsia="Calibri" w:hAnsi="Calibri"/>
        </w:rPr>
        <w:t xml:space="preserve">The prices this document uses (Table 1 — per-child economics)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500"/>
        <w:gridCol w:w="1150"/>
        <w:gridCol w:w="1150"/>
        <w:gridCol w:w="900"/>
        <w:gridCol w:w="900"/>
        <w:gridCol w:w="11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Serving child (terms it carries)</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Contribution</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rate (clicks / orders, 90d)</w:t>
            </w:r>
          </w:p>
        </w:tc>
        <w:tc>
          <w:tcPr>
            <w:tcW w:type="dxa" w:w="11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ROS rate</w:t>
            </w:r>
          </w:p>
        </w:tc>
        <w:tc>
          <w:tcPr>
            <w:tcW w:type="dxa" w:w="11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PP rate</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ceiling</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ROS ceiling</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PP ceiling = base target</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KING-WHITE (King terms)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$26.53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15.0% (767 / 115)</w:t>
            </w:r>
          </w:p>
        </w:tc>
        <w:tc>
          <w:tcPr>
            <w:tcW w:type="dxa" w:w="11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14.5% (110 / 16)</w:t>
            </w:r>
          </w:p>
        </w:tc>
        <w:tc>
          <w:tcPr>
            <w:tcW w:type="dxa" w:w="11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 (322 / 29)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$3.85</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$2.39</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QUEEN-GRAPHITE (Queen and generic terms)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$20.55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10.3% (1,292 / 133)</w:t>
            </w:r>
          </w:p>
        </w:tc>
        <w:tc>
          <w:tcPr>
            <w:tcW w:type="dxa" w:w="11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8.1% (186 / 15)</w:t>
            </w:r>
          </w:p>
        </w:tc>
        <w:tc>
          <w:tcPr>
            <w:tcW w:type="dxa" w:w="11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5.4% (442 / 24)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$1.66</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$1.11</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TWIN-GRAPHITE (Twin terms)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$13.45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14.6% (96 / 14)</w:t>
            </w:r>
          </w:p>
        </w:tc>
        <w:tc>
          <w:tcPr>
            <w:tcW w:type="dxa" w:w="11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10.5% (19 / 2)</w:t>
            </w:r>
          </w:p>
        </w:tc>
        <w:tc>
          <w:tcPr>
            <w:tcW w:type="dxa" w:w="11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10.8% (74 / 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$1.41</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$1.45</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CAL-KING-GRAPHITE (Cal King terms)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$19.50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17.6% (136 / 24)</w:t>
            </w:r>
          </w:p>
        </w:tc>
        <w:tc>
          <w:tcPr>
            <w:tcW w:type="dxa" w:w="11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7.3% (all in-focus)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$1.42</w:t>
            </w:r>
          </w:p>
        </w:tc>
      </w:tr>
    </w:tbl>
    <w:p>
      <w:pPr>
        <w:spacing w:after="80"/>
      </w:pPr>
    </w:p>
    <w:p>
      <w:pPr>
        <w:spacing w:after="100"/>
      </w:pPr>
      <w:r>
        <w:rPr>
          <w:rFonts w:ascii="Calibri" w:cs="Calibri" w:eastAsia="Calibri" w:hAnsi="Calibri"/>
        </w:rPr>
        <w:t xml:space="preserve">The rates are the child’s planning rates: every in-focus exact ranking campaign that carries that size’s terms, 90 days, Amazon’s placement report. A campaign prices on its own rate once it has earned it — under 15 clicks at a placement, the child’s rate; 15 or more with at least one order, blended by click count (weight = (clicks − 15) ÷ 35); 50 or more, its own. Fifteen or more with no orders stays on the child’s rate: zero on a thin sample is an absence of evidence.</w:t>
      </w:r>
    </w:p>
    <w:p>
      <w:pPr>
        <w:spacing w:after="100"/>
      </w:pPr>
      <w:r>
        <w:rPr>
          <w:rFonts w:ascii="Calibri" w:cs="Calibri" w:eastAsia="Calibri" w:hAnsi="Calibri"/>
        </w:rPr>
        <w:t xml:space="preserve">The five bounds, in order: the base is derived from the serving child, never inherited; the modifier never exceeds 900%; the market bound — what the position clears at plus 15% — taken from the one measured figure the run carries, the $5.13 effective top-of-search price that the account’s campaigns holding 30%+ top-of-search share pay (n = 49), so $5.90; no click costs more than the unit earns (the child’s contribution); a flat $8 backstop. The $5.13 reference and its 15% tolerance are working estimates and account-wide; any row this bound actually stops carries that by name. On a Queen row priced on the child’s 10.3% the bound means up to $36.73 lost per top-of-search order at the destination (1.8× contribution) — the bound, not the per-unit figure, is what stops the climb; DBS6’s operator stop (3× contribution per order) would sit just above it. The base floor is $0.50.</w:t>
      </w:r>
    </w:p>
    <w:p>
      <w:pPr>
        <w:spacing w:after="100"/>
      </w:pPr>
      <w:r>
        <w:rPr>
          <w:rFonts w:ascii="Calibri" w:cs="Calibri" w:eastAsia="Calibri" w:hAnsi="Calibri"/>
        </w:rPr>
        <w:t xml:space="preserve">One open question is flagged by name on every row it touches: the run priced on $30.37 contribution per unit (break-even ACoS 39.1%, “profitability” source), and its PRICES lines use about $28–$29.50 per order (basket × break-even ACoS). Command Center’s landed-cost contribution is $26.53 on King White and $20.55 on Queen Graphite. On Queen that is 42% less than the run assumed, so every Queen ceiling and loss-per-order line in the run is overstated by about that much (C.1).</w:t>
      </w:r>
    </w:p>
    <w:p>
      <w:pPr>
        <w:pStyle w:val="Heading1"/>
      </w:pPr>
      <w:r>
        <w:rPr>
          <w:rFonts w:ascii="Calibri" w:cs="Calibri" w:eastAsia="Calibri" w:hAnsi="Calibri"/>
        </w:rPr>
        <w:t xml:space="preserve">Part A — In-focus exact ranking campaigns: priced by the logic document</w:t>
      </w:r>
    </w:p>
    <w:p>
      <w:pPr>
        <w:spacing w:after="100"/>
      </w:pPr>
      <w:r>
        <w:rPr>
          <w:rFonts w:ascii="Calibri" w:cs="Calibri" w:eastAsia="Calibri" w:hAnsi="Calibri"/>
        </w:rPr>
        <w:t xml:space="preserve">The rule. From 09-25 every enabled in-focus exact ranking campaign gets one write of the four kinds — distribution fix, funding step, combined write, descent to a named point — and the row says which and why. The target price is where the term is headed: the top-of-search ceiling, lifted by the binding gap (rank gap = rank ÷ target; delivery gap = required ÷ actual top-of-search clicks a day, counted only when the budget is intact and share is low): ≤ 1.0 no lift, ≤ 1.5 +25%, above that (ratio − 1) × 0.5, then held to the five bounds. The write is one capped step toward it: +30% of the current top-of-search price where under 30% of the required clicks arrive, +20% at 30–70%, +10% over 70%, none at the requirement. A row with no delivery at all goes straight to its derived price (the ceiling); a premium above the ceiling is never one move.</w:t>
      </w:r>
    </w:p>
    <w:p>
      <w:pPr>
        <w:spacing w:after="100"/>
      </w:pPr>
      <w:r>
        <w:rPr>
          <w:rFonts w:ascii="Calibri" w:cs="Calibri" w:eastAsia="Calibri" w:hAnsi="Calibri"/>
        </w:rPr>
        <w:t xml:space="preserve">A premium above the ceiling needs all five properties — Sized (a click requirement), Dated (checkpoint 10-01, read 10-08), Ceilinged (the loss per order stated at this write and at the destination), Predicted (a rank read to predict from) and Funded (inside the envelope below) — and the four conditions: velocity in the window (no deal, so the envelope is the velocity), top-of-search CTR above the market on the term, top-of-search CVR above the market on the term, and stock after on the serving child. Miss one and the campaign keeps its Ranking objective but is priced at its ceiling, with the reason named.</w:t>
      </w:r>
    </w:p>
    <w:p>
      <w:pPr>
        <w:spacing w:after="100"/>
      </w:pPr>
      <w:r>
        <w:rPr>
          <w:rFonts w:ascii="Calibri" w:cs="Calibri" w:eastAsia="Calibri" w:hAnsi="Calibri"/>
        </w:rPr>
        <w:t xml:space="preserve">What every write covers. The base moves only for distribution: product pages over 20% of the last 14 days’ clicks → base −10% at 20–30%, −20% at 30–50%, −35% above, never more than 25% where product pages carried an order; under 15 clicks in 14 days there is no distribution to fix and the base holds. The modifier is solved backward: modifier = (top-of-search price ÷ base) − 1, capped at 900%. The budget rises 30% only where the last 7 days used 80% or more of it; then the price holds, because every rate on a campaign that runs out of money is truncated.</w:t>
      </w:r>
    </w:p>
    <w:p>
      <w:pPr>
        <w:spacing w:after="100"/>
      </w:pPr>
      <w:r>
        <w:rPr>
          <w:rFonts w:ascii="Calibri" w:cs="Calibri" w:eastAsia="Calibri" w:hAnsi="Calibri"/>
        </w:rPr>
        <w:t xml:space="preserve">What the run did. Of the 86 enabled in-focus campaigns, the run raised the top-of-search price on 56, cut it on 2 and left it where it was on 28 (11 of them with a base cut that holds the price “to the cent”). It raised prices on 11 campaigns it keeps paused, held rows as “not in the auction” for a person to re-price, froze 4 campaigns on single-day rank reads, and capped every climb at a “market limit” built from the campaign’s own paid top-of-search CPC + 15%.</w:t>
      </w:r>
    </w:p>
    <w:p>
      <w:pPr>
        <w:pStyle w:val="Heading1"/>
      </w:pPr>
      <w:r>
        <w:rPr>
          <w:rFonts w:ascii="Calibri" w:cs="Calibri" w:eastAsia="Calibri" w:hAnsi="Calibri"/>
        </w:rPr>
        <w:t xml:space="preserve">A.1 The re-solve in numbers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587"/>
        <w:gridCol w:w="950"/>
        <w:gridCol w:w="950"/>
        <w:gridCol w:w="1002"/>
        <w:gridCol w:w="1161"/>
        <w:gridCol w:w="950"/>
        <w:gridCol w:w="1372"/>
      </w:tblGrid>
      <w:tr>
        <w:trPr>
          <w:cantSplit/>
          <w:tblHeader/>
        </w:trPr>
        <w:tc>
          <w:tcPr>
            <w:tcW w:type="dxa" w:w="3587"/>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Write</w:t>
            </w:r>
          </w:p>
        </w:tc>
        <w:tc>
          <w:tcPr>
            <w:tcW w:type="dxa" w:w="9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9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 raised TOS</w:t>
            </w:r>
          </w:p>
        </w:tc>
        <w:tc>
          <w:tcPr>
            <w:tcW w:type="dxa" w:w="100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 cut or held</w:t>
            </w:r>
          </w:p>
        </w:tc>
        <w:tc>
          <w:tcPr>
            <w:tcW w:type="dxa" w:w="116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Base cut in the same write</w:t>
            </w:r>
          </w:p>
        </w:tc>
        <w:tc>
          <w:tcPr>
            <w:tcW w:type="dxa" w:w="9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Budget +30%</w:t>
            </w:r>
          </w:p>
        </w:tc>
        <w:tc>
          <w:tcPr>
            <w:tcW w:type="dxa" w:w="1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Median per TOS order at the new price</w:t>
            </w:r>
          </w:p>
        </w:tc>
      </w:tr>
      <w:tr>
        <w:trPr>
          <w:cantSplit/>
          <w:tblHeader w:val="false"/>
        </w:trPr>
        <w:tc>
          <w:tcPr>
            <w:tcW w:type="dxa" w:w="358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 funding step — under 30% of the required clicks delivered</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00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1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$15.28 loss</w:t>
            </w:r>
          </w:p>
        </w:tc>
      </w:tr>
      <w:tr>
        <w:trPr>
          <w:cantSplit/>
          <w:tblHeader w:val="false"/>
        </w:trPr>
        <w:tc>
          <w:tcPr>
            <w:tcW w:type="dxa" w:w="358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 funding step — 30–70% delivered</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1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$9.55 loss</w:t>
            </w:r>
          </w:p>
        </w:tc>
      </w:tr>
      <w:tr>
        <w:trPr>
          <w:cantSplit/>
          <w:tblHeader w:val="false"/>
        </w:trPr>
        <w:tc>
          <w:tcPr>
            <w:tcW w:type="dxa" w:w="358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Straight to the ceiling — no delivery at all, priced under it</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1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$0.00 margin</w:t>
            </w:r>
          </w:p>
        </w:tc>
      </w:tr>
      <w:tr>
        <w:trPr>
          <w:cantSplit/>
          <w:tblHeader w:val="false"/>
        </w:trPr>
        <w:tc>
          <w:tcPr>
            <w:tcW w:type="dxa" w:w="358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Budget +30%, price holds — budget used 80%+ in the last 7 days</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1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$6.04 loss</w:t>
            </w:r>
          </w:p>
        </w:tc>
      </w:tr>
      <w:tr>
        <w:trPr>
          <w:cantSplit/>
          <w:tblHeader w:val="false"/>
        </w:trPr>
        <w:tc>
          <w:tcPr>
            <w:tcW w:type="dxa" w:w="358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Price probe −5% — delivery at requirement, price above its sized target</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00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1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$9.50 loss</w:t>
            </w:r>
          </w:p>
        </w:tc>
      </w:tr>
      <w:tr>
        <w:trPr>
          <w:cantSplit/>
          <w:tblHeader w:val="false"/>
        </w:trPr>
        <w:tc>
          <w:tcPr>
            <w:tcW w:type="dxa" w:w="358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Priced at the ceiling — climb to it (no premium: no rank, not sized, or a condition missing)</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00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1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$1.20 margin</w:t>
            </w:r>
          </w:p>
        </w:tc>
      </w:tr>
      <w:tr>
        <w:trPr>
          <w:cantSplit/>
          <w:tblHeader w:val="false"/>
        </w:trPr>
        <w:tc>
          <w:tcPr>
            <w:tcW w:type="dxa" w:w="358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Priced at the ceiling — descent to it (a named point)</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00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1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$0.03 loss</w:t>
            </w:r>
          </w:p>
        </w:tc>
      </w:tr>
      <w:tr>
        <w:trPr>
          <w:cantSplit/>
          <w:tblHeader w:val="false"/>
        </w:trPr>
        <w:tc>
          <w:tcPr>
            <w:tcW w:type="dxa" w:w="358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86</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w:t>
            </w:r>
          </w:p>
        </w:tc>
        <w:tc>
          <w:tcPr>
            <w:tcW w:type="dxa" w:w="100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1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r>
    </w:tbl>
    <w:p>
      <w:pPr>
        <w:spacing w:after="80"/>
      </w:pPr>
    </w:p>
    <w:p>
      <w:pPr>
        <w:spacing w:after="100"/>
      </w:pPr>
      <w:r>
        <w:rPr>
          <w:rFonts w:ascii="Calibri" w:cs="Calibri" w:eastAsia="Calibri" w:hAnsi="Calibri"/>
        </w:rPr>
        <w:t xml:space="preserve">TOS price = base × (1 + TOS modifier); the modifier is solved from the price decided and the base. Loss or margin per top-of-search order = price ÷ the campaign’s top-of-search conversion rate − the serving child’s contribution.</w:t>
      </w:r>
    </w:p>
    <w:p>
      <w:pPr>
        <w:spacing w:after="100"/>
      </w:pPr>
      <w:r>
        <w:rPr>
          <w:rFonts w:ascii="Calibri" w:cs="Calibri" w:eastAsia="Calibri" w:hAnsi="Calibri"/>
        </w:rPr>
        <w:t xml:space="preserve">The envelope. These 86 campaigns spent $160.72 a day over the last 14 days. At the corrected prices with clicks unchanged they would spend about $168.70; if each raise buys what the engine’s own response book says a top-of-search raise has bought on this account (×1.66 top-of-search clicks, a named estimate), about $221 a day. That sits inside the $577 a day the reviewed run already carries for the whole product (review 13), so the push is Funded at that level: $221 a day, $1,547 for 09-25 → 10-01, and every row stops at its own loss line. Buying the full plan requirement at these prices would cost about $2,070 a day — $653 of it “cooling sheets” alone. That is not written as funded: it is a shortfall of about $1,850 a day against the envelope, and a decision to take (A.2).</w:t>
      </w:r>
    </w:p>
    <w:p>
      <w:pPr>
        <w:spacing w:after="40"/>
        <w:ind w:left="360"/>
      </w:pPr>
      <w:r>
        <w:rPr>
          <w:rFonts w:ascii="Calibri" w:cs="Calibri" w:eastAsia="Calibri" w:hAnsi="Calibri"/>
          <w:color w:val="333333"/>
          <w:sz w:val="19"/>
          <w:szCs w:val="19"/>
        </w:rPr>
        <w:t xml:space="preserve">ceiling = contribution × the campaign’s top-of-search rate (child’s below 15 clicks, blended 15–49, own from 50)</w:t>
      </w:r>
    </w:p>
    <w:p>
      <w:pPr>
        <w:spacing w:after="40"/>
        <w:ind w:left="360"/>
      </w:pPr>
      <w:r>
        <w:rPr>
          <w:rFonts w:ascii="Calibri" w:cs="Calibri" w:eastAsia="Calibri" w:hAnsi="Calibri"/>
          <w:color w:val="333333"/>
          <w:sz w:val="19"/>
          <w:szCs w:val="19"/>
        </w:rPr>
        <w:t xml:space="preserve">target = ceiling × (1 + lift), held to the five bounds · this write = min(target, current × (1 + step))</w:t>
      </w:r>
    </w:p>
    <w:p>
      <w:pPr>
        <w:spacing w:after="40"/>
        <w:ind w:left="360"/>
      </w:pPr>
      <w:r>
        <w:rPr>
          <w:rFonts w:ascii="Calibri" w:cs="Calibri" w:eastAsia="Calibri" w:hAnsi="Calibri"/>
          <w:color w:val="333333"/>
          <w:sz w:val="19"/>
          <w:szCs w:val="19"/>
        </w:rPr>
        <w:t xml:space="preserve">modifier = (TOS price ÷ base) − 1 · loss per order = TOS price ÷ TOS rate − contribution</w:t>
      </w:r>
    </w:p>
    <w:p>
      <w:pPr>
        <w:pStyle w:val="Heading1"/>
      </w:pPr>
      <w:r>
        <w:rPr>
          <w:rFonts w:ascii="Calibri" w:cs="Calibri" w:eastAsia="Calibri" w:hAnsi="Calibri"/>
        </w:rPr>
        <w:t xml:space="preserve">A.2 45 in-focus campaigns short of their clicks that earn a premium — the funding steps</w:t>
      </w:r>
    </w:p>
    <w:p>
      <w:pPr>
        <w:spacing w:after="100"/>
      </w:pPr>
      <w:r>
        <w:rPr>
          <w:rFonts w:ascii="Calibri" w:cs="Calibri" w:eastAsia="Calibri" w:hAnsi="Calibri"/>
        </w:rPr>
        <w:t xml:space="preserve">The rule. Where the requirement is short and the conditions hold — top-of-search CTR and CVR above the market on the term, a rank read, stock on the serving child — the top-of-search price climbs one capped step toward a destination above the ceiling. The destination is almost always the market bound ($5.90): the rank gaps are wide (rank 17.5 against 3 on the head term) and the lift they want is far past what the position clears at. The loss per order at this write is stated on every row; the premium is deliberate, sized and dated, and it stops at whichever comes first — the required clicks arriving, share high enough that more price buys no more auctions, or the bound.</w:t>
      </w:r>
    </w:p>
    <w:p>
      <w:pPr>
        <w:spacing w:after="100"/>
      </w:pPr>
      <w:r>
        <w:rPr>
          <w:rFonts w:ascii="Calibri" w:cs="Calibri" w:eastAsia="Calibri" w:hAnsi="Calibri"/>
        </w:rPr>
        <w:t xml:space="preserve">What the run did. Raised the top-of-search price on 30, held or cut it on 15. Its raises stopped at a “market limit” of the campaign’s own paid top-of-search CPC + 15% — a limit built from what SCS4 paid at 2–8% impression share, not from what wins the slot — and it put its “thin in-focus push” (+25%) on campaigns whose price it had never derived.</w:t>
      </w:r>
    </w:p>
    <w:p>
      <w:pPr>
        <w:spacing w:after="100"/>
      </w:pPr>
      <w:r>
        <w:rPr>
          <w:rFonts w:ascii="Calibri" w:cs="Calibri" w:eastAsia="Calibri" w:hAnsi="Calibri"/>
        </w:rPr>
        <w:t xml:space="preserve">SLEEPHORIA - Cooling Sheets - B0F7LY3K8C - cooling sheets - Exact — rank 8 → 17.5 (7-day median, 24 Aug → 23 Sep), target 3. 90 days: 289 clicks — 227 top of search, 48 product pages, 14 rest of search (79% / 17% / 5%), 25 orders. Last 14 days: 87 clicks — 58 top of search, 28 product pages, 1 rest of search (67% / 32% / 1%). Last 8 days (09-16 → 09-23): 28 top-of-search clicks (3.5/day, against 6.4/day in the 31 days before); last 3 days 14 clicks. Plan needs 1,352 paid clicks a week (193.1/day). Top-of-search impression share 1.52% (the engine's read). Budget $20.00/day, last 7 days 50% used. Top of search converts 9.7% against a market 1.66%. The run writes budget $20.00 → $26.00, modifier 160% → 204%, base $1.00 → $0.90 — top-of-search price $2.60 → $2.74. (The review corrected seq 19 to 189%.) Winning every top-of-search auction the term enters would buy about 800 clicks a week (12.13 a week ÷ 1.52% share) — the 1,352 requirement is above what the whole auction holds, so this row is pushed toward share and graded on share, not on an unbuyable click count. Correction: climb +30% (delivery 2% of requirement) — TOS $2.60 → $3.38; a top-of-search order then costs $34.88 at 9.7% (its own rate) — a loss of $14.33 against $20.55 contribution; ceiling $1.99; destination $5.90 (market bound $5.90); base -20% for product pages at 32% (14d): base $1.00 → $0.80; top of search $3.38 against $0.80 on product pages, 4.22 to one (modifier 322%).</w:t>
      </w:r>
    </w:p>
    <w:p>
      <w:pPr>
        <w:spacing w:after="100"/>
      </w:pPr>
      <w:r>
        <w:rPr>
          <w:rFonts w:ascii="Calibri" w:cs="Calibri" w:eastAsia="Calibri" w:hAnsi="Calibri"/>
        </w:rPr>
        <w:t xml:space="preserve">SLEEPHORIA - Cooling Sheets - B0F7LY3K8C - cool sheets queen - Exact — rank 51 → 16.5 (7-day median, 24 Aug → 23 Sep), target 3. 90 days: 116 clicks — 82 top of search, 15 product pages, 19 rest of search (71% / 13% / 16%), 15 orders. Last 14 days: 39 clicks — 21 top of search, 10 product pages, 8 rest of search (54% / 26% / 21%). Last 8 days (09-16 → 09-23): 11 top-of-search clicks (1.4/day, against 2.3/day in the 31 days before); last 3 days 3 clicks. Plan needs 43 paid clicks a week (6.1/day). Top-of-search impression share 1.63% (the engine's read). Budget $10.00/day, last 7 days 50% used. Top of search converts 15.9% against a market 4.64%. The run writes budget $10.00 → $13.00, modifier 145% → 172%, base $1.20 → $1.08 — the top-of-search price stays $2.94. Correction: climb +30% (delivery 22% of requirement) — TOS $2.94 → $3.82; a top-of-search order then costs $24.10 at 15.8% (its own rate) — a loss of $3.55 against $20.55 contribution; ceiling $3.26; destination $5.90 (market bound $5.90); base -10% for product pages at 26% (14d): base $1.20 → $1.08; top of search $3.82 against $1.08 on product pages, 3.54 to one (modifier 254%).</w:t>
      </w:r>
    </w:p>
    <w:p>
      <w:pPr>
        <w:spacing w:after="100"/>
      </w:pPr>
      <w:r>
        <w:rPr>
          <w:rFonts w:ascii="Calibri" w:cs="Calibri" w:eastAsia="Calibri" w:hAnsi="Calibri"/>
        </w:rPr>
        <w:t xml:space="preserve">SLEEPHORIA - Cooling Sheets - B0F7M19VYV - king bed sheets cooling - Exact — rank 124.5 → 24 (7-day median, 24 Aug → 23 Sep), target 3. 90 days: 21 clicks — 21 top of search, 0 product pages, 0 rest of search (100% / 0% / 0%), 3 orders. Last 14 days: 4 clicks — 4 top of search, 0 product pages, 0 rest of search (100% / 0% / 0%). Last 8 days (09-16 → 09-23): 1 top-of-search clicks (0.1/day, against 0.6/day in the 31 days before); last 3 days 0 clicks. Plan needs 46 paid clicks a week (6.6/day). Top-of-search impression share 8.23% (the engine's read). Budget $10.00/day, last 7 days 5% used. Top of search converts 14.3% against a market 4.78%. The run writes modifier 170% → 209% — top-of-search price $3.65 → $4.17. Correction: climb +30% (delivery 2% of requirement) — TOS $3.65 → $4.75; a top-of-search order then costs $31.92 at 14.9% (its own rate blended at weight 0.17) — a loss of $5.39 against $26.53 contribution; ceiling $3.95; destination $5.90 (market bound $5.90); top of search $4.75 against $1.35 on product pages, 3.52 to one (modifier 252%).</w:t>
      </w:r>
    </w:p>
    <w:p>
      <w:pPr>
        <w:spacing w:after="100"/>
      </w:pPr>
      <w:r>
        <w:rPr>
          <w:rFonts w:ascii="Calibri" w:cs="Calibri" w:eastAsia="Calibri" w:hAnsi="Calibri"/>
        </w:rPr>
        <w:t xml:space="preserve">Correction. Step all 45 by the delivery gap toward the market bound, inside the envelope; read top-of-search clicks and impression share every morning to 10-01. Share rising after a step → step again; share flat → halve the next step; clicks landing on product pages → cut the base, keep the top-of-search price. “cooling sheets” cannot be funded to its plan: 1,352 clicks a week at $3.38 is $653 a day, $5.90 at destination is $1,140 a day. Name it: fund it, or re-base the requirement to what share can buy (about 800 a week if the term were won outright) and grade it on share.</w:t>
      </w:r>
    </w:p>
    <w:p>
      <w:pPr>
        <w:pStyle w:val="Heading1"/>
      </w:pPr>
      <w:r>
        <w:rPr>
          <w:rFonts w:ascii="Calibri" w:cs="Calibri" w:eastAsia="Calibri" w:hAnsi="Calibri"/>
        </w:rPr>
        <w:t xml:space="preserve">A.3 9 in-focus campaigns with product pages over 20% — cut the base and push top of search in the same write</w:t>
      </w:r>
    </w:p>
    <w:p>
      <w:pPr>
        <w:spacing w:after="100"/>
      </w:pPr>
      <w:r>
        <w:rPr>
          <w:rFonts w:ascii="Calibri" w:cs="Calibri" w:eastAsia="Calibri" w:hAnsi="Calibri"/>
        </w:rPr>
        <w:t xml:space="preserve">The rule. Product pages over 20% means money landing on the placement that does not move rank. The base prices product pages, so it comes down (sized to the leak, never more than 25% where product pages carried an order); where top of search is also short of its clicks the price climbs in the same write — the base step is graded on product-page share, the price step on top-of-search clicks, so neither hides the other (the logic document’s combined write).</w:t>
      </w:r>
    </w:p>
    <w:p>
      <w:pPr>
        <w:spacing w:after="100"/>
      </w:pPr>
      <w:r>
        <w:rPr>
          <w:rFonts w:ascii="Calibri" w:cs="Calibri" w:eastAsia="Calibri" w:hAnsi="Calibri"/>
        </w:rPr>
        <w:t xml:space="preserve">What the run did. On 11 in-focus campaigns it wrote the distribution fix alone — base down, modifier up, the top-of-search price held “to the cent” — even where its own RESHAPE line said “COMBINED WRITE allowed: … top of search delivers 45% of its plan clicks”. On the two budget-capped rows the review corrected the modifier so the price holds (seq 13, 19), which is right for them (A.4).</w:t>
      </w:r>
    </w:p>
    <w:p>
      <w:pPr>
        <w:spacing w:after="100"/>
      </w:pPr>
      <w:r>
        <w:rPr>
          <w:rFonts w:ascii="Calibri" w:cs="Calibri" w:eastAsia="Calibri" w:hAnsi="Calibri"/>
        </w:rPr>
        <w:t xml:space="preserve">SLEEPHORIA - Cooling Sheets - B0F7LY3K8C - cooling queen sheets - Exact — rank 43 → 16.5 (7-day median, 24 Aug → 23 Sep), target 3. 90 days: 121 clicks — 72 top of search, 43 product pages, 6 rest of search (60% / 36% / 5%), 13 orders. Last 14 days: 38 clicks — 29 top of search, 9 product pages, 0 rest of search (76% / 24% / 0%). Last 8 days (09-16 → 09-23): 17 top-of-search clicks (2.1/day, against 1.8/day in the 31 days before); last 3 days 9 clicks. Plan needs 26 paid clicks a week (3.7/day). Top-of-search impression share 15.35% (the engine's read). Budget $15.00/day, last 7 days 69% used. Top of search converts 12.5% against a market 3.87%. The run writes budget $15.00 → $17.53, modifier 195% → 256%, base $1.50 → $1.35 — top-of-search price $4.43 → $4.81. Correction: climb +20% (delivery 57% of requirement) — TOS $4.43 → $5.32; a top-of-search order then costs $42.56 at 12.5% (its own rate) — a loss of $22.01 against $20.55 contribution; ceiling $2.57; destination $5.90 (market bound $5.90); base -10% for product pages at 24% (14d): base $1.50 → $1.35; top of search $5.32 against $1.35 on product pages, 3.94 to one (modifier 294%).</w:t>
      </w:r>
    </w:p>
    <w:p>
      <w:pPr>
        <w:spacing w:after="100"/>
      </w:pPr>
      <w:r>
        <w:rPr>
          <w:rFonts w:ascii="Calibri" w:cs="Calibri" w:eastAsia="Calibri" w:hAnsi="Calibri"/>
        </w:rPr>
        <w:t xml:space="preserve">SLEEPHORIA - Cooling Sheets - B0F7LY3K8C - cold sheets for hot sleepers - Exact — rank 29 → 3 (7-day median, 24 Aug → 23 Sep), target 1. 90 days: 79 clicks — 56 top of search, 20 product pages, 3 rest of search (71% / 25% / 4%), 8 orders. Last 14 days: 25 clicks — 16 top of search, 9 product pages, 0 rest of search (64% / 36% / 0%). Last 8 days (09-16 → 09-23): 10 top-of-search clicks (1.2/day, against 1.5/day in the 31 days before); last 3 days 4 clicks. Plan needs 58 paid clicks a week (8.3/day). Budget $10.00/day, last 7 days 52% used. Top of search converts 10.7%. The run writes modifier 140% → 166%, base $1.34 → $1.21 — the top-of-search price stays $3.22. Correction: climb +30% (delivery 15% of requirement) — TOS $3.22 → $4.19; a top-of-search order then costs $39.12 at 10.7% (its own rate) — a loss of $18.57 against $20.55 contribution; ceiling $2.20; destination $5.90 (market bound $5.90); base -20% for product pages at 36% (14d): base $1.34 → $1.07; top of search $4.19 against $1.07 on product pages, 3.92 to one (modifier 292%).</w:t>
      </w:r>
    </w:p>
    <w:p>
      <w:pPr>
        <w:spacing w:after="100"/>
      </w:pPr>
      <w:r>
        <w:rPr>
          <w:rFonts w:ascii="Calibri" w:cs="Calibri" w:eastAsia="Calibri" w:hAnsi="Calibri"/>
        </w:rPr>
        <w:t xml:space="preserve">SCS-SP-Cooling | Sheets | King-HSV-king cooling sheets-Exact-Rank-Multi SKUs — rank 37 → 5 (7-day median, 24 Aug → 23 Sep), target 3. 90 days: 326 clicks — 135 top of search, 171 product pages, 20 rest of search (41% / 52% / 6%), 36 orders. Last 14 days: 101 clicks — 63 top of search, 37 product pages, 1 rest of search (62% / 37% / 1%). Last 8 days (09-16 → 09-23): 33 top-of-search clicks (4.1/day, against 3.2/day in the 31 days before); last 3 days 15 clicks. Plan needs 18 paid clicks a week (2.6/day). Budget $30.00/day, last 7 days 73% used. Top of search converts 11.9%. The run writes modifier 150% → 184%, base $1.80 → $1.58 — top-of-search price $4.50 → $4.49. This is the one in-focus row at its requirement (29 top-of-search clicks a week against 18): the logic document’s answer is the price probe, not a hold at $4.50. Correction: delivery met, price above its sized target: probe down 5% and watch click share — TOS $4.50 → $4.27; a top-of-search order then costs $36.03 at 11.8% (its own rate) — a loss of $9.50 against $26.53 contribution; ceiling $3.14; destination $4.19 (gap-sized premium); base -20% for product pages at 37% (14d): base $1.80 → $1.44; top of search $4.27 against $1.44 on product pages, 2.97 to one (modifier 197%).</w:t>
      </w:r>
    </w:p>
    <w:p>
      <w:pPr>
        <w:spacing w:after="100"/>
      </w:pPr>
      <w:r>
        <w:rPr>
          <w:rFonts w:ascii="Calibri" w:cs="Calibri" w:eastAsia="Calibri" w:hAnsi="Calibri"/>
        </w:rPr>
        <w:t xml:space="preserve">Correction. Write both moves together on every row in the list; if product-page share does not fall by the next read, the leak is not price-driven — restore the base and keep the top-of-search step.</w:t>
      </w:r>
    </w:p>
    <w:p>
      <w:pPr>
        <w:pStyle w:val="Heading1"/>
      </w:pPr>
      <w:r>
        <w:rPr>
          <w:rFonts w:ascii="Calibri" w:cs="Calibri" w:eastAsia="Calibri" w:hAnsi="Calibri"/>
        </w:rPr>
        <w:t xml:space="preserve">A.4 Budget — 2 campaigns are running out of money; 7 of the run’s 9 budget raises are not</w:t>
      </w:r>
    </w:p>
    <w:p>
      <w:pPr>
        <w:spacing w:after="100"/>
      </w:pPr>
      <w:r>
        <w:rPr>
          <w:rFonts w:ascii="Calibri" w:cs="Calibri" w:eastAsia="Calibri" w:hAnsi="Calibri"/>
        </w:rPr>
        <w:t xml:space="preserve">The rule. Budget exhausted: raise the budget and hold the price — every rate on the campaign is truncated until it stops capping out. Budget intact and share low: price, not budget, is the lever.</w:t>
      </w:r>
    </w:p>
    <w:p>
      <w:pPr>
        <w:spacing w:after="100"/>
      </w:pPr>
      <w:r>
        <w:rPr>
          <w:rFonts w:ascii="Calibri" w:cs="Calibri" w:eastAsia="Calibri" w:hAnsi="Calibri"/>
        </w:rPr>
        <w:t xml:space="preserve">What the run did. Raised 9 budgets. It read “budget exhausted” from one day of the pack (“spend $20.38 of $20.00/day = 102%” on “cooling sheets”), not from the week: over the last 7 days “cooling sheets” used 50% of its budget, “cooling queen sheets” 69%, “cooling bed sheets king” 43% and “cool sheets queen” 50%. Two raises sit on campaigns that are paused and one on an out-of-focus Full campaign whose own row says it tapers.</w:t>
      </w:r>
    </w:p>
    <w:p>
      <w:pPr>
        <w:spacing w:after="100"/>
      </w:pPr>
      <w:r>
        <w:rPr>
          <w:rFonts w:ascii="Calibri" w:cs="Calibri" w:eastAsia="Calibri" w:hAnsi="Calibri"/>
        </w:rPr>
        <w:t xml:space="preserve">SLEEPHORIA - Cooling Sheets - B0F7M19VYV - cooling sheets king - Exact — rank 85 → 18 (7-day median, 24 Aug → 23 Sep), target 3. 90 days: 147 clicks — 126 top of search, 19 product pages, 2 rest of search (86% / 13% / 1%), 18 orders. Last 14 days: 76 clicks — 62 top of search, 12 product pages, 2 rest of search (82% / 16% / 3%). Last 8 days (09-16 → 09-23): 37 top-of-search clicks (4.6/day, against 2.9/day in the 31 days before); last 3 days 16 clicks. Plan needs 44 paid clicks a week (6.3/day). Top-of-search impression share 3.37% (the engine's read). Budget $25.00/day, last 7 days 97% used. Top of search converts 13.5% against a market 2.99%. The run writes budget $25.00 → $32.50 — the top-of-search price stays $5.19. Correction: budget exhausted: budget +30%, price holds (rates truncated) — TOS holds at $5.19; a top-of-search order then costs $38.47 at 13.5% (its own rate) — a loss of $11.94 against $26.53 contribution; ceiling $3.58; destination $5.90 (market bound $5.90); top of search $5.19 against $1.72 on product pages, 3.02 to one (modifier 202%); budget $25.00 → $32.50.</w:t>
      </w:r>
    </w:p>
    <w:p>
      <w:pPr>
        <w:spacing w:after="100"/>
      </w:pPr>
      <w:r>
        <w:rPr>
          <w:rFonts w:ascii="Calibri" w:cs="Calibri" w:eastAsia="Calibri" w:hAnsi="Calibri"/>
        </w:rPr>
        <w:t xml:space="preserve">SLEEPHORIA - Cooling Sheets - B0F7M19VYV - cool sheets king size - Exact — rank 49 → 6 (7-day median, 24 Aug → 23 Sep), target 3. 90 days: 225 clicks — 122 top of search, 88 product pages, 15 rest of search (54% / 39% / 7%), 28 orders. Last 14 days: 79 clicks — 46 top of search, 30 product pages, 3 rest of search (58% / 38% / 4%). Last 8 days (09-16 → 09-23): 27 top-of-search clicks (3.4/day, against 3.1/day in the 31 days before); last 3 days 19 clicks. Plan needs 100 paid clicks a week (14.3/day). Top-of-search impression share 2.49% (the engine's read). Budget $20.00/day, last 7 days 93% used. Top of search converts 17.2% against a market 3.26%. The run writes budget $20.00 → $26.00, modifier 170% → 224%, base $1.70 → $1.53 — top-of-search price $4.59 → $4.96. (The review corrected seq 13 to 200%.) Correction: budget exhausted: budget +30%, price holds (rates truncated) — TOS holds at $4.59; a top-of-search order then costs $26.67 at 17.2% (its own rate) — a loss of $0.14 against $26.53 contribution; ceiling $4.57; destination $5.90 (market bound $5.90); base -20% for product pages at 38% (14d): base $1.70 → $1.36; top of search $4.59 against $1.36 on product pages, 3.37 to one (modifier 237%); budget $20.00 → $26.00.</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600"/>
        <w:gridCol w:w="1300"/>
        <w:gridCol w:w="2872"/>
      </w:tblGrid>
      <w:tr>
        <w:trPr>
          <w:cantSplit/>
          <w:tblHeader/>
        </w:trPr>
        <w:tc>
          <w:tcPr>
            <w:tcW w:type="dxa" w:w="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Seq</w:t>
            </w:r>
          </w:p>
        </w:tc>
        <w:tc>
          <w:tcPr>
            <w:tcW w:type="dxa" w:w="3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Budget</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Last 7 days used</w:t>
            </w:r>
          </w:p>
        </w:tc>
        <w:tc>
          <w:tcPr>
            <w:tcW w:type="dxa" w:w="2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Correction</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3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sheets king</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$25.00 → $32.50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97%</w:t>
            </w:r>
          </w:p>
        </w:tc>
        <w:tc>
          <w:tcPr>
            <w:tcW w:type="dxa" w:w="2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keep</w:t>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3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 sheets king size</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$20.00 → $26.00</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93%</w:t>
            </w:r>
          </w:p>
        </w:tc>
        <w:tc>
          <w:tcPr>
            <w:tcW w:type="dxa" w:w="2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keep</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3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sheets</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$20.00 → $26.00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w:t>
            </w:r>
          </w:p>
        </w:tc>
        <w:tc>
          <w:tcPr>
            <w:tcW w:type="dxa" w:w="2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drop — price is the lever (A.2)</w:t>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3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queen sheets</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$15.00 → $17.53</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69%</w:t>
            </w:r>
          </w:p>
        </w:tc>
        <w:tc>
          <w:tcPr>
            <w:tcW w:type="dxa" w:w="2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drop — price is the lever</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3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 king</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$10.00 → $13.00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2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drop — price is the lever</w:t>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3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 sheets queen</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$10.00 → $13.00</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50%</w:t>
            </w:r>
          </w:p>
        </w:tc>
        <w:tc>
          <w:tcPr>
            <w:tcW w:type="dxa" w:w="2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drop — price is the lever</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w:t>
            </w:r>
          </w:p>
        </w:tc>
        <w:tc>
          <w:tcPr>
            <w:tcW w:type="dxa" w:w="3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sheets full size (out of focus)</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$10.00 → $13.00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2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drop — out of focus takes no new money</w:t>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130</w:t>
            </w:r>
          </w:p>
        </w:tc>
        <w:tc>
          <w:tcPr>
            <w:tcW w:type="dxa" w:w="3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king sheets (paused)</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$10.00 → $13.00</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2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drop — paused (A.7)</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781</w:t>
            </w:r>
          </w:p>
        </w:tc>
        <w:tc>
          <w:tcPr>
            <w:tcW w:type="dxa" w:w="3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 sheets (paused)</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$10.00 → $13.00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2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drop — paused (A.7)</w:t>
            </w:r>
          </w:p>
        </w:tc>
      </w:tr>
    </w:tbl>
    <w:p>
      <w:pPr>
        <w:spacing w:after="80"/>
      </w:pPr>
    </w:p>
    <w:p>
      <w:pPr>
        <w:pStyle w:val="Heading1"/>
      </w:pPr>
      <w:r>
        <w:rPr>
          <w:rFonts w:ascii="Calibri" w:cs="Calibri" w:eastAsia="Calibri" w:hAnsi="Calibri"/>
        </w:rPr>
        <w:t xml:space="preserve">A.5 38 in-focus campaigns priced at their ceiling — no rank on file, no requirement, or a condition missing</w:t>
      </w:r>
    </w:p>
    <w:p>
      <w:pPr>
        <w:spacing w:after="100"/>
      </w:pPr>
      <w:r>
        <w:rPr>
          <w:rFonts w:ascii="Calibri" w:cs="Calibri" w:eastAsia="Calibri" w:hAnsi="Calibri"/>
        </w:rPr>
        <w:t xml:space="preserve">The rule. A push carries a rank prediction; a term with no rank on file has nothing to predict against. It is enabled at the ceiling with no premium and becomes a push candidate the moment a rank read exists. The same holds for a row with no click requirement (not Sized) and for a row whose conversion or click-through at the top is under the market (a premium does not shorten a climb that the listing cannot convert). 25 of these 38 have no rank on file: their terms are not in the tracker.</w:t>
      </w:r>
    </w:p>
    <w:p>
      <w:pPr>
        <w:spacing w:after="100"/>
      </w:pPr>
      <w:r>
        <w:rPr>
          <w:rFonts w:ascii="Calibri" w:cs="Calibri" w:eastAsia="Calibri" w:hAnsi="Calibri"/>
        </w:rPr>
        <w:t xml:space="preserve">What the run did. Raised the top-of-search price on 25 (most by +25% as a “thin in-focus push” or up to the plan’s price), held or cut 13. It priced every one of them above its ceiling or pushed it further above.</w:t>
      </w:r>
    </w:p>
    <w:p>
      <w:pPr>
        <w:spacing w:after="100"/>
      </w:pPr>
      <w:r>
        <w:rPr>
          <w:rFonts w:ascii="Calibri" w:cs="Calibri" w:eastAsia="Calibri" w:hAnsi="Calibri"/>
        </w:rPr>
        <w:t xml:space="preserve">SLEEPHORIA - Cooling Sheets -B0F7LY4DSG- Exact - G13 — no rank on file, target 3. 90 days: 47 clicks — 28 top of search, 9 product pages, 10 rest of search (60% / 19% / 21%), 6 orders. Last 14 days: 12 clicks — 10 top of search, 2 product pages, 0 rest of search (83% / 17% / 0%). Last 8 days (09-16 → 09-23): 5 top-of-search clicks (0.6/day, against 0.7/day in the 31 days before); last 3 days 0 clicks. Budget $10.00/day, last 7 days 24% used. Top of search converts 14.3%. The run writes modifier 100% → 122%, base $1.59 → $1.43 — top-of-search price $3.18 → $3.17. Correction: priced at its ceiling of $2.42, no premium — no rank on file; it descends to it in one step (a named point) — TOS $3.18 → $2.42; a top-of-search order then costs $20.54 at 11.8% (its own rate blended at weight 0.37) — break-even against $20.55 contribution; top of search $2.42 against $1.59 on product pages, 1.52 to one (modifier 52%).</w:t>
      </w:r>
    </w:p>
    <w:p>
      <w:pPr>
        <w:spacing w:after="100"/>
      </w:pPr>
      <w:r>
        <w:rPr>
          <w:rFonts w:ascii="Calibri" w:cs="Calibri" w:eastAsia="Calibri" w:hAnsi="Calibri"/>
        </w:rPr>
        <w:t xml:space="preserve">SLEEPHORIA - Cooling Sheets -B0F7LY4DSG- Exact - G28 — rank 21 (engine's single-day read; the term is not in the tracker's 7-day series), target 3. 90 days: 64 clicks — 33 top of search, 21 product pages, 10 rest of search (52% / 33% / 16%), 3 orders. Last 14 days: 26 clicks — 17 top of search, 6 product pages, 3 rest of search (65% / 23% / 12%). Last 8 days (09-16 → 09-23): 8 top-of-search clicks (1.0/day, against 0.8/day in the 31 days before); last 3 days 6 clicks. Budget $30.00/day, last 7 days 16% used. Top of search converts 6.1%. The run writes modifier 110% → 133%, base $1.58 → $1.42 — top-of-search price $3.32 → $3.31. Correction: priced at its ceiling of $1.67, no premium — no click requirement on file (not Sized); it descends to it in one step (a named point) — TOS $3.32 → $1.67; a top-of-search order then costs $20.57 at 8.1% (its own rate blended at weight 0.51) — break-even against $20.55 contribution; base -10% for product pages at 23% (14d): base $1.58 → $1.42; top of search $1.67 against $1.42 on product pages, 1.18 to one (modifier 18%).</w:t>
      </w:r>
    </w:p>
    <w:p>
      <w:pPr>
        <w:spacing w:after="100"/>
      </w:pPr>
      <w:r>
        <w:rPr>
          <w:rFonts w:ascii="Calibri" w:cs="Calibri" w:eastAsia="Calibri" w:hAnsi="Calibri"/>
        </w:rPr>
        <w:t xml:space="preserve">SLEEPHORIA - Cooling Sheets -B0F7LXCSKW- Exact - G17 — no rank on file, target 3. 90 days: 12 clicks — 10 top of search, 2 product pages, 0 rest of search (83% / 17% / 0%), 2 orders. Last 14 days: 1 clicks — 1 top of search, 0 product pages, 0 rest of search (100% / 0% / 0%). Last 8 days (09-16 → 09-23): 0 top-of-search clicks (0.0/day, against 0.3/day in the 31 days before); last 3 days 0 clicks. Plan needs 6 paid clicks a week (0.9/day). Top-of-search impression share 9.66% (the engine's read). Budget $10.00/day, last 7 days 0% used. The run writes modifier 88% → 135% — top-of-search price $2.97 → $3.71. Correction: priced at its ceiling of $3.98, no premium — no rank on file; it climbs toward it by +30%, delivery 0% of requirement — TOS $2.97 → $3.86; a top-of-search order then costs $25.73 at 15.0% (the child's planning rate) — inside the $26.53 contribution by $0.80; top of search $3.86 against $1.58 on product pages, 2.44 to one (modifier 144%).</w:t>
      </w:r>
    </w:p>
    <w:p>
      <w:pPr>
        <w:spacing w:after="100"/>
      </w:pPr>
      <w:r>
        <w:rPr>
          <w:rFonts w:ascii="Calibri" w:cs="Calibri" w:eastAsia="Calibri" w:hAnsi="Calibri"/>
        </w:rPr>
        <w:t xml:space="preserve">Correction. Price the 22 above their ceiling down to it (a named point, the base holding) and lift the 16 below it toward it in capped steps. Add the 25 untracked terms to the rank tracker today: each becomes a push candidate on its first 7-day read.</w:t>
      </w:r>
    </w:p>
    <w:p>
      <w:pPr>
        <w:pStyle w:val="Heading1"/>
      </w:pPr>
      <w:r>
        <w:rPr>
          <w:rFonts w:ascii="Calibri" w:cs="Calibri" w:eastAsia="Calibri" w:hAnsi="Calibri"/>
        </w:rPr>
        <w:t xml:space="preserve">A.6 29 in-focus campaigns the run parks as “not in the auction” — price them now</w:t>
      </w:r>
    </w:p>
    <w:p>
      <w:pPr>
        <w:spacing w:after="100"/>
      </w:pPr>
      <w:r>
        <w:rPr>
          <w:rFonts w:ascii="Calibri" w:cs="Calibri" w:eastAsia="Calibri" w:hAnsi="Calibri"/>
        </w:rPr>
        <w:t xml:space="preserve">The rule. A campaign that is on but gets no clicks has nothing to redistribute: hold the base and move the top-of-search price — the only lever that puts a row into the auction. A row is never parked for a person to “re-price or pause”; the re-price is the write.</w:t>
      </w:r>
    </w:p>
    <w:p>
      <w:pPr>
        <w:spacing w:after="100"/>
      </w:pPr>
      <w:r>
        <w:rPr>
          <w:rFonts w:ascii="Calibri" w:cs="Calibri" w:eastAsia="Calibri" w:hAnsi="Calibri"/>
        </w:rPr>
        <w:t xml:space="preserve">What the run did. Wrote 29 STRUCTURE rows (riskier, human-mandatory): “every enabled target’s effective top-of-search price sits under 70% of the market bound … RE-PRICE the enabled targets toward the market bound, or pause the campaign”. The “market bound” it compares against is the syntax group’s own paid top-of-search CPC ($3.55 Queen, $4.31 King) + 15%, and 6 of the 29 are campaigns already paused. Two more rows (seq 1961, 1962) have taken no impression in 90 days on a live bid and are sent to a check before any price moves.</w:t>
      </w:r>
    </w:p>
    <w:p>
      <w:pPr>
        <w:spacing w:after="100"/>
      </w:pPr>
      <w:r>
        <w:rPr>
          <w:rFonts w:ascii="Calibri" w:cs="Calibri" w:eastAsia="Calibri" w:hAnsi="Calibri"/>
        </w:rPr>
        <w:t xml:space="preserve">Correction. Every enabled one is priced by its row in Table 3 — pushed where it has a rank read, a requirement and the conditions, at its ceiling otherwise. The two with no impressions in 90 days are priced the same way and checked the same day (ad state, keyword state, the child it serves); the check does not hold the write. Drop the 6 rows on paused campaigns (A.7).</w:t>
      </w:r>
    </w:p>
    <w:p>
      <w:pPr>
        <w:pStyle w:val="Heading1"/>
      </w:pPr>
      <w:r>
        <w:rPr>
          <w:rFonts w:ascii="Calibri" w:cs="Calibri" w:eastAsia="Calibri" w:hAnsi="Calibri"/>
        </w:rPr>
        <w:t xml:space="preserve">A.7 21 in-focus campaigns that cannot serve — paused, with writes on them</w:t>
      </w:r>
    </w:p>
    <w:p>
      <w:pPr>
        <w:spacing w:after="100"/>
      </w:pPr>
      <w:r>
        <w:rPr>
          <w:rFonts w:ascii="Calibri" w:cs="Calibri" w:eastAsia="Calibri" w:hAnsi="Calibri"/>
        </w:rPr>
        <w:t xml:space="preserve">The rule. A paused campaign cannot serve at any price. Where it carries a plan term no other enabled exact campaign carries, the pause has taken the term out of ranking without a decision: re-enable it at its last serving values and price it by its row — or, if the pause was deliberate, say why and take the term out of focus.</w:t>
      </w:r>
    </w:p>
    <w:p>
      <w:pPr>
        <w:spacing w:after="100"/>
      </w:pPr>
      <w:r>
        <w:rPr>
          <w:rFonts w:ascii="Calibri" w:cs="Calibri" w:eastAsia="Calibri" w:hAnsi="Calibri"/>
        </w:rPr>
        <w:t xml:space="preserve">What the run did. Wrote 15 changes on paused campaigns (11 top-of-search raises, 2 budgets, 2 bids — the review held 14 of them, not seq 483). It builds new exact campaigns on four King terms whose paused exacts carry their history (“king sheets cooling”, “cooling king sheets”, “cooling sheets king size deep pocket”, “king sheets deep pocket cooling”) and leaves the paused ones paused. And it declined to build “cooling bed sheets” because the Queen hero (white, 89 units) is under the creation horizon — while every Queen push runs on Graphite (486).</w:t>
      </w:r>
    </w:p>
    <w:p>
      <w:pPr>
        <w:spacing w:after="100"/>
      </w:pPr>
      <w:r>
        <w:rPr>
          <w:rFonts w:ascii="Calibri" w:cs="Calibri" w:eastAsia="Calibri" w:hAnsi="Calibri"/>
        </w:rPr>
        <w:t xml:space="preserve">SLEEPHORIA - Cooling Sheets - B0F7LY3K8C - cooling bed sheets - Exact — rank 17 → 19 (7-day median, 24 Aug → 23 Sep), target 3. 90 days: 194 clicks — 146 top of search, 39 product pages, 9 rest of search (75% / 20% / 5%), 13 orders. Last 14 days: 48 clicks — 47 top of search, 1 product pages, 0 rest of search (98% / 2% / 0%). Last 8 days (09-16 → 09-23): 30 top-of-search clicks (3.8/day, against 3.7/day in the 31 days before); last 3 days 10 clicks. Plan needs 307 paid clicks a week (43.9/day). Budget $20.00/day, last 7 days 61% used. Top of search converts 6.8%. The run holds it. Correction: re-enable today at its last serving values (base $1.00, modifier 230%, top of search $3.30 against $1.00 on product pages, 3.30 to one) on QUEEN-GRAPHITE and read it for two days before any step. It is the only exact on the plan’s second term (307 clicks a week, search volume 12,715) and it was still serving on 09-23 ($30.66 in the last three days). Its own top-of-search rate puts its ceiling at $1.41, so $3.30 is already a premium — about $27 lost per top-of-search order — and it converts 6.0% at the top over 30 days: above the market’s 3.2% (the premium is permitted) but under the app’s 9.6% bar. The first read is conversion, not price: from 09-27 it takes the +30% funding step ($4.29) only if top-of-search conversion holds at 6% or better; under it, it descends to its ceiling.</w:t>
      </w:r>
    </w:p>
    <w:p>
      <w:pPr>
        <w:spacing w:after="100"/>
      </w:pPr>
      <w:r>
        <w:rPr>
          <w:rFonts w:ascii="Calibri" w:cs="Calibri" w:eastAsia="Calibri" w:hAnsi="Calibri"/>
        </w:rPr>
        <w:t xml:space="preserve">SCS-SP-Cooling | Sheets | Twin- twin cooling sheets-HSV-Exact-Rank-DO-Multi SKUs — rank 4 → 5 (7-day median, 24 Aug → 23 Sep), target 3. 90 days: 179 clicks — 88 top of search, 72 product pages, 19 rest of search (49% / 40% / 11%), 26 orders. Last 14 days: no clicks. Last 8 days (09-16 → 09-23): 0 top-of-search clicks (0.0/day, against 0.1/day in the 31 days before); last 3 days 0 clicks. Plan needs 40 paid clicks a week (5.7/day). Top-of-search impression share 14.45% (the engine's read). Budget $20.00/day, last 7 days 0% used. Top of search converts 15.9% against a market 5.44%. The run writes modifier 93% → 162% — top-of-search price $2.03 → $2.75. Correction: re-enable on SL-COOLING-SHEET-TWIN-GRAPHITE (33 available, 30 inbound; the child converts 14.7% on 143 paid clicks against 8.2% on the white hero) at its ceiling, $2.14 at the top against $1.05 on product pages (modifier 104%), budget $10. It is the only exact on “twin cooling sheets” (rank 5, target 3). The Twin White hero has 13 units: nothing is pushed onto it (A.9).</w:t>
      </w:r>
    </w:p>
    <w:p>
      <w:pPr>
        <w:spacing w:after="100"/>
      </w:pPr>
      <w:r>
        <w:rPr>
          <w:rFonts w:ascii="Calibri" w:cs="Calibri" w:eastAsia="Calibri" w:hAnsi="Calibri"/>
        </w:rPr>
        <w:t xml:space="preserve">The two King exacts with history — “king sheets cooling” (27 clicks, 3 orders) and “cooling king sheets” (26 clicks, 1 order): re-enable them at their own ceilings ($3.63 and $3.60 at the top on their blended King rates, bases held at $1.90 and $2.37 — modifiers 91% and 52%) and drop the run’s duplicate builds 1517 and 1529; the same for “cooling sheets king size deep pocket” and “king sheets deep pocket cooling” at the King child’s $3.98 ceiling (bases $0.91 and $1.29, modifiers 337% and 209%; drop builds 1601 and 1613). A new campaign on the same term starts with no record and the tracker link has to be re-made.</w:t>
      </w:r>
    </w:p>
    <w:p>
      <w:pPr>
        <w:spacing w:after="100"/>
      </w:pPr>
      <w:r>
        <w:rPr>
          <w:rFonts w:ascii="Calibri" w:cs="Calibri" w:eastAsia="Calibri" w:hAnsi="Calibri"/>
        </w:rPr>
        <w:t xml:space="preserve">Leave paused, and drop every write on them: “cool sheets” (33 clicks, 0 orders), “cold sheets” (15, 0), “queen size cooling sheets” (17, 0), “cooling bed set” (16, 0) and the 11 with under 10 clicks in 90 days — the pauses read as deliberate.</w:t>
      </w:r>
    </w:p>
    <w:p>
      <w:pPr>
        <w:pStyle w:val="Heading1"/>
      </w:pPr>
      <w:r>
        <w:rPr>
          <w:rFonts w:ascii="Calibri" w:cs="Calibri" w:eastAsia="Calibri" w:hAnsi="Calibri"/>
        </w:rPr>
        <w:t xml:space="preserve">A.8 4 “rank collapses” that are single-day readings — unfreeze them</w:t>
      </w:r>
    </w:p>
    <w:p>
      <w:pPr>
        <w:spacing w:after="100"/>
      </w:pPr>
      <w:r>
        <w:rPr>
          <w:rFonts w:ascii="Calibri" w:cs="Calibri" w:eastAsia="Calibri" w:hAnsi="Calibri"/>
        </w:rPr>
        <w:t xml:space="preserve">The rule. A rank collapse has a cause and is investigated the same day — but a collapse is measured on the tracker’s 7-day median, never on one day’s crawl, and never against a date that is not 30 days ago.</w:t>
      </w:r>
    </w:p>
    <w:p>
      <w:pPr>
        <w:spacing w:after="100"/>
      </w:pPr>
      <w:r>
        <w:rPr>
          <w:rFonts w:ascii="Calibri" w:cs="Calibri" w:eastAsia="Calibri" w:hAnsi="Calibri"/>
        </w:rPr>
        <w:t xml:space="preserve">What the run did. Froze every bid, modifier and budget on 4 campaigns (8 rows held) and wrote four riskier STRUCTURE rows for a person.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600"/>
        <w:gridCol w:w="24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Run’s read</w:t>
            </w:r>
          </w:p>
        </w:tc>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7-day median</w:t>
            </w:r>
          </w:p>
        </w:tc>
        <w:tc>
          <w:tcPr>
            <w:tcW w:type="dxa" w:w="2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it is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cal king cooling sheets</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(08-24) → #129</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(24 Aug) → 5.5 (23 Sep)</w:t>
            </w:r>
          </w:p>
        </w:tc>
        <w:tc>
          <w:tcPr>
            <w:tcW w:type="dxa" w:w="2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one day’s crawl; the term is flat at 5</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 sheet set cooling</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 (08-25) → #93</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127 (24 Aug) → 67 (23 Sep)</w:t>
            </w:r>
          </w:p>
        </w:tc>
        <w:tc>
          <w:tcPr>
            <w:tcW w:type="dxa" w:w="2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term improved 60 positions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deep pocket king sheets cooling</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 (2026-04-01) → #91</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tracked in the window</w:t>
            </w:r>
          </w:p>
        </w:tc>
        <w:tc>
          <w:tcPr>
            <w:tcW w:type="dxa" w:w="2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compared against April, not 30 days ago</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bed sheet set cooling</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 (2026-03-28) → #81</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tracked in the window</w:t>
            </w:r>
          </w:p>
        </w:tc>
        <w:tc>
          <w:tcPr>
            <w:tcW w:type="dxa" w:w="2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compared against March, not 30 days ago</w:t>
            </w:r>
          </w:p>
        </w:tc>
      </w:tr>
    </w:tbl>
    <w:p>
      <w:pPr>
        <w:spacing w:after="80"/>
      </w:pPr>
    </w:p>
    <w:p>
      <w:pPr>
        <w:spacing w:after="100"/>
      </w:pPr>
      <w:r>
        <w:rPr>
          <w:rFonts w:ascii="Calibri" w:cs="Calibri" w:eastAsia="Calibri" w:hAnsi="Calibri"/>
        </w:rPr>
        <w:t xml:space="preserve">Correction. Unfreeze all four and price them by their rows. The Cal King campaign’s real problem is its child: it advertises CAL-KING-SAGE-GREEN (0 available) and the run would re-point it to KING-WHITE, a different size (A.9).</w:t>
      </w:r>
    </w:p>
    <w:p>
      <w:pPr>
        <w:pStyle w:val="Heading1"/>
      </w:pPr>
      <w:r>
        <w:rPr>
          <w:rFonts w:ascii="Calibri" w:cs="Calibri" w:eastAsia="Calibri" w:hAnsi="Calibri"/>
        </w:rPr>
        <w:t xml:space="preserve">A.9 The children the push runs on — the King push is on a child with 14 days of stock, and none of the 55 swaps will load</w:t>
      </w:r>
    </w:p>
    <w:p>
      <w:pPr>
        <w:spacing w:after="100"/>
      </w:pPr>
      <w:r>
        <w:rPr>
          <w:rFonts w:ascii="Calibri" w:cs="Calibri" w:eastAsia="Calibri" w:hAnsi="Calibri"/>
        </w:rPr>
        <w:t xml:space="preserve">The rule. A push on a child that runs out before the next arrival rents the position instead of buying it. Switch the ad to the serving child the same day as the push; a keyword naming a size stays on that size; confirm the child the rank tracker reads before grading.</w:t>
      </w:r>
    </w:p>
    <w:p>
      <w:pPr>
        <w:spacing w:after="100"/>
      </w:pPr>
      <w:r>
        <w:rPr>
          <w:rFonts w:ascii="Calibri" w:cs="Calibri" w:eastAsia="Calibri" w:hAnsi="Calibri"/>
        </w:rPr>
        <w:t xml:space="preserve">What the run did. Wrote 55 advertised-child swaps — 39 of them onto KING-WHITE, every King campaign moving off KING-GRAPHITE (31 available, 14 days of supply, 1,189 paid clicks and 141 orders across 36 campaigns in 90 days) to KING-WHITE (795 available, 152 days). Right direction. But every one of them carries the loader note “the swap is staged and SKIPS at apply until one exists (open item 2026-09-06)” — the loader has no product-ad roster — so after this run loads, the King push still serves the child that is running out, and the 179 renames will already say KING-WHITE.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3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Run’s swap</w:t>
            </w:r>
          </w:p>
        </w:tc>
        <w:tc>
          <w:tcPr>
            <w:tcW w:type="dxa" w:w="4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Correction</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 rows onto KING-WHITE (King terms, “white cooling sheets”)</w:t>
            </w:r>
          </w:p>
        </w:tc>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KING-GRAPHITE / QUEEN-GRAPHITE / QUEEN-WHITE → KING-WHITE</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right child — do it by hand in the console today, before any King price step loads</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 6 rows</w:t>
            </w:r>
          </w:p>
        </w:tc>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two rows onto GRAPHITE (seq 809 on conversion, 914), four onto WHITE (871, 1309, 1320, 1343 — hero rule)</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swaps contradict each other and the white hero has 13 units: all Twin campaigns to TWIN-GRAPHITE (33 + 30 inbound, 14.7% paid CVR)</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Cal King (seq 1314)</w:t>
            </w:r>
          </w:p>
        </w:tc>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CAL-KING-SAGE-GREEN → KING-WHITE</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King child for a Cal King term: re-point to CAL-KING-GRAPHITE (95 available, the size’s serving child); the review held it for the second time</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“best cooling sheets” (seq 1329)</w:t>
            </w:r>
          </w:p>
        </w:tc>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FULL-WHITE → FULL-NAVY-BLUE</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 generic term on the out-of-focus, $13.30-contribution size: re-point to QUEEN-GRAPHITE, the child the generic terms push on</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Engine-check failure (“Sleepers | Bedding”)</w:t>
            </w:r>
          </w:p>
        </w:tc>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no swap row (FULL-WHITE, RED)</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to QUEEN-GRAPHITE the same day</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 PAT conquest campaigns</w:t>
            </w:r>
          </w:p>
        </w:tc>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FULL-WHITE → FULL-NAVY-BLUE</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keep (the Full hero has 9 units)</w:t>
            </w:r>
          </w:p>
        </w:tc>
      </w:tr>
    </w:tbl>
    <w:p>
      <w:pPr>
        <w:spacing w:after="80"/>
      </w:pPr>
    </w:p>
    <w:p>
      <w:pPr>
        <w:spacing w:after="100"/>
      </w:pPr>
      <w:r>
        <w:rPr>
          <w:rFonts w:ascii="Calibri" w:cs="Calibri" w:eastAsia="Calibri" w:hAnsi="Calibri"/>
        </w:rPr>
        <w:t xml:space="preserve">Correction. File the swaps by hand today in the order above; load the 179 renames only after the swaps have landed, so a name never states a child the ad does not serve; confirm which child the tracker reads for each King term (the history was earned on Graphite).</w:t>
      </w:r>
    </w:p>
    <w:p>
      <w:pPr>
        <w:pStyle w:val="Heading1"/>
      </w:pPr>
      <w:r>
        <w:rPr>
          <w:rFonts w:ascii="Calibri" w:cs="Calibri" w:eastAsia="Calibri" w:hAnsi="Calibri"/>
        </w:rPr>
        <w:t xml:space="preserve">Part B — Out-of-focus exact ranking campaigns: no new money, priced at their ceiling</w:t>
      </w:r>
    </w:p>
    <w:p>
      <w:pPr>
        <w:pStyle w:val="Heading1"/>
      </w:pPr>
      <w:r>
        <w:rPr>
          <w:rFonts w:ascii="Calibri" w:cs="Calibri" w:eastAsia="Calibri" w:hAnsi="Calibri"/>
        </w:rPr>
        <w:t xml:space="preserve">B.1 6 out-of-focus campaigns priced above their ceiling — a descent to it, not a taper ladder</w:t>
      </w:r>
    </w:p>
    <w:p>
      <w:pPr>
        <w:spacing w:after="100"/>
      </w:pPr>
      <w:r>
        <w:rPr>
          <w:rFonts w:ascii="Calibri" w:cs="Calibri" w:eastAsia="Calibri" w:hAnsi="Calibri"/>
        </w:rPr>
        <w:t xml:space="preserve">The rule. Out of focus there is no premium: the term keeps its coverage, its base at what product pages afford and its top of search at its ceiling. A price above that comes down to the ceiling in one named step; it does not step down 10% a run past it, and a row inside its ceiling is left alone.</w:t>
      </w:r>
    </w:p>
    <w:p>
      <w:pPr>
        <w:spacing w:after="100"/>
      </w:pPr>
      <w:r>
        <w:rPr>
          <w:rFonts w:ascii="Calibri" w:cs="Calibri" w:eastAsia="Calibri" w:hAnsi="Calibri"/>
        </w:rPr>
        <w:t xml:space="preserve">What the run did. Tapered on a −10% ladder (“modifiers first, the bid follows, the budget follows the bid”) — 2 cuts — held 28 (most on “nothing to release”), and on the Full head campaign wrote a base cut with the price held plus a +30% budget raise — on a size it calls out of focus.</w:t>
      </w:r>
    </w:p>
    <w:p>
      <w:pPr>
        <w:spacing w:after="100"/>
      </w:pPr>
      <w:r>
        <w:rPr>
          <w:rFonts w:ascii="Calibri" w:cs="Calibri" w:eastAsia="Calibri" w:hAnsi="Calibri"/>
        </w:rPr>
        <w:t xml:space="preserve">SCS-SP-Cooling | Sheets |  Full-cooling sheets full size-HSV-Exact-Rank-DO-SL-COOLING-SHEET-FULL-COOL-GREY — rank 17 → 17.5 (7-day median, 24 Aug → 23 Sep), target 4. 90 days: 466 clicks — 97 top of search, 194 product pages, 175 rest of search (21% / 42% / 38%), 35 orders. Last 14 days: 26 clicks — 8 top of search, 18 product pages, 0 rest of search (31% / 69% / 0%). Last 8 days (09-16 → 09-23): 7 top-of-search clicks (0.9/day, against 0.5/day in the 31 days before); last 3 days 3 clicks. Plan needs 140 paid clicks a week (20.0/day). Top-of-search impression share 2.68% (the engine's read). Budget $10.00/day, last 7 days 32% used. Top of search converts 11.3% against a market 3.63%. The run writes budget $10.00 → $13.00, modifier 300% → 374%, base $0.75 → $0.63 — top-of-search price $3.00 → $2.99. Correction: priced at its ceiling of $1.51, no premium — out of focus; it descends to it in one step (a named point) — TOS $3.00 → $1.51; a top-of-search order then costs $13.32 at 11.3% (its own rate) — break-even against $13.30 contribution; base -25% for product pages at 69% (14d): base $0.75 → $0.56; top of search $1.51 against $0.56 on product pages, 2.70 to one (modifier 170%).</w:t>
      </w:r>
    </w:p>
    <w:p>
      <w:pPr>
        <w:spacing w:after="100"/>
      </w:pPr>
      <w:r>
        <w:rPr>
          <w:rFonts w:ascii="Calibri" w:cs="Calibri" w:eastAsia="Calibri" w:hAnsi="Calibri"/>
        </w:rPr>
        <w:t xml:space="preserve">SLEEPHORIA - Cooling Sheets -B0F7LXCSKW- Exact - G32 — no rank on file. 90 days: 49 clicks — 41 top of search, 3 product pages, 5 rest of search (84% / 6% / 10%), 5 orders. Last 14 days: 21 clicks — 18 top of search, 1 product pages, 2 rest of search (86% / 5% / 10%). Last 8 days (09-16 → 09-23): 9 top-of-search clicks (1.1/day, against 1.0/day in the 31 days before); last 3 days 1 clicks. Top-of-search impression share 8.46% (the engine's read). Budget $10.00/day, last 7 days 48% used. Top of search converts 12.2%. The run writes modifier 130% → 117% — top-of-search price $4.05 → $3.82. “cool king sheets” is a King term advertised on a Queen child, and it sits out of focus only because no syntax group owns “cool” terms (B.2). Correction: priced at its ceiling of $3.43, no premium — out of focus; it descends to it in one step (a named point) — TOS $4.05 → $3.43; a top-of-search order then costs $26.55 at 12.9% (its own rate blended at weight 0.74) — break-even against $26.53 contribution; top of search $3.43 against $1.76 on product pages, 1.95 to one (modifier 95%).</w:t>
      </w:r>
    </w:p>
    <w:p>
      <w:pPr>
        <w:spacing w:after="100"/>
      </w:pPr>
      <w:r>
        <w:rPr>
          <w:rFonts w:ascii="Calibri" w:cs="Calibri" w:eastAsia="Calibri" w:hAnsi="Calibri"/>
        </w:rPr>
        <w:t xml:space="preserve">Correction. Descend the 6 to their ceilings; hold the 25 under 15 clicks flat; no budget raise out of focus.</w:t>
      </w:r>
    </w:p>
    <w:p>
      <w:pPr>
        <w:pStyle w:val="Heading1"/>
      </w:pPr>
      <w:r>
        <w:rPr>
          <w:rFonts w:ascii="Calibri" w:cs="Calibri" w:eastAsia="Calibri" w:hAnsi="Calibri"/>
        </w:rPr>
        <w:t xml:space="preserve">B.2 “cool sheets king” — a converting King term tapered because the library does not own it</w:t>
      </w:r>
    </w:p>
    <w:p>
      <w:pPr>
        <w:spacing w:after="100"/>
      </w:pPr>
      <w:r>
        <w:rPr>
          <w:rFonts w:ascii="Calibri" w:cs="Calibri" w:eastAsia="Calibri" w:hAnsi="Calibri"/>
        </w:rPr>
        <w:t xml:space="preserve">SCS-SP-Cooling | Sheets | King-cool sheets king-HSV-Exact-Rank-DO-SL-COOLING-SHEET-KING-GRAPHITE — no rank on file. 90 days: 66 clicks — 58 top of search, 1 product pages, 7 rest of search (88% / 2% / 11%), 8 orders. Last 14 days: 16 clicks — 16 top of search, 0 product pages, 0 rest of search (100% / 0% / 0%). Last 8 days (09-16 → 09-23): 6 top-of-search clicks (0.8/day, against 1.6/day in the 31 days before); last 3 days 1 clicks. Top-of-search impression share 0.91% (the engine's read). Budget $15.00/day, last 7 days 9% used. Top of search converts 13.8%. The run writes modifier 160% → 144% — top-of-search price $3.35 → $3.15. Correction: hold at $3.35 (inside its $3.66 ceiling on its own 13.8% top-of-search conversion, 8 orders on 58 clicks) and reverse the taper cut; add “cool”-rooted King and Queen terms to the Cooling|King and Cooling|Queen syntax groups so the next run reads them in focus. The row’s own text says “change → HOLD” and it still exports as a change (C.3).</w:t>
      </w:r>
    </w:p>
    <w:p>
      <w:pPr>
        <w:pStyle w:val="Heading1"/>
      </w:pPr>
      <w:r>
        <w:rPr>
          <w:rFonts w:ascii="Calibri" w:cs="Calibri" w:eastAsia="Calibri" w:hAnsi="Calibri"/>
        </w:rPr>
        <w:t xml:space="preserve">Part C — Across the run</w:t>
      </w:r>
    </w:p>
    <w:p>
      <w:pPr>
        <w:pStyle w:val="Heading1"/>
      </w:pPr>
      <w:r>
        <w:rPr>
          <w:rFonts w:ascii="Calibri" w:cs="Calibri" w:eastAsia="Calibri" w:hAnsi="Calibri"/>
        </w:rPr>
        <w:t xml:space="preserve">C.1 The contribution the run priced on</w:t>
      </w:r>
    </w:p>
    <w:p>
      <w:pPr>
        <w:spacing w:after="100"/>
      </w:pPr>
      <w:r>
        <w:rPr>
          <w:rFonts w:ascii="Calibri" w:cs="Calibri" w:eastAsia="Calibri" w:hAnsi="Calibri"/>
        </w:rPr>
        <w:t xml:space="preserve">The rule. If the contribution is wrong, every price is wrong; each bid traces back to the serving child’s contribution, and an open question on landed cost is flagged by name on the rows it touches.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1900"/>
        <w:gridCol w:w="1300"/>
        <w:gridCol w:w="1672"/>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 (serving child)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 contribution per unit</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 per order in PRICES lines</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Command Center: landed-cost contribution</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Break-even ACoS (CC)</w:t>
            </w:r>
          </w:p>
        </w:tc>
        <w:tc>
          <w:tcPr>
            <w:tcW w:type="dxa" w:w="16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 overstates a click’s worth by</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 (KING-WHITE)</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$30.37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$28.92–$29.50</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$26.53</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34.5%</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(QUEEN-GRAPHITE)</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$30.37</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$20.82–$33.31 (by basket)</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$20.55</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31.6%</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up to ~60%</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Twin (TWIN-GRAPHITE)</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$30.37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lane basket</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$13.45</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26.9%</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~110%</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Product, blended</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$30.37 (39.1%)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$20.42</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30.9%</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w:t>
            </w:r>
          </w:p>
        </w:tc>
      </w:tr>
    </w:tbl>
    <w:p>
      <w:pPr>
        <w:spacing w:after="80"/>
      </w:pPr>
    </w:p>
    <w:p>
      <w:pPr>
        <w:spacing w:after="100"/>
      </w:pPr>
      <w:r>
        <w:rPr>
          <w:rFonts w:ascii="Calibri" w:cs="Calibri" w:eastAsia="Calibri" w:hAnsi="Calibri"/>
        </w:rPr>
        <w:t xml:space="preserve">Correction. Every price in this document is on the Command Center figure. The run’s “ACoS 25.9% → 31.4% against a 39.1% break-even” reads inside break-even; against 30.9% it does not. The two sources must be reconciled — which landed cost, which price, which window — before the next run; until then the engine should carry the lower of the two.</w:t>
      </w:r>
    </w:p>
    <w:p>
      <w:pPr>
        <w:pStyle w:val="Heading1"/>
      </w:pPr>
      <w:r>
        <w:rPr>
          <w:rFonts w:ascii="Calibri" w:cs="Calibri" w:eastAsia="Calibri" w:hAnsi="Calibri"/>
        </w:rPr>
        <w:t xml:space="preserve">C.2 Other campaign types — priced against their own ceiling</w:t>
      </w:r>
    </w:p>
    <w:p>
      <w:pPr>
        <w:spacing w:after="100"/>
      </w:pPr>
      <w:r>
        <w:rPr>
          <w:rFonts w:ascii="Calibri" w:cs="Calibri" w:eastAsia="Calibri" w:hAnsi="Calibri"/>
        </w:rPr>
        <w:t xml:space="preserve">The rule. Conversions, discovery and defensive campaigns are priced inside their ceiling: what a click can cost = contribution × that campaign’s conversion rate, equivalently an ACoS at or under break-even (30.9%). Read it on 14 days against 90. Over the ceiling, the base comes down; inside it, nothing moves. Under 15 clicks in 14 days there is no readable rate: hold.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450"/>
        <w:gridCol w:w="1350"/>
        <w:gridCol w:w="1500"/>
        <w:gridCol w:w="20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Objective</w:t>
            </w:r>
          </w:p>
        </w:tc>
        <w:tc>
          <w:tcPr>
            <w:tcW w:type="dxa" w:w="14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14 days</w:t>
            </w:r>
          </w:p>
        </w:tc>
        <w:tc>
          <w:tcPr>
            <w:tcW w:type="dxa" w:w="13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90 days</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w:t>
            </w:r>
          </w:p>
        </w:tc>
        <w:tc>
          <w:tcPr>
            <w:tcW w:type="dxa" w:w="20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Correction</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Branded (sleephoria)</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Defensive</w:t>
            </w:r>
          </w:p>
        </w:tc>
        <w:tc>
          <w:tcPr>
            <w:tcW w:type="dxa" w:w="14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185 clicks, 38 orders, ACoS 12.1%</w:t>
            </w:r>
          </w:p>
        </w:tc>
        <w:tc>
          <w:tcPr>
            <w:tcW w:type="dxa" w:w="13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3,516 / 608, 16.6%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holds</w:t>
            </w:r>
          </w:p>
        </w:tc>
        <w:tc>
          <w:tcPr>
            <w:tcW w:type="dxa" w:w="2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inside — leave it</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Auto-Disc</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14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191 / 16, 10.0%</w:t>
            </w:r>
          </w:p>
        </w:tc>
        <w:tc>
          <w:tcPr>
            <w:tcW w:type="dxa" w:w="13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653 / 58, 8.1%</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holds</w:t>
            </w:r>
          </w:p>
        </w:tc>
        <w:tc>
          <w:tcPr>
            <w:tcW w:type="dxa" w:w="2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inside — leave it</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Core-Phrase-Disc</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14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165 / 9, 22.9%</w:t>
            </w:r>
          </w:p>
        </w:tc>
        <w:tc>
          <w:tcPr>
            <w:tcW w:type="dxa" w:w="13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418 / 37, 14.6%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 negative walls</w:t>
            </w:r>
          </w:p>
        </w:tc>
        <w:tc>
          <w:tcPr>
            <w:tcW w:type="dxa" w:w="2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inside, drifting up — keep the walls, watch</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Broad catch-all</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Discovery (retag)</w:t>
            </w:r>
          </w:p>
        </w:tc>
        <w:tc>
          <w:tcPr>
            <w:tcW w:type="dxa" w:w="14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149 / 4, 28.3%</w:t>
            </w:r>
          </w:p>
        </w:tc>
        <w:tc>
          <w:tcPr>
            <w:tcW w:type="dxa" w:w="13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376 / 21, 18.0%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retag only</w:t>
            </w:r>
          </w:p>
        </w:tc>
        <w:tc>
          <w:tcPr>
            <w:tcW w:type="dxa" w:w="2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the line on 14 days — watch; base down if it passes 30.9%</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 sheets twin; G22</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Conversions (retag)</w:t>
            </w:r>
          </w:p>
        </w:tc>
        <w:tc>
          <w:tcPr>
            <w:tcW w:type="dxa" w:w="14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 / 0; 0 / 0</w:t>
            </w:r>
          </w:p>
        </w:tc>
        <w:tc>
          <w:tcPr>
            <w:tcW w:type="dxa" w:w="13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 / 5, 11.8%; 3 / 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 25% → 23%; 55% → 50%</w:t>
            </w:r>
          </w:p>
        </w:tc>
        <w:tc>
          <w:tcPr>
            <w:tcW w:type="dxa" w:w="2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thin, and inside its ceiling — reverse the cuts</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Queen-Broad-Disc, Cal-King-Broad-Disc</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14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 / 0 and 12 / 0</w:t>
            </w:r>
          </w:p>
        </w:tc>
        <w:tc>
          <w:tcPr>
            <w:tcW w:type="dxa" w:w="13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 / 0 and 23 / 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bids −10% (8 rows)</w:t>
            </w:r>
          </w:p>
        </w:tc>
        <w:tc>
          <w:tcPr>
            <w:tcW w:type="dxa" w:w="2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thin — hold; Queen-Broad-Disc is being folded into the catch-all anyway</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G31, G11, G24, G7, king size bed sheets cooling, cooling twin sheets, cooling sheets full</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retag → Ranking</w:t>
            </w:r>
          </w:p>
        </w:tc>
        <w:tc>
          <w:tcPr>
            <w:tcW w:type="dxa" w:w="14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thin</w:t>
            </w:r>
          </w:p>
        </w:tc>
        <w:tc>
          <w:tcPr>
            <w:tcW w:type="dxa" w:w="13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thin</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bid and TOS moves in the same run (6 bid, 8 TOS rows)</w:t>
            </w:r>
          </w:p>
        </w:tc>
        <w:tc>
          <w:tcPr>
            <w:tcW w:type="dxa" w:w="2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 the READ line says “the sweep prices nothing on it”; the lane prices it next run</w:t>
            </w:r>
          </w:p>
        </w:tc>
      </w:tr>
    </w:tbl>
    <w:p>
      <w:pPr>
        <w:spacing w:after="80"/>
      </w:pPr>
    </w:p>
    <w:p>
      <w:pPr>
        <w:pStyle w:val="Heading1"/>
      </w:pPr>
      <w:r>
        <w:rPr>
          <w:rFonts w:ascii="Calibri" w:cs="Calibri" w:eastAsia="Calibri" w:hAnsi="Calibri"/>
        </w:rPr>
        <w:t xml:space="preserve">C.3 Rows in the change file that should not load</w:t>
      </w:r>
    </w:p>
    <w:p>
      <w:pPr>
        <w:pStyle w:val="ListParagraph"/>
        <w:numPr>
          <w:ilvl w:val="0"/>
          <w:numId w:val="2"/>
        </w:numPr>
        <w:spacing w:after="60"/>
      </w:pPr>
      <w:r>
        <w:rPr>
          <w:rFonts w:ascii="Calibri" w:cs="Calibri" w:eastAsia="Calibri" w:hAnsi="Calibri"/>
        </w:rPr>
        <w:t xml:space="preserve">15 rows the engine itself withholds — their text says “change → HOLD” (no gradeable rank claim) but they export as changes: seq 59, 64, 325, 341, 372, 387, 407, 453, 513, 518, 698, 713, 728, 733, 743.</w:t>
      </w:r>
    </w:p>
    <w:p>
      <w:pPr>
        <w:pStyle w:val="ListParagraph"/>
        <w:numPr>
          <w:ilvl w:val="0"/>
          <w:numId w:val="2"/>
        </w:numPr>
        <w:spacing w:after="60"/>
      </w:pPr>
      <w:r>
        <w:rPr>
          <w:rFonts w:ascii="Calibri" w:cs="Calibri" w:eastAsia="Calibri" w:hAnsi="Calibri"/>
        </w:rPr>
        <w:t xml:space="preserve">15 writes on paused campaigns: seq 130, 397, 448, 451, 478, 483, 622, 627, 647, 777, 781, 782, 792, 795, 797 (the review held all but 483; hold 483 too).</w:t>
      </w:r>
    </w:p>
    <w:p>
      <w:pPr>
        <w:pStyle w:val="ListParagraph"/>
        <w:numPr>
          <w:ilvl w:val="0"/>
          <w:numId w:val="2"/>
        </w:numPr>
        <w:spacing w:after="60"/>
      </w:pPr>
      <w:r>
        <w:rPr>
          <w:rFonts w:ascii="Calibri" w:cs="Calibri" w:eastAsia="Calibri" w:hAnsi="Calibri"/>
        </w:rPr>
        <w:t xml:space="preserve">55 advertised-child swaps that SKIP at apply — file them by hand (A.9); 179 renames — load after the swaps.</w:t>
      </w:r>
    </w:p>
    <w:p>
      <w:pPr>
        <w:pStyle w:val="ListParagraph"/>
        <w:numPr>
          <w:ilvl w:val="0"/>
          <w:numId w:val="2"/>
        </w:numPr>
        <w:spacing w:after="60"/>
      </w:pPr>
      <w:r>
        <w:rPr>
          <w:rFonts w:ascii="Calibri" w:cs="Calibri" w:eastAsia="Calibri" w:hAnsi="Calibri"/>
        </w:rPr>
        <w:t xml:space="preserve">Budget raises: keep 7 and 12, drop 18, 28, 33, 38, 69, 130, 781 (A.4).</w:t>
      </w:r>
    </w:p>
    <w:p>
      <w:pPr>
        <w:pStyle w:val="ListParagraph"/>
        <w:numPr>
          <w:ilvl w:val="0"/>
          <w:numId w:val="2"/>
        </w:numPr>
        <w:spacing w:after="60"/>
      </w:pPr>
      <w:r>
        <w:rPr>
          <w:rFonts w:ascii="Calibri" w:cs="Calibri" w:eastAsia="Calibri" w:hAnsi="Calibri"/>
        </w:rPr>
        <w:t xml:space="preserve">8 rows frozen by the four single-day “rank collapses” (A.8) — unfreeze and price.</w:t>
      </w:r>
    </w:p>
    <w:p>
      <w:pPr>
        <w:pStyle w:val="ListParagraph"/>
        <w:numPr>
          <w:ilvl w:val="0"/>
          <w:numId w:val="2"/>
        </w:numPr>
        <w:spacing w:after="60"/>
      </w:pPr>
      <w:r>
        <w:rPr>
          <w:rFonts w:ascii="Calibri" w:cs="Calibri" w:eastAsia="Calibri" w:hAnsi="Calibri"/>
        </w:rPr>
        <w:t xml:space="preserve">The rest-of-search cut on “cooling bed sheets king” (seq 36, 25% → 0%): rest of search has earned its lift — 22 clicks and 3 orders (13.6%) against no orders on 14 product-page clicks. Keep 25%.</w:t>
      </w:r>
    </w:p>
    <w:p>
      <w:pPr>
        <w:pStyle w:val="ListParagraph"/>
        <w:numPr>
          <w:ilvl w:val="0"/>
          <w:numId w:val="2"/>
        </w:numPr>
        <w:spacing w:after="60"/>
      </w:pPr>
      <w:r>
        <w:rPr>
          <w:rFonts w:ascii="Calibri" w:cs="Calibri" w:eastAsia="Calibri" w:hAnsi="Calibri"/>
        </w:rPr>
        <w:t xml:space="preserve">1 engine check failed and is named: the “Sleepers | Bedding” campaign left on the RED Full hero with no swap row — re-point it to QUEEN-GRAPHITE (A.9).</w:t>
      </w:r>
    </w:p>
    <w:p>
      <w:pPr>
        <w:pStyle w:val="ListParagraph"/>
        <w:numPr>
          <w:ilvl w:val="0"/>
          <w:numId w:val="2"/>
        </w:numPr>
        <w:spacing w:after="60"/>
      </w:pPr>
      <w:r>
        <w:rPr>
          <w:rFonts w:ascii="Calibri" w:cs="Calibri" w:eastAsia="Calibri" w:hAnsi="Calibri"/>
        </w:rPr>
        <w:t xml:space="preserve">19 campaigns advertising SCS4 are missing from the audit’s campaign list ($161 in the last 14 days) — the 9 retagged exacts and 10 PAT conquest campaigns; their rows cannot be recomputed from the export.</w:t>
      </w:r>
    </w:p>
    <w:p>
      <w:pPr>
        <w:pStyle w:val="Heading1"/>
      </w:pPr>
      <w:r>
        <w:rPr>
          <w:rFonts w:ascii="Calibri" w:cs="Calibri" w:eastAsia="Calibri" w:hAnsi="Calibri"/>
        </w:rPr>
        <w:t xml:space="preserve">C.4 Builds — 21 proposed, 16 need changing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772"/>
      </w:tblGrid>
      <w:tr>
        <w:trPr>
          <w:cantSplit/>
          <w:tblHeader/>
        </w:trPr>
        <w:tc>
          <w:tcPr>
            <w:tcW w:type="dxa" w:w="2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Build</w:t>
            </w:r>
          </w:p>
        </w:tc>
        <w:tc>
          <w:tcPr>
            <w:tcW w:type="dxa" w:w="3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w:t>
            </w:r>
          </w:p>
        </w:tc>
        <w:tc>
          <w:tcPr>
            <w:tcW w:type="dxa" w:w="3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Correction</w:t>
            </w:r>
          </w:p>
        </w:tc>
      </w:tr>
      <w:tr>
        <w:trPr>
          <w:cantSplit/>
          <w:tblHeader w:val="false"/>
        </w:trPr>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 Twin builds (5 exact explores/tail + 1 broad)</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all on TWIN-WHITE (13 units, nothing inbound; ~8.5 orders a week booked)</w:t>
            </w:r>
          </w:p>
        </w:tc>
        <w:tc>
          <w:tcPr>
            <w:tcW w:type="dxa" w:w="3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one explore on the highest-volume term, on TWIN-GRAPHITE; the rest when Twin stock allows</w:t>
            </w:r>
          </w:p>
        </w:tc>
      </w:tr>
      <w:tr>
        <w:trPr>
          <w:cantSplit/>
          <w:tblHeader w:val="false"/>
        </w:trPr>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 King explores (1517, 1529, 1601, 1613)</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new exacts on terms whose paused exacts carry history</w:t>
            </w:r>
          </w:p>
        </w:tc>
        <w:tc>
          <w:tcPr>
            <w:tcW w:type="dxa" w:w="3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re-enable the paused exacts at the King ceiling instead (A.7)</w:t>
            </w:r>
          </w:p>
        </w:tc>
      </w:tr>
      <w:tr>
        <w:trPr>
          <w:cantSplit/>
          <w:tblHeader w:val="false"/>
        </w:trPr>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SB 1386, SBV 1378, SD 1426 (human)</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QUEEN-WHITE featured (89 units, under horizon); creative gate unchecked</w:t>
            </w:r>
          </w:p>
        </w:tc>
        <w:tc>
          <w:tcPr>
            <w:tcW w:type="dxa" w:w="3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feature QUEEN-GRAPHITE; give each creative an owner and a date (D.7)</w:t>
            </w:r>
          </w:p>
        </w:tc>
      </w:tr>
      <w:tr>
        <w:trPr>
          <w:cantSplit/>
          <w:tblHeader w:val="false"/>
        </w:trPr>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SB 1410, SBV 1418 (Twin, human)</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TWIN-WHITE featured (13 units)</w:t>
            </w:r>
          </w:p>
        </w:tc>
        <w:tc>
          <w:tcPr>
            <w:tcW w:type="dxa" w:w="3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defer until Twin stock allows</w:t>
            </w:r>
          </w:p>
        </w:tc>
      </w:tr>
      <w:tr>
        <w:trPr>
          <w:cantSplit/>
          <w:tblHeader w:val="false"/>
        </w:trPr>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SB 1394, SBV 1402 (King, human)</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KING-WHITE featured</w:t>
            </w:r>
          </w:p>
        </w:tc>
        <w:tc>
          <w:tcPr>
            <w:tcW w:type="dxa" w:w="3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keep — creative owner and date first</w:t>
            </w:r>
          </w:p>
        </w:tc>
      </w:tr>
      <w:tr>
        <w:trPr>
          <w:cantSplit/>
          <w:tblHeader w:val="false"/>
        </w:trPr>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Own-ASIN PAT defence (1913)</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 QUEEN-WHITE</w:t>
            </w:r>
          </w:p>
        </w:tc>
        <w:tc>
          <w:tcPr>
            <w:tcW w:type="dxa" w:w="3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 QUEEN-GRAPHITE</w:t>
            </w:r>
          </w:p>
        </w:tc>
      </w:tr>
      <w:tr>
        <w:trPr>
          <w:cantSplit/>
          <w:tblHeader w:val="false"/>
        </w:trPr>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 explore</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declined — Queen hero under horizon</w:t>
            </w:r>
          </w:p>
        </w:tc>
        <w:tc>
          <w:tcPr>
            <w:tcW w:type="dxa" w:w="3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build: re-enable the paused SKAG (A.7)</w:t>
            </w:r>
          </w:p>
        </w:tc>
      </w:tr>
      <w:tr>
        <w:trPr>
          <w:cantSplit/>
          <w:tblHeader w:val="false"/>
        </w:trPr>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cold sheets king (1877), pink cooling sheets (1697), cooling fitted sheet king (1589)</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explores</w:t>
            </w:r>
          </w:p>
        </w:tc>
        <w:tc>
          <w:tcPr>
            <w:tcW w:type="dxa" w:w="3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keep</w:t>
            </w:r>
          </w:p>
        </w:tc>
      </w:tr>
    </w:tbl>
    <w:p>
      <w:pPr>
        <w:spacing w:after="80"/>
      </w:pPr>
    </w:p>
    <w:p>
      <w:pPr>
        <w:pStyle w:val="Heading1"/>
      </w:pPr>
      <w:r>
        <w:rPr>
          <w:rFonts w:ascii="Calibri" w:cs="Calibri" w:eastAsia="Calibri" w:hAnsi="Calibri"/>
        </w:rPr>
        <w:t xml:space="preserve">C.5 What the app should change so the next run gets these right</w:t>
      </w:r>
    </w:p>
    <w:p>
      <w:pPr>
        <w:pStyle w:val="ListParagraph"/>
        <w:numPr>
          <w:ilvl w:val="0"/>
          <w:numId w:val="2"/>
        </w:numPr>
        <w:spacing w:after="60"/>
      </w:pPr>
      <w:r>
        <w:rPr>
          <w:rFonts w:ascii="Calibri" w:cs="Calibri" w:eastAsia="Calibri" w:hAnsi="Calibri"/>
        </w:rPr>
        <w:t xml:space="preserve">Contribution: carry the per-child landed-cost figure the rest of the business uses, and refuse to run when two sources differ by more than 10% (C.1).</w:t>
      </w:r>
    </w:p>
    <w:p>
      <w:pPr>
        <w:pStyle w:val="ListParagraph"/>
        <w:numPr>
          <w:ilvl w:val="0"/>
          <w:numId w:val="2"/>
        </w:numPr>
        <w:spacing w:after="60"/>
      </w:pPr>
      <w:r>
        <w:rPr>
          <w:rFonts w:ascii="Calibri" w:cs="Calibri" w:eastAsia="Calibri" w:hAnsi="Calibri"/>
        </w:rPr>
        <w:t xml:space="preserve">One rank source, smoothed: the tracker’s 7-day median for sizing, freezing and grading; a “30 days ago” that is not 30 days ago is not a comparison (A.8).</w:t>
      </w:r>
    </w:p>
    <w:p>
      <w:pPr>
        <w:pStyle w:val="ListParagraph"/>
        <w:numPr>
          <w:ilvl w:val="0"/>
          <w:numId w:val="2"/>
        </w:numPr>
        <w:spacing w:after="60"/>
      </w:pPr>
      <w:r>
        <w:rPr>
          <w:rFonts w:ascii="Calibri" w:cs="Calibri" w:eastAsia="Calibri" w:hAnsi="Calibri"/>
        </w:rPr>
        <w:t xml:space="preserve">Replace the circular market limit (the campaign’s own paid top-of-search CPC + 15%) with the logic document’s bounds: the per-child ceiling, a market bound from what share-holding campaigns pay (per term when it exists), the per-unit bound — and the envelope.</w:t>
      </w:r>
    </w:p>
    <w:p>
      <w:pPr>
        <w:pStyle w:val="ListParagraph"/>
        <w:numPr>
          <w:ilvl w:val="0"/>
          <w:numId w:val="2"/>
        </w:numPr>
        <w:spacing w:after="60"/>
      </w:pPr>
      <w:r>
        <w:rPr>
          <w:rFonts w:ascii="Calibri" w:cs="Calibri" w:eastAsia="Calibri" w:hAnsi="Calibri"/>
        </w:rPr>
        <w:t xml:space="preserve">Derive a ceiling for every campaign at every placement from its own rate once earned (15-click floor, 50-click full weight), and never price a premium on a row with no rank read or no requirement.</w:t>
      </w:r>
    </w:p>
    <w:p>
      <w:pPr>
        <w:pStyle w:val="ListParagraph"/>
        <w:numPr>
          <w:ilvl w:val="0"/>
          <w:numId w:val="2"/>
        </w:numPr>
        <w:spacing w:after="60"/>
      </w:pPr>
      <w:r>
        <w:rPr>
          <w:rFonts w:ascii="Calibri" w:cs="Calibri" w:eastAsia="Calibri" w:hAnsi="Calibri"/>
        </w:rPr>
        <w:t xml:space="preserve">Push on a combined write where product pages are over 20% and top of search is short; the distribution fix alone holds price on a campaign that needs clicks.</w:t>
      </w:r>
    </w:p>
    <w:p>
      <w:pPr>
        <w:pStyle w:val="ListParagraph"/>
        <w:numPr>
          <w:ilvl w:val="0"/>
          <w:numId w:val="2"/>
        </w:numPr>
        <w:spacing w:after="60"/>
      </w:pPr>
      <w:r>
        <w:rPr>
          <w:rFonts w:ascii="Calibri" w:cs="Calibri" w:eastAsia="Calibri" w:hAnsi="Calibri"/>
        </w:rPr>
        <w:t xml:space="preserve">Budget on 7 days of use, not one day’s pack reading; never raise a budget on a paused or out-of-focus campaign.</w:t>
      </w:r>
    </w:p>
    <w:p>
      <w:pPr>
        <w:pStyle w:val="ListParagraph"/>
        <w:numPr>
          <w:ilvl w:val="0"/>
          <w:numId w:val="2"/>
        </w:numPr>
        <w:spacing w:after="60"/>
      </w:pPr>
      <w:r>
        <w:rPr>
          <w:rFonts w:ascii="Calibri" w:cs="Calibri" w:eastAsia="Calibri" w:hAnsi="Calibri"/>
        </w:rPr>
        <w:t xml:space="preserve">Give the loader a product-ad roster, or turn every child swap into a same-day task with an owner; never load a rename that names a child the ad does not serve.</w:t>
      </w:r>
    </w:p>
    <w:p>
      <w:pPr>
        <w:pStyle w:val="ListParagraph"/>
        <w:numPr>
          <w:ilvl w:val="0"/>
          <w:numId w:val="2"/>
        </w:numPr>
        <w:spacing w:after="60"/>
      </w:pPr>
      <w:r>
        <w:rPr>
          <w:rFonts w:ascii="Calibri" w:cs="Calibri" w:eastAsia="Calibri" w:hAnsi="Calibri"/>
        </w:rPr>
        <w:t xml:space="preserve">Read cover on the child the size pushes on (Queen Graphite), not the hero, before declining a build.</w:t>
      </w:r>
    </w:p>
    <w:p>
      <w:pPr>
        <w:pStyle w:val="ListParagraph"/>
        <w:numPr>
          <w:ilvl w:val="0"/>
          <w:numId w:val="2"/>
        </w:numPr>
        <w:spacing w:after="60"/>
      </w:pPr>
      <w:r>
        <w:rPr>
          <w:rFonts w:ascii="Calibri" w:cs="Calibri" w:eastAsia="Calibri" w:hAnsi="Calibri"/>
        </w:rPr>
        <w:t xml:space="preserve">Never write a price on a paused campaign; re-enable-or-drop is a decision row.</w:t>
      </w:r>
    </w:p>
    <w:p>
      <w:pPr>
        <w:pStyle w:val="ListParagraph"/>
        <w:numPr>
          <w:ilvl w:val="0"/>
          <w:numId w:val="2"/>
        </w:numPr>
        <w:spacing w:after="60"/>
      </w:pPr>
      <w:r>
        <w:rPr>
          <w:rFonts w:ascii="Calibri" w:cs="Calibri" w:eastAsia="Calibri" w:hAnsi="Calibri"/>
        </w:rPr>
        <w:t xml:space="preserve">Carry the gate’s verdict into the export (15 rows say “change → HOLD” and export as changes) and keep retag rows out of pricing until the lane reads them.</w:t>
      </w:r>
    </w:p>
    <w:p>
      <w:pPr>
        <w:pStyle w:val="ListParagraph"/>
        <w:numPr>
          <w:ilvl w:val="0"/>
          <w:numId w:val="2"/>
        </w:numPr>
        <w:spacing w:after="60"/>
      </w:pPr>
      <w:r>
        <w:rPr>
          <w:rFonts w:ascii="Calibri" w:cs="Calibri" w:eastAsia="Calibri" w:hAnsi="Calibri"/>
        </w:rPr>
        <w:t xml:space="preserve">Map size synonyms (“cal king”, “california king”) and “cool”-rooted terms into their syntax groups.</w:t>
      </w:r>
    </w:p>
    <w:p>
      <w:pPr>
        <w:pStyle w:val="ListParagraph"/>
        <w:numPr>
          <w:ilvl w:val="0"/>
          <w:numId w:val="2"/>
        </w:numPr>
        <w:spacing w:after="60"/>
      </w:pPr>
      <w:r>
        <w:rPr>
          <w:rFonts w:ascii="Calibri" w:cs="Calibri" w:eastAsia="Calibri" w:hAnsi="Calibri"/>
        </w:rPr>
        <w:t xml:space="preserve">Carry every campaign that advertises the product in the export (19 are missing).</w:t>
      </w:r>
    </w:p>
    <w:p>
      <w:pPr>
        <w:pStyle w:val="ListParagraph"/>
        <w:numPr>
          <w:ilvl w:val="0"/>
          <w:numId w:val="2"/>
        </w:numPr>
        <w:spacing w:after="60"/>
      </w:pPr>
      <w:r>
        <w:rPr>
          <w:rFonts w:ascii="Calibri" w:cs="Calibri" w:eastAsia="Calibri" w:hAnsi="Calibri"/>
        </w:rPr>
        <w:t xml:space="preserve">Read top-of-search impression share beside the effective bid on every ranking target and grade every push on whether share rose.</w:t>
      </w:r>
    </w:p>
    <w:p>
      <w:pPr>
        <w:pStyle w:val="Heading1"/>
      </w:pPr>
      <w:r>
        <w:rPr>
          <w:rFonts w:ascii="Calibri" w:cs="Calibri" w:eastAsia="Calibri" w:hAnsi="Calibri"/>
        </w:rPr>
        <w:t xml:space="preserve">Part D — SCS4: why rank moved where it did, and what to do about it</w:t>
      </w:r>
    </w:p>
    <w:p>
      <w:pPr>
        <w:spacing w:after="100"/>
      </w:pPr>
      <w:r>
        <w:rPr>
          <w:rFonts w:ascii="Calibri" w:cs="Calibri" w:eastAsia="Calibri" w:hAnsi="Calibri"/>
        </w:rPr>
        <w:t xml:space="preserve">The question for SCS4: across the build-out and the tuning since, is rank where it is because we are not buying enough top-of-search traffic (a traffic gap), or because we are there and not meeting the CTR and CVR bars (a performance gap)? This part answers it for the main groups and keywords and adds the history, competitors, the other campaign types and the metrics the app should read.</w:t>
      </w:r>
    </w:p>
    <w:p>
      <w:pPr>
        <w:pStyle w:val="Heading1"/>
      </w:pPr>
      <w:r>
        <w:rPr>
          <w:rFonts w:ascii="Calibri" w:cs="Calibri" w:eastAsia="Calibri" w:hAnsi="Calibri"/>
        </w:rPr>
        <w:t xml:space="preserve">D.1 The answer in one page</w:t>
      </w:r>
    </w:p>
    <w:p>
      <w:pPr>
        <w:spacing w:after="100"/>
      </w:pPr>
      <w:r>
        <w:rPr>
          <w:rFonts w:ascii="Calibri" w:cs="Calibri" w:eastAsia="Calibri" w:hAnsi="Calibri"/>
        </w:rPr>
        <w:t xml:space="preserve">Short answer. On King and Queen it is a traffic gap: at group level top-of-search CTR and CVR clear the app’s bars (on most of their head terms too), and SCS4 wins 3–8% of the top-of-search auctions. On the generic Cooling group — home of the head term — it is both: top of search converts 7.5% against a 9.6% bar at 3.4% share. And the build-out that did move rank was bought on economics the run overstates.</w:t>
      </w:r>
    </w:p>
    <w:p>
      <w:pPr>
        <w:pStyle w:val="ListParagraph"/>
        <w:numPr>
          <w:ilvl w:val="0"/>
          <w:numId w:val="2"/>
        </w:numPr>
        <w:spacing w:after="60"/>
      </w:pPr>
      <w:r>
        <w:rPr>
          <w:rFonts w:ascii="Calibri" w:cs="Calibri" w:eastAsia="Calibri" w:hAnsi="Calibri"/>
        </w:rPr>
        <w:t xml:space="preserve">The build-out worked where it was aimed. The 22 August build-out lifted ad clicks from 52 to 174 a day. Over the next four weeks Cooling|King went 88 → 23, Cooling 51 → 23 and Cooling|Queen 62 → 43 (7-day medians, 24 Aug → 23 Sep); “king size cooling sheets” 37 → 5, “cooling sheets king size” 49 → 6, “cold sheets for hot sleepers” 29 → 3.</w:t>
      </w:r>
    </w:p>
    <w:p>
      <w:pPr>
        <w:pStyle w:val="ListParagraph"/>
        <w:numPr>
          <w:ilvl w:val="0"/>
          <w:numId w:val="2"/>
        </w:numPr>
        <w:spacing w:after="60"/>
      </w:pPr>
      <w:r>
        <w:rPr>
          <w:rFonts w:ascii="Calibri" w:cs="Calibri" w:eastAsia="Calibri" w:hAnsi="Calibri"/>
        </w:rPr>
        <w:t xml:space="preserve">The head term went the other way. “cooling sheets” was 8 on 24 August and is 17.5 now; its campaign delivered 6.4 top-of-search clicks a day in the 31 days before 16 September and 3.5 a day since, at 1.52% impression share and a $2.60 top-of-search price — below what the long-tail exacts pay, on the term the plan asks 1,352 clicks a week for.</w:t>
      </w:r>
    </w:p>
    <w:p>
      <w:pPr>
        <w:pStyle w:val="ListParagraph"/>
        <w:numPr>
          <w:ilvl w:val="0"/>
          <w:numId w:val="2"/>
        </w:numPr>
        <w:spacing w:after="60"/>
      </w:pPr>
      <w:r>
        <w:rPr>
          <w:rFonts w:ascii="Calibri" w:cs="Calibri" w:eastAsia="Calibri" w:hAnsi="Calibri"/>
        </w:rPr>
        <w:t xml:space="preserve">Volume has fallen back. Ad clicks from 174 to 107 a day since 15 September, top-of-search clicks from 90 to 53 a day, conversion from 10.6% to 7.4% (settling).</w:t>
      </w:r>
    </w:p>
    <w:p>
      <w:pPr>
        <w:pStyle w:val="ListParagraph"/>
        <w:numPr>
          <w:ilvl w:val="0"/>
          <w:numId w:val="2"/>
        </w:numPr>
        <w:spacing w:after="60"/>
      </w:pPr>
      <w:r>
        <w:rPr>
          <w:rFonts w:ascii="Calibri" w:cs="Calibri" w:eastAsia="Calibri" w:hAnsi="Calibri"/>
        </w:rPr>
        <w:t xml:space="preserve">The listing changed underneath it. Price rose on 18 August and again by $5 on 24 August; the main image changed on 2 September. The head term’s slide starts with the second price rise.</w:t>
      </w:r>
    </w:p>
    <w:p>
      <w:pPr>
        <w:pStyle w:val="ListParagraph"/>
        <w:numPr>
          <w:ilvl w:val="0"/>
          <w:numId w:val="2"/>
        </w:numPr>
        <w:spacing w:after="60"/>
      </w:pPr>
      <w:r>
        <w:rPr>
          <w:rFonts w:ascii="Calibri" w:cs="Calibri" w:eastAsia="Calibri" w:hAnsi="Calibri"/>
        </w:rPr>
        <w:t xml:space="preserve">The mix is wrong where the money is. In-focus ranking campaigns land 27% of their clicks on product pages (14 days); King’s head campaign 37%.</w:t>
      </w:r>
    </w:p>
    <w:p>
      <w:pPr>
        <w:pStyle w:val="ListParagraph"/>
        <w:numPr>
          <w:ilvl w:val="0"/>
          <w:numId w:val="2"/>
        </w:numPr>
        <w:spacing w:after="60"/>
      </w:pPr>
      <w:r>
        <w:rPr>
          <w:rFonts w:ascii="Calibri" w:cs="Calibri" w:eastAsia="Calibri" w:hAnsi="Calibri"/>
        </w:rPr>
        <w:t xml:space="preserve">The margin is thinner than the run thinks. At Command Center’s $20.55 Queen contribution a top-of-search click on a Queen term is worth $2.12; the run priced Queen terms at $2.84–$4.43 on ceilings of about $3.00–$3.40.</w:t>
      </w:r>
    </w:p>
    <w:p>
      <w:pPr>
        <w:spacing w:after="100"/>
      </w:pPr>
      <w:r>
        <w:rPr>
          <w:rFonts w:ascii="Calibri" w:cs="Calibri" w:eastAsia="Calibri" w:hAnsi="Calibri"/>
        </w:rPr>
        <w:t xml:space="preserve">What changes. Buy the traffic back where it converts, one capped step a write, inside a stated loss per order and the $221-a-day envelope (Part A); put the King push on the child that can ship, by hand, today; restore “cooling bed sheets”; fix the mix on the King and Queen heads; and decide what the head term is worth before funding it.</w:t>
      </w:r>
    </w:p>
    <w:p>
      <w:pPr>
        <w:pStyle w:val="Heading1"/>
      </w:pPr>
      <w:r>
        <w:rPr>
          <w:rFonts w:ascii="Calibri" w:cs="Calibri" w:eastAsia="Calibri" w:hAnsi="Calibri"/>
        </w:rPr>
        <w:t xml:space="preserve">D.2 Overall performance against the tuning so far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816"/>
        <w:gridCol w:w="1679"/>
        <w:gridCol w:w="763"/>
        <w:gridCol w:w="763"/>
        <w:gridCol w:w="814"/>
        <w:gridCol w:w="865"/>
        <w:gridCol w:w="661"/>
        <w:gridCol w:w="661"/>
        <w:gridCol w:w="661"/>
        <w:gridCol w:w="712"/>
        <w:gridCol w:w="814"/>
        <w:gridCol w:w="763"/>
      </w:tblGrid>
      <w:tr>
        <w:trPr>
          <w:cantSplit/>
          <w:tblHeader/>
        </w:trPr>
        <w:tc>
          <w:tcPr>
            <w:tcW w:type="dxa" w:w="816"/>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Product</w:t>
            </w:r>
          </w:p>
        </w:tc>
        <w:tc>
          <w:tcPr>
            <w:tcW w:type="dxa" w:w="1679"/>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Window</w:t>
            </w:r>
          </w:p>
        </w:tc>
        <w:tc>
          <w:tcPr>
            <w:tcW w:type="dxa" w:w="763"/>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clicks/day</w:t>
            </w:r>
          </w:p>
        </w:tc>
        <w:tc>
          <w:tcPr>
            <w:tcW w:type="dxa" w:w="763"/>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orders/day</w:t>
            </w:r>
          </w:p>
        </w:tc>
        <w:tc>
          <w:tcPr>
            <w:tcW w:type="dxa" w:w="81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Spend/day</w:t>
            </w:r>
          </w:p>
        </w:tc>
        <w:tc>
          <w:tcPr>
            <w:tcW w:type="dxa" w:w="865"/>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sales/day</w:t>
            </w:r>
          </w:p>
        </w:tc>
        <w:tc>
          <w:tcPr>
            <w:tcW w:type="dxa" w:w="66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w:t>
            </w:r>
          </w:p>
        </w:tc>
        <w:tc>
          <w:tcPr>
            <w:tcW w:type="dxa" w:w="66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CVR</w:t>
            </w:r>
          </w:p>
        </w:tc>
        <w:tc>
          <w:tcPr>
            <w:tcW w:type="dxa" w:w="66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CPC</w:t>
            </w:r>
          </w:p>
        </w:tc>
        <w:tc>
          <w:tcPr>
            <w:tcW w:type="dxa" w:w="71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TACoS</w:t>
            </w:r>
          </w:p>
        </w:tc>
        <w:tc>
          <w:tcPr>
            <w:tcW w:type="dxa" w:w="81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clicks/day</w:t>
            </w:r>
          </w:p>
        </w:tc>
        <w:tc>
          <w:tcPr>
            <w:tcW w:type="dxa" w:w="763"/>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PP clicks/day</w:t>
            </w:r>
          </w:p>
        </w:tc>
      </w:tr>
      <w:tr>
        <w:trPr>
          <w:cantSplit/>
          <w:tblHeader w:val="false"/>
        </w:trPr>
        <w:tc>
          <w:tcPr>
            <w:tcW w:type="dxa" w:w="816"/>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w:t>
            </w:r>
          </w:p>
        </w:tc>
        <w:tc>
          <w:tcPr>
            <w:tcW w:type="dxa" w:w="167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 Jun – 23 Jul</w:t>
            </w:r>
          </w:p>
        </w:tc>
        <w:tc>
          <w:tcPr>
            <w:tcW w:type="dxa" w:w="7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56</w:t>
            </w:r>
          </w:p>
        </w:tc>
        <w:tc>
          <w:tcPr>
            <w:tcW w:type="dxa" w:w="7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81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$88</w:t>
            </w:r>
          </w:p>
        </w:tc>
        <w:tc>
          <w:tcPr>
            <w:tcW w:type="dxa" w:w="8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$268</w:t>
            </w:r>
          </w:p>
        </w:tc>
        <w:tc>
          <w:tcPr>
            <w:tcW w:type="dxa" w:w="6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32.8%</w:t>
            </w:r>
          </w:p>
        </w:tc>
        <w:tc>
          <w:tcPr>
            <w:tcW w:type="dxa" w:w="6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8.4%</w:t>
            </w:r>
          </w:p>
        </w:tc>
        <w:tc>
          <w:tcPr>
            <w:tcW w:type="dxa" w:w="6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$1.56</w:t>
            </w:r>
          </w:p>
        </w:tc>
        <w:tc>
          <w:tcPr>
            <w:tcW w:type="dxa" w:w="71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w:t>
            </w:r>
          </w:p>
        </w:tc>
        <w:tc>
          <w:tcPr>
            <w:tcW w:type="dxa" w:w="81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7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w:t>
            </w:r>
          </w:p>
        </w:tc>
      </w:tr>
      <w:tr>
        <w:trPr>
          <w:cantSplit/>
          <w:tblHeader w:val="false"/>
        </w:trPr>
        <w:tc>
          <w:tcPr>
            <w:tcW w:type="dxa" w:w="816"/>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167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 Jul – 20 Aug</w:t>
            </w:r>
          </w:p>
        </w:tc>
        <w:tc>
          <w:tcPr>
            <w:tcW w:type="dxa" w:w="7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7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w:t>
            </w:r>
          </w:p>
        </w:tc>
        <w:tc>
          <w:tcPr>
            <w:tcW w:type="dxa" w:w="81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8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$475</w:t>
            </w:r>
          </w:p>
        </w:tc>
        <w:tc>
          <w:tcPr>
            <w:tcW w:type="dxa" w:w="6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14.1%</w:t>
            </w:r>
          </w:p>
        </w:tc>
        <w:tc>
          <w:tcPr>
            <w:tcW w:type="dxa" w:w="6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14.7%</w:t>
            </w:r>
          </w:p>
        </w:tc>
        <w:tc>
          <w:tcPr>
            <w:tcW w:type="dxa" w:w="6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w:t>
            </w:r>
          </w:p>
        </w:tc>
        <w:tc>
          <w:tcPr>
            <w:tcW w:type="dxa" w:w="71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w:t>
            </w:r>
          </w:p>
        </w:tc>
        <w:tc>
          <w:tcPr>
            <w:tcW w:type="dxa" w:w="81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7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w:t>
            </w:r>
          </w:p>
        </w:tc>
      </w:tr>
      <w:tr>
        <w:trPr>
          <w:cantSplit/>
          <w:tblHeader w:val="false"/>
        </w:trPr>
        <w:tc>
          <w:tcPr>
            <w:tcW w:type="dxa" w:w="816"/>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167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 Aug – 14 Sep (build-out)</w:t>
            </w:r>
          </w:p>
        </w:tc>
        <w:tc>
          <w:tcPr>
            <w:tcW w:type="dxa" w:w="7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174</w:t>
            </w:r>
          </w:p>
        </w:tc>
        <w:tc>
          <w:tcPr>
            <w:tcW w:type="dxa" w:w="7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18.5</w:t>
            </w:r>
          </w:p>
        </w:tc>
        <w:tc>
          <w:tcPr>
            <w:tcW w:type="dxa" w:w="81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$377</w:t>
            </w:r>
          </w:p>
        </w:tc>
        <w:tc>
          <w:tcPr>
            <w:tcW w:type="dxa" w:w="8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$1,430</w:t>
            </w:r>
          </w:p>
        </w:tc>
        <w:tc>
          <w:tcPr>
            <w:tcW w:type="dxa" w:w="6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26.4%</w:t>
            </w:r>
          </w:p>
        </w:tc>
        <w:tc>
          <w:tcPr>
            <w:tcW w:type="dxa" w:w="6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10.6%</w:t>
            </w:r>
          </w:p>
        </w:tc>
        <w:tc>
          <w:tcPr>
            <w:tcW w:type="dxa" w:w="6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$2.17</w:t>
            </w:r>
          </w:p>
        </w:tc>
        <w:tc>
          <w:tcPr>
            <w:tcW w:type="dxa" w:w="71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12.6%</w:t>
            </w:r>
          </w:p>
        </w:tc>
        <w:tc>
          <w:tcPr>
            <w:tcW w:type="dxa" w:w="81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w:t>
            </w:r>
          </w:p>
        </w:tc>
        <w:tc>
          <w:tcPr>
            <w:tcW w:type="dxa" w:w="7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65</w:t>
            </w:r>
          </w:p>
        </w:tc>
      </w:tr>
      <w:tr>
        <w:trPr>
          <w:cantSplit/>
          <w:tblHeader w:val="false"/>
        </w:trPr>
        <w:tc>
          <w:tcPr>
            <w:tcW w:type="dxa" w:w="816"/>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167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Last 9 days 15 – 23 Sep</w:t>
            </w:r>
          </w:p>
        </w:tc>
        <w:tc>
          <w:tcPr>
            <w:tcW w:type="dxa" w:w="7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107</w:t>
            </w:r>
          </w:p>
        </w:tc>
        <w:tc>
          <w:tcPr>
            <w:tcW w:type="dxa" w:w="7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7.9</w:t>
            </w:r>
          </w:p>
        </w:tc>
        <w:tc>
          <w:tcPr>
            <w:tcW w:type="dxa" w:w="81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$219</w:t>
            </w:r>
          </w:p>
        </w:tc>
        <w:tc>
          <w:tcPr>
            <w:tcW w:type="dxa" w:w="8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$600</w:t>
            </w:r>
          </w:p>
        </w:tc>
        <w:tc>
          <w:tcPr>
            <w:tcW w:type="dxa" w:w="6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36.5%</w:t>
            </w:r>
          </w:p>
        </w:tc>
        <w:tc>
          <w:tcPr>
            <w:tcW w:type="dxa" w:w="6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7.4%</w:t>
            </w:r>
          </w:p>
        </w:tc>
        <w:tc>
          <w:tcPr>
            <w:tcW w:type="dxa" w:w="6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$2.05</w:t>
            </w:r>
          </w:p>
        </w:tc>
        <w:tc>
          <w:tcPr>
            <w:tcW w:type="dxa" w:w="71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14.5%</w:t>
            </w:r>
          </w:p>
        </w:tc>
        <w:tc>
          <w:tcPr>
            <w:tcW w:type="dxa" w:w="81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7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w:t>
            </w:r>
          </w:p>
        </w:tc>
      </w:tr>
    </w:tbl>
    <w:p>
      <w:pPr>
        <w:spacing w:after="8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42"/>
        <w:gridCol w:w="2334"/>
        <w:gridCol w:w="1061"/>
        <w:gridCol w:w="1061"/>
        <w:gridCol w:w="1061"/>
        <w:gridCol w:w="1061"/>
        <w:gridCol w:w="1061"/>
        <w:gridCol w:w="1591"/>
      </w:tblGrid>
      <w:tr>
        <w:trPr>
          <w:cantSplit/>
          <w:tblHeader/>
        </w:trPr>
        <w:tc>
          <w:tcPr>
            <w:tcW w:type="dxa" w:w="74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Product</w:t>
            </w:r>
          </w:p>
        </w:tc>
        <w:tc>
          <w:tcPr>
            <w:tcW w:type="dxa" w:w="233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Syntax group</w:t>
            </w:r>
          </w:p>
        </w:tc>
        <w:tc>
          <w:tcPr>
            <w:tcW w:type="dxa" w:w="106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 24 Jul</w:t>
            </w:r>
          </w:p>
        </w:tc>
        <w:tc>
          <w:tcPr>
            <w:tcW w:type="dxa" w:w="106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 15 Aug</w:t>
            </w:r>
          </w:p>
        </w:tc>
        <w:tc>
          <w:tcPr>
            <w:tcW w:type="dxa" w:w="106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 24 Aug</w:t>
            </w:r>
          </w:p>
        </w:tc>
        <w:tc>
          <w:tcPr>
            <w:tcW w:type="dxa" w:w="106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 14 Sep</w:t>
            </w:r>
          </w:p>
        </w:tc>
        <w:tc>
          <w:tcPr>
            <w:tcW w:type="dxa" w:w="106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 23 Sep</w:t>
            </w:r>
          </w:p>
        </w:tc>
        <w:tc>
          <w:tcPr>
            <w:tcW w:type="dxa" w:w="159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Exact ranking spend 30d</w:t>
            </w:r>
          </w:p>
        </w:tc>
      </w:tr>
      <w:tr>
        <w:trPr>
          <w:cantSplit/>
          <w:tblHeader w:val="false"/>
        </w:trPr>
        <w:tc>
          <w:tcPr>
            <w:tcW w:type="dxa" w:w="74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w:t>
            </w:r>
          </w:p>
        </w:tc>
        <w:tc>
          <w:tcPr>
            <w:tcW w:type="dxa" w:w="233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15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$1,992</w:t>
            </w:r>
          </w:p>
        </w:tc>
      </w:tr>
      <w:tr>
        <w:trPr>
          <w:cantSplit/>
          <w:tblHeader w:val="false"/>
        </w:trPr>
        <w:tc>
          <w:tcPr>
            <w:tcW w:type="dxa" w:w="74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233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Cooling|King</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86</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86</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88</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15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$3,133</w:t>
            </w:r>
          </w:p>
        </w:tc>
      </w:tr>
      <w:tr>
        <w:trPr>
          <w:cantSplit/>
          <w:tblHeader w:val="false"/>
        </w:trPr>
        <w:tc>
          <w:tcPr>
            <w:tcW w:type="dxa" w:w="74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233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Cooling|Queen</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62</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15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$1,460</w:t>
            </w:r>
          </w:p>
        </w:tc>
      </w:tr>
      <w:tr>
        <w:trPr>
          <w:cantSplit/>
          <w:tblHeader w:val="false"/>
        </w:trPr>
        <w:tc>
          <w:tcPr>
            <w:tcW w:type="dxa" w:w="74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233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Cooling|Twin</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5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w:t>
            </w:r>
          </w:p>
        </w:tc>
      </w:tr>
      <w:tr>
        <w:trPr>
          <w:cantSplit/>
          <w:tblHeader w:val="false"/>
        </w:trPr>
        <w:tc>
          <w:tcPr>
            <w:tcW w:type="dxa" w:w="74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233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Cooling|Full</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106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15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74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233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Cooling|California King</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06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5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bl>
    <w:p>
      <w:pPr>
        <w:spacing w:after="80"/>
      </w:pPr>
    </w:p>
    <w:p>
      <w:pPr>
        <w:spacing w:after="60"/>
        <w:jc w:val="center"/>
      </w:pPr>
      <w:r>
        <w:drawing>
          <wp:inline distT="0" distB="0" distL="0" distR="0">
            <wp:extent cx="5905500" cy="5429250"/>
            <wp:effectExtent t="0" r="0" b="0" l="0"/>
            <wp:docPr id="1" name="chart" descr="SCS4 daily placement clicks, effective top-of-search bid and group rank" title="SCS4 daily placement clicks, effective top-of-search bid and group 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429250"/>
                    </a:xfrm>
                    <a:prstGeom prst="rect">
                      <a:avLst/>
                    </a:prstGeom>
                  </pic:spPr>
                </pic:pic>
              </a:graphicData>
            </a:graphic>
          </wp:inline>
        </w:drawing>
      </w:r>
    </w:p>
    <w:p>
      <w:pPr>
        <w:spacing w:after="120"/>
      </w:pPr>
      <w:r>
        <w:rPr>
          <w:rFonts w:ascii="Calibri" w:cs="Calibri" w:eastAsia="Calibri" w:hAnsi="Calibri"/>
          <w:i/>
          <w:iCs/>
          <w:color w:val="555555"/>
          <w:sz w:val="17"/>
          <w:szCs w:val="17"/>
        </w:rPr>
        <w:t xml:space="preserve">SCS4 — top-of-search and product-page clicks per day (all campaigns), the spend-weighted effective top-of-search bid, and group rank (7-day median). Dashed: the 22 Aug build-out, the 9 and 13 Sep rounds and the 22 Sep run; dotted: listing events.</w:t>
      </w:r>
    </w:p>
    <w:p>
      <w:pPr>
        <w:spacing w:after="100"/>
      </w:pPr>
      <w:r>
        <w:rPr>
          <w:rFonts w:ascii="Calibri" w:cs="Calibri" w:eastAsia="Calibri" w:hAnsi="Calibri"/>
        </w:rPr>
        <w:t xml:space="preserve">SCS4. Before the build-out SCS4 ran about 52 ad clicks a day at a 14% ACoS and 3.7% TACoS — organic carried it, and the tracked groups were mostly in the 45–90s. The 22 August build-out (the SCS-SP-* campaigns are 34 days old) took spend from $67 to $377 a day and dropped the spend-weighted top-of-search price from about $4.00 to $3.20–$3.70 — it bought many more, cheaper top-of-search clicks across many new long-tail exacts. Rank followed on King and the generic group within two weeks. The 9 and 13 September rounds raised modifiers (50% → 121%, 125% → 170%) and the run’s own book says those raises bought clicks (×2.09 on the King head). Since 15 September clicks have slid back to about 107 a day and the head term has lost ground; TACoS rose to 14.5% because ad sales fell faster than spend (settling).</w:t>
      </w:r>
    </w:p>
    <w:p>
      <w:pPr>
        <w:spacing w:after="100"/>
      </w:pPr>
      <w:r>
        <w:rPr>
          <w:rFonts w:ascii="Calibri" w:cs="Calibri" w:eastAsia="Calibri" w:hAnsi="Calibri"/>
        </w:rPr>
        <w:t xml:space="preserve">The lesson for the app. A build-out moves the groups it floods and leaves the head term to whatever price it inherited: “cooling sheets” is still priced at $2.60 at the top while long-tail exacts pay $2.84–$3.17 for 0–1 clicks a day. Grade every round on top-of-search clicks and rank on the plan’s head terms before ACoS.</w:t>
      </w:r>
    </w:p>
    <w:p>
      <w:pPr>
        <w:pStyle w:val="Heading1"/>
      </w:pPr>
      <w:r>
        <w:rPr>
          <w:rFonts w:ascii="Calibri" w:cs="Calibri" w:eastAsia="Calibri" w:hAnsi="Calibri"/>
        </w:rPr>
        <w:t xml:space="preserve">D.3 How traffic gap and performance gap are told apart</w:t>
      </w:r>
    </w:p>
    <w:p>
      <w:pPr>
        <w:spacing w:after="100"/>
      </w:pPr>
      <w:r>
        <w:rPr>
          <w:rFonts w:ascii="Calibri" w:cs="Calibri" w:eastAsia="Calibri" w:hAnsi="Calibri"/>
        </w:rPr>
        <w:t xml:space="preserve">Performance bars. The app’s own: target CTR = 1.1 × the market CTR of the term (or its syntax group, Search Query Performance); target CVR = 3 × market CVR. CTR is judged only with 300+ top-of-search impressions, CVR only with 15+ top-of-search clicks — below that the call is “not enough sample”, never a verdict. (The push condition in Part A is the logic document’s looser one — above the market, not 3× it.)</w:t>
      </w:r>
    </w:p>
    <w:p>
      <w:pPr>
        <w:spacing w:after="100"/>
      </w:pPr>
      <w:r>
        <w:rPr>
          <w:rFonts w:ascii="Calibri" w:cs="Calibri" w:eastAsia="Calibri" w:hAnsi="Calibri"/>
        </w:rPr>
        <w:t xml:space="preserve">Traffic bars. Any of: top-of-search impression share under 10%; fewer than 15 top-of-search clicks in 30 days; delivered top-of-search clicks under 70% of the plan’s weekly requirement.</w:t>
      </w:r>
    </w:p>
    <w:p>
      <w:pPr>
        <w:spacing w:after="100"/>
      </w:pPr>
      <w:r>
        <w:rPr>
          <w:rFonts w:ascii="Calibri" w:cs="Calibri" w:eastAsia="Calibri" w:hAnsi="Calibri"/>
        </w:rPr>
        <w:t xml:space="preserve">Verdicts. Traffic gap — meets the bars when shown, not shown enough → buy the traffic. Performance gap — shown enough, under the CTR or CVR bar → fix the offer before buying more. Both — fix the offer while probing. Not present — under 100 top-of-search impressions in 30 days → eligibility and price first. On track — both met, share ≥ 10%.</w:t>
      </w:r>
    </w:p>
    <w:p>
      <w:pPr>
        <w:spacing w:after="100"/>
      </w:pPr>
      <w:r>
        <w:rPr>
          <w:rFonts w:ascii="Calibri" w:cs="Calibri" w:eastAsia="Calibri" w:hAnsi="Calibri"/>
        </w:rPr>
        <w:t xml:space="preserve">Caveat. Placement is measured per campaign; where a keyword runs in one exact campaign — true of almost every SCS4 ranking term — the campaign’s split is the keyword’s. Impression share is the engine’s read per campaign.</w:t>
      </w:r>
    </w:p>
    <w:p>
      <w:pPr>
        <w:pStyle w:val="Heading1"/>
      </w:pPr>
      <w:r>
        <w:rPr>
          <w:rFonts w:ascii="Calibri" w:cs="Calibri" w:eastAsia="Calibri" w:hAnsi="Calibri"/>
        </w:rPr>
        <w:t xml:space="preserve">D.4 Syntax groups</w:t>
      </w:r>
    </w:p>
    <w:p>
      <w:pPr>
        <w:pStyle w:val="Heading3"/>
      </w:pPr>
      <w:r>
        <w:rPr>
          <w:rFonts w:ascii="Calibri" w:cs="Calibri" w:eastAsia="Calibri" w:hAnsi="Calibri"/>
        </w:rPr>
        <w:t xml:space="preserve">SCS4 — exact ranking campaigns, 30 days to 23 Sep</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600"/>
        <w:gridCol w:w="800"/>
        <w:gridCol w:w="800"/>
        <w:gridCol w:w="700"/>
        <w:gridCol w:w="650"/>
        <w:gridCol w:w="1600"/>
        <w:gridCol w:w="1422"/>
      </w:tblGrid>
      <w:tr>
        <w:trPr>
          <w:cantSplit/>
          <w:tblHeader/>
        </w:trPr>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Group</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 clicks 30d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clicks (share)</w:t>
            </w:r>
          </w:p>
        </w:tc>
        <w:tc>
          <w:tcPr>
            <w:tcW w:type="dxa" w:w="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PP share</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CTR / bar</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CVR / bar</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impr. share</w:t>
            </w:r>
          </w:p>
        </w:tc>
        <w:tc>
          <w:tcPr>
            <w:tcW w:type="dxa" w:w="6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CPC</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 1 Jul → 15 Aug → 24 Aug → 14 Sep → 23 Sep</w:t>
            </w:r>
          </w:p>
        </w:tc>
        <w:tc>
          <w:tcPr>
            <w:tcW w:type="dxa" w:w="142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w:t>
            </w:r>
          </w:p>
        </w:tc>
      </w:tr>
      <w:tr>
        <w:trPr>
          <w:cantSplit/>
          <w:tblHeader w:val="false"/>
        </w:trPr>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Cooling|King</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$3,133 / 865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541 (63%)</w:t>
            </w:r>
          </w:p>
        </w:tc>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 / 2.2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13.7 / 10.6</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w:t>
            </w:r>
          </w:p>
        </w:tc>
        <w:tc>
          <w:tcPr>
            <w:tcW w:type="dxa" w:w="6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$4.39</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 → 86 → 88 → 26 → 23</w:t>
            </w:r>
          </w:p>
        </w:tc>
        <w:tc>
          <w:tcPr>
            <w:tcW w:type="dxa" w:w="142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TRAFFIC GAP — converts when shown, not shown enough</w:t>
            </w:r>
          </w:p>
        </w:tc>
      </w:tr>
      <w:tr>
        <w:trPr>
          <w:cantSplit/>
          <w:tblHeader w:val="false"/>
        </w:trPr>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$1,992 / 817</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586 (72%)</w:t>
            </w:r>
          </w:p>
        </w:tc>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4.8 / 2.1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7.5 / 9.6</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6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81 → 50 → 51 → 25 → 23</w:t>
            </w:r>
          </w:p>
        </w:tc>
        <w:tc>
          <w:tcPr>
            <w:tcW w:type="dxa" w:w="142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BOTH — short of traffic and under the CVR bar at the top</w:t>
            </w:r>
          </w:p>
        </w:tc>
      </w:tr>
      <w:tr>
        <w:trPr>
          <w:cantSplit/>
          <w:tblHeader w:val="false"/>
        </w:trPr>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Cooling|Queen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$1,460 / 571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326 (57%)</w:t>
            </w:r>
          </w:p>
        </w:tc>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 / 2.2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14.4 / 12.3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8.4%</w:t>
            </w:r>
          </w:p>
        </w:tc>
        <w:tc>
          <w:tcPr>
            <w:tcW w:type="dxa" w:w="6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86 → 72 → 62 → 53 → 43</w:t>
            </w:r>
          </w:p>
        </w:tc>
        <w:tc>
          <w:tcPr>
            <w:tcW w:type="dxa" w:w="142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TRAFFIC GAP — converts when shown, not shown enough</w:t>
            </w:r>
          </w:p>
        </w:tc>
      </w:tr>
      <w:tr>
        <w:trPr>
          <w:cantSplit/>
          <w:tblHeader w:val="false"/>
        </w:trPr>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Cooling|Twin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 / 13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 (62%)</w:t>
            </w:r>
          </w:p>
        </w:tc>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 / 2.3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 13.8</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10.3%</w:t>
            </w:r>
          </w:p>
        </w:tc>
        <w:tc>
          <w:tcPr>
            <w:tcW w:type="dxa" w:w="6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 → 3 → 4 → 6 → 5</w:t>
            </w:r>
          </w:p>
        </w:tc>
        <w:tc>
          <w:tcPr>
            <w:tcW w:type="dxa" w:w="142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TRAFFIC GAP — 8 TOS clicks in 30 days; its head exact is paused</w:t>
            </w:r>
          </w:p>
        </w:tc>
      </w:tr>
      <w:tr>
        <w:trPr>
          <w:cantSplit/>
          <w:tblHeader w:val="false"/>
        </w:trPr>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of focus (Full, Cal King, unfiled)</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$707 / 280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177 (63%)</w:t>
            </w:r>
          </w:p>
        </w:tc>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 / —</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12.4 / —</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$3.14</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2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bl>
    <w:p>
      <w:pPr>
        <w:spacing w:after="80"/>
      </w:pPr>
    </w:p>
    <w:p>
      <w:pPr>
        <w:spacing w:after="100"/>
      </w:pPr>
      <w:r>
        <w:rPr>
          <w:rFonts w:ascii="Calibri" w:cs="Calibri" w:eastAsia="Calibri" w:hAnsi="Calibri"/>
        </w:rPr>
        <w:t xml:space="preserve">Reading it. King and Queen meet both bars at the top at 5.7% and 8.4% share: traffic gaps, and the push in Part A stands. The generic Cooling group clears CTR comfortably (4.8% against 2.1%) but converts 7.5% at the top against a 9.6% bar — a listing and offer finding on the generic terms (price, image, which child the shopper lands on) as much as a price one. Twin barely buys at the top because its head exact is paused (A.7).</w:t>
      </w:r>
    </w:p>
    <w:p>
      <w:pPr>
        <w:pStyle w:val="Heading1"/>
      </w:pPr>
      <w:r>
        <w:rPr>
          <w:rFonts w:ascii="Calibri" w:cs="Calibri" w:eastAsia="Calibri" w:hAnsi="Calibri"/>
        </w:rPr>
        <w:t xml:space="preserve">D.5 The main ranking keywords — one call each</w:t>
      </w:r>
    </w:p>
    <w:p>
      <w:pPr>
        <w:spacing w:after="100"/>
      </w:pPr>
      <w:r>
        <w:rPr>
          <w:rFonts w:ascii="Calibri" w:cs="Calibri" w:eastAsia="Calibri" w:hAnsi="Calibri"/>
        </w:rPr>
        <w:t xml:space="preserve">The in-focus terms with 20+ clicks in 30 days. Plan = the weekly paid-click requirement (the engine’s chain; the one-a-day floor removed where it binds). TOS/wk = top-of-search clicks a week over 30 days and over the last 8. IS = top-of-search impression share (engine). Rank = 7-day median 1 Jul → 24 Aug → 14 Sep → 23 Sep.</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63"/>
        <w:gridCol w:w="672"/>
        <w:gridCol w:w="878"/>
        <w:gridCol w:w="878"/>
        <w:gridCol w:w="930"/>
        <w:gridCol w:w="672"/>
        <w:gridCol w:w="723"/>
        <w:gridCol w:w="517"/>
        <w:gridCol w:w="1447"/>
        <w:gridCol w:w="1292"/>
      </w:tblGrid>
      <w:tr>
        <w:trPr>
          <w:cantSplit/>
          <w:tblHeader/>
        </w:trPr>
        <w:tc>
          <w:tcPr>
            <w:tcW w:type="dxa" w:w="1963"/>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Keyword</w:t>
            </w:r>
          </w:p>
        </w:tc>
        <w:tc>
          <w:tcPr>
            <w:tcW w:type="dxa" w:w="6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Plan clicks/wk</w:t>
            </w:r>
          </w:p>
        </w:tc>
        <w:tc>
          <w:tcPr>
            <w:tcW w:type="dxa" w:w="878"/>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TOS/wk 30d / last 8d</w:t>
            </w:r>
          </w:p>
        </w:tc>
        <w:tc>
          <w:tcPr>
            <w:tcW w:type="dxa" w:w="878"/>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CTR / bar</w:t>
            </w:r>
          </w:p>
        </w:tc>
        <w:tc>
          <w:tcPr>
            <w:tcW w:type="dxa" w:w="93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CVR / bar</w:t>
            </w:r>
          </w:p>
        </w:tc>
        <w:tc>
          <w:tcPr>
            <w:tcW w:type="dxa" w:w="6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IS</w:t>
            </w:r>
          </w:p>
        </w:tc>
        <w:tc>
          <w:tcPr>
            <w:tcW w:type="dxa" w:w="723"/>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price</w:t>
            </w:r>
          </w:p>
        </w:tc>
        <w:tc>
          <w:tcPr>
            <w:tcW w:type="dxa" w:w="517"/>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 rank</w:t>
            </w:r>
          </w:p>
        </w:tc>
        <w:tc>
          <w:tcPr>
            <w:tcW w:type="dxa" w:w="1447"/>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w:t>
            </w:r>
          </w:p>
        </w:tc>
        <w:tc>
          <w:tcPr>
            <w:tcW w:type="dxa" w:w="129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w:t>
            </w:r>
          </w:p>
        </w:tc>
      </w:tr>
      <w:tr>
        <w:trPr>
          <w:cantSplit/>
          <w:tblHeader w:val="false"/>
        </w:trPr>
        <w:tc>
          <w:tcPr>
            <w:tcW w:type="dxa" w:w="19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 size cooling sheets</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25.4 / 28.9</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4.0/2.2</w:t>
            </w:r>
          </w:p>
        </w:tc>
        <w:tc>
          <w:tcPr>
            <w:tcW w:type="dxa" w:w="93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11.9/10.6</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$4.50</w:t>
            </w:r>
          </w:p>
        </w:tc>
        <w:tc>
          <w:tcPr>
            <w:tcW w:type="dxa" w:w="51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 → 37 → 9 → 5</w:t>
            </w:r>
          </w:p>
        </w:tc>
        <w:tc>
          <w:tcPr>
            <w:tcW w:type="dxa" w:w="12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On track</w:t>
            </w:r>
          </w:p>
        </w:tc>
      </w:tr>
      <w:tr>
        <w:trPr>
          <w:cantSplit/>
          <w:tblHeader w:val="false"/>
        </w:trPr>
        <w:tc>
          <w:tcPr>
            <w:tcW w:type="dxa" w:w="19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sheets king</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44</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27.3 / 32.4</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4.7/2.1</w:t>
            </w:r>
          </w:p>
        </w:tc>
        <w:tc>
          <w:tcPr>
            <w:tcW w:type="dxa" w:w="93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12.8/9.0</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3.37%</w:t>
            </w:r>
          </w:p>
        </w:tc>
        <w:tc>
          <w:tcPr>
            <w:tcW w:type="dxa" w:w="72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$5.19</w:t>
            </w:r>
          </w:p>
        </w:tc>
        <w:tc>
          <w:tcPr>
            <w:tcW w:type="dxa" w:w="51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144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73 → 85 → 21 → 18</w:t>
            </w:r>
          </w:p>
        </w:tc>
        <w:tc>
          <w:tcPr>
            <w:tcW w:type="dxa" w:w="12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Traffic gap</w:t>
            </w:r>
          </w:p>
        </w:tc>
      </w:tr>
      <w:tr>
        <w:trPr>
          <w:cantSplit/>
          <w:tblHeader w:val="false"/>
        </w:trPr>
        <w:tc>
          <w:tcPr>
            <w:tcW w:type="dxa" w:w="19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sheets king size</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22.2 / 23.6</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4.7/2.3</w:t>
            </w:r>
          </w:p>
        </w:tc>
        <w:tc>
          <w:tcPr>
            <w:tcW w:type="dxa" w:w="93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16.8/9.8</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2.49%</w:t>
            </w:r>
          </w:p>
        </w:tc>
        <w:tc>
          <w:tcPr>
            <w:tcW w:type="dxa" w:w="72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$4.59</w:t>
            </w:r>
          </w:p>
        </w:tc>
        <w:tc>
          <w:tcPr>
            <w:tcW w:type="dxa" w:w="51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4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 → 49 → 8 → 6</w:t>
            </w:r>
          </w:p>
        </w:tc>
        <w:tc>
          <w:tcPr>
            <w:tcW w:type="dxa" w:w="12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Traffic gap</w:t>
            </w:r>
          </w:p>
        </w:tc>
      </w:tr>
      <w:tr>
        <w:trPr>
          <w:cantSplit/>
          <w:tblHeader w:val="false"/>
        </w:trPr>
        <w:tc>
          <w:tcPr>
            <w:tcW w:type="dxa" w:w="19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sheets</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1352</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39.2 / 24.5</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5.3/2.0</w:t>
            </w:r>
          </w:p>
        </w:tc>
        <w:tc>
          <w:tcPr>
            <w:tcW w:type="dxa" w:w="93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8.9/5.0</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1.52%</w:t>
            </w:r>
          </w:p>
        </w:tc>
        <w:tc>
          <w:tcPr>
            <w:tcW w:type="dxa" w:w="72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$2.60</w:t>
            </w:r>
          </w:p>
        </w:tc>
        <w:tc>
          <w:tcPr>
            <w:tcW w:type="dxa" w:w="51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144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53 → 8 → 13 → 17.5</w:t>
            </w:r>
          </w:p>
        </w:tc>
        <w:tc>
          <w:tcPr>
            <w:tcW w:type="dxa" w:w="12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Traffic gap</w:t>
            </w:r>
          </w:p>
        </w:tc>
      </w:tr>
      <w:tr>
        <w:trPr>
          <w:cantSplit/>
          <w:tblHeader w:val="false"/>
        </w:trPr>
        <w:tc>
          <w:tcPr>
            <w:tcW w:type="dxa" w:w="19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 (paused)</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307</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27.1 / 26.2</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4.6/2.1</w:t>
            </w:r>
          </w:p>
        </w:tc>
        <w:tc>
          <w:tcPr>
            <w:tcW w:type="dxa" w:w="93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6.0/9.6</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$3.30</w:t>
            </w:r>
          </w:p>
        </w:tc>
        <w:tc>
          <w:tcPr>
            <w:tcW w:type="dxa" w:w="51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 → 17 → 12 → 19</w:t>
            </w:r>
          </w:p>
        </w:tc>
        <w:tc>
          <w:tcPr>
            <w:tcW w:type="dxa" w:w="12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Both</w:t>
            </w:r>
          </w:p>
        </w:tc>
      </w:tr>
      <w:tr>
        <w:trPr>
          <w:cantSplit/>
          <w:tblHeader w:val="false"/>
        </w:trPr>
        <w:tc>
          <w:tcPr>
            <w:tcW w:type="dxa" w:w="19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queen sheets</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14.5 / 14.9</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4.7/2.2</w:t>
            </w:r>
          </w:p>
        </w:tc>
        <w:tc>
          <w:tcPr>
            <w:tcW w:type="dxa" w:w="93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11.3/11.6</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15.35%</w:t>
            </w:r>
          </w:p>
        </w:tc>
        <w:tc>
          <w:tcPr>
            <w:tcW w:type="dxa" w:w="72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$4.43</w:t>
            </w:r>
          </w:p>
        </w:tc>
        <w:tc>
          <w:tcPr>
            <w:tcW w:type="dxa" w:w="51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44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52 → 43 → 17 → 16.5</w:t>
            </w:r>
          </w:p>
        </w:tc>
        <w:tc>
          <w:tcPr>
            <w:tcW w:type="dxa" w:w="12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Both</w:t>
            </w:r>
          </w:p>
        </w:tc>
      </w:tr>
      <w:tr>
        <w:trPr>
          <w:cantSplit/>
          <w:tblHeader w:val="false"/>
        </w:trPr>
        <w:tc>
          <w:tcPr>
            <w:tcW w:type="dxa" w:w="19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 king</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8.6 / 7.9</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4.1/1.6</w:t>
            </w:r>
          </w:p>
        </w:tc>
        <w:tc>
          <w:tcPr>
            <w:tcW w:type="dxa" w:w="93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21.6/9.0</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3.83%</w:t>
            </w:r>
          </w:p>
        </w:tc>
        <w:tc>
          <w:tcPr>
            <w:tcW w:type="dxa" w:w="72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$3.84</w:t>
            </w:r>
          </w:p>
        </w:tc>
        <w:tc>
          <w:tcPr>
            <w:tcW w:type="dxa" w:w="51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4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 → 99 → 9 → 11.5</w:t>
            </w:r>
          </w:p>
        </w:tc>
        <w:tc>
          <w:tcPr>
            <w:tcW w:type="dxa" w:w="12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Traffic gap</w:t>
            </w:r>
          </w:p>
        </w:tc>
      </w:tr>
      <w:tr>
        <w:trPr>
          <w:cantSplit/>
          <w:tblHeader w:val="false"/>
        </w:trPr>
        <w:tc>
          <w:tcPr>
            <w:tcW w:type="dxa" w:w="19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 sheets queen</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16.6 / 9.6</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4.7/1.7</w:t>
            </w:r>
          </w:p>
        </w:tc>
        <w:tc>
          <w:tcPr>
            <w:tcW w:type="dxa" w:w="93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16.9/13.9</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1.63%</w:t>
            </w:r>
          </w:p>
        </w:tc>
        <w:tc>
          <w:tcPr>
            <w:tcW w:type="dxa" w:w="72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$2.94</w:t>
            </w:r>
          </w:p>
        </w:tc>
        <w:tc>
          <w:tcPr>
            <w:tcW w:type="dxa" w:w="51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44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 → 51 → 20 → 16.5</w:t>
            </w:r>
          </w:p>
        </w:tc>
        <w:tc>
          <w:tcPr>
            <w:tcW w:type="dxa" w:w="12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Traffic gap</w:t>
            </w:r>
          </w:p>
        </w:tc>
      </w:tr>
      <w:tr>
        <w:trPr>
          <w:cantSplit/>
          <w:tblHeader w:val="false"/>
        </w:trPr>
        <w:tc>
          <w:tcPr>
            <w:tcW w:type="dxa" w:w="19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sheets for hot sleepers</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13.3 / 9.6</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5.1/2.1</w:t>
            </w:r>
          </w:p>
        </w:tc>
        <w:tc>
          <w:tcPr>
            <w:tcW w:type="dxa" w:w="93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7.0/9.6</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$3.08</w:t>
            </w:r>
          </w:p>
        </w:tc>
        <w:tc>
          <w:tcPr>
            <w:tcW w:type="dxa" w:w="51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 → 95 → 19 → 25</w:t>
            </w:r>
          </w:p>
        </w:tc>
        <w:tc>
          <w:tcPr>
            <w:tcW w:type="dxa" w:w="12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Both</w:t>
            </w:r>
          </w:p>
        </w:tc>
      </w:tr>
      <w:tr>
        <w:trPr>
          <w:cantSplit/>
          <w:tblHeader w:val="false"/>
        </w:trPr>
        <w:tc>
          <w:tcPr>
            <w:tcW w:type="dxa" w:w="19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cooling sheets</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9.1 / 4.4</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4.0/2.2</w:t>
            </w:r>
          </w:p>
        </w:tc>
        <w:tc>
          <w:tcPr>
            <w:tcW w:type="dxa" w:w="93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20.5/12.3</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$3.50</w:t>
            </w:r>
          </w:p>
        </w:tc>
        <w:tc>
          <w:tcPr>
            <w:tcW w:type="dxa" w:w="51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 → 87 → 44 → 27.5</w:t>
            </w:r>
          </w:p>
        </w:tc>
        <w:tc>
          <w:tcPr>
            <w:tcW w:type="dxa" w:w="12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Traffic gap</w:t>
            </w:r>
          </w:p>
        </w:tc>
      </w:tr>
      <w:tr>
        <w:trPr>
          <w:cantSplit/>
          <w:tblHeader w:val="false"/>
        </w:trPr>
        <w:tc>
          <w:tcPr>
            <w:tcW w:type="dxa" w:w="19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cold sheets for hot sleepers</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11.4 / 8.8</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6.7/2.1</w:t>
            </w:r>
          </w:p>
        </w:tc>
        <w:tc>
          <w:tcPr>
            <w:tcW w:type="dxa" w:w="93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10.2/9.6</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$3.22</w:t>
            </w:r>
          </w:p>
        </w:tc>
        <w:tc>
          <w:tcPr>
            <w:tcW w:type="dxa" w:w="51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 → 29 → 2 → 3</w:t>
            </w:r>
          </w:p>
        </w:tc>
        <w:tc>
          <w:tcPr>
            <w:tcW w:type="dxa" w:w="12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Traffic gap</w:t>
            </w:r>
          </w:p>
        </w:tc>
      </w:tr>
      <w:tr>
        <w:trPr>
          <w:cantSplit/>
          <w:tblHeader w:val="false"/>
        </w:trPr>
        <w:tc>
          <w:tcPr>
            <w:tcW w:type="dxa" w:w="19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sheets set</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6.3 / 7.0</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5.1/2.1</w:t>
            </w:r>
          </w:p>
        </w:tc>
        <w:tc>
          <w:tcPr>
            <w:tcW w:type="dxa" w:w="93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7.4/9.6</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$3.32</w:t>
            </w:r>
          </w:p>
        </w:tc>
        <w:tc>
          <w:tcPr>
            <w:tcW w:type="dxa" w:w="51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 — → — → —</w:t>
            </w:r>
          </w:p>
        </w:tc>
        <w:tc>
          <w:tcPr>
            <w:tcW w:type="dxa" w:w="12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Performance gap</w:t>
            </w:r>
          </w:p>
        </w:tc>
      </w:tr>
      <w:tr>
        <w:trPr>
          <w:cantSplit/>
          <w:tblHeader w:val="false"/>
        </w:trPr>
        <w:tc>
          <w:tcPr>
            <w:tcW w:type="dxa" w:w="19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 sheets cooling (paused)</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 / 0.0</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2.1/2.2</w:t>
            </w:r>
          </w:p>
        </w:tc>
        <w:tc>
          <w:tcPr>
            <w:tcW w:type="dxa" w:w="93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9.1/10.6</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$5.09</w:t>
            </w:r>
          </w:p>
        </w:tc>
        <w:tc>
          <w:tcPr>
            <w:tcW w:type="dxa" w:w="51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 127.5 → — → 19</w:t>
            </w:r>
          </w:p>
        </w:tc>
        <w:tc>
          <w:tcPr>
            <w:tcW w:type="dxa" w:w="12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Both</w:t>
            </w:r>
          </w:p>
        </w:tc>
      </w:tr>
      <w:tr>
        <w:trPr>
          <w:cantSplit/>
          <w:tblHeader w:val="false"/>
        </w:trPr>
        <w:tc>
          <w:tcPr>
            <w:tcW w:type="dxa" w:w="19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black cooling sheets</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7.9 / 6.1</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10.5/2.1</w:t>
            </w:r>
          </w:p>
        </w:tc>
        <w:tc>
          <w:tcPr>
            <w:tcW w:type="dxa" w:w="93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8.8/9.6</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$3.21</w:t>
            </w:r>
          </w:p>
        </w:tc>
        <w:tc>
          <w:tcPr>
            <w:tcW w:type="dxa" w:w="51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 42 → 34 → 21</w:t>
            </w:r>
          </w:p>
        </w:tc>
        <w:tc>
          <w:tcPr>
            <w:tcW w:type="dxa" w:w="12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Both</w:t>
            </w:r>
          </w:p>
        </w:tc>
      </w:tr>
      <w:tr>
        <w:trPr>
          <w:cantSplit/>
          <w:tblHeader w:val="false"/>
        </w:trPr>
        <w:tc>
          <w:tcPr>
            <w:tcW w:type="dxa" w:w="19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 queen</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 / 1.8</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4.0/2.2</w:t>
            </w:r>
          </w:p>
        </w:tc>
        <w:tc>
          <w:tcPr>
            <w:tcW w:type="dxa" w:w="93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0.0/12.3</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$3.30</w:t>
            </w:r>
          </w:p>
        </w:tc>
        <w:tc>
          <w:tcPr>
            <w:tcW w:type="dxa" w:w="51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 → 46 → 14 → 10</w:t>
            </w:r>
          </w:p>
        </w:tc>
        <w:tc>
          <w:tcPr>
            <w:tcW w:type="dxa" w:w="12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Performance gap</w:t>
            </w:r>
          </w:p>
        </w:tc>
      </w:tr>
      <w:tr>
        <w:trPr>
          <w:cantSplit/>
          <w:tblHeader w:val="false"/>
        </w:trPr>
        <w:tc>
          <w:tcPr>
            <w:tcW w:type="dxa" w:w="19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bed sheets cooling</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 / 4.4</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2.4/2.2</w:t>
            </w:r>
          </w:p>
        </w:tc>
        <w:tc>
          <w:tcPr>
            <w:tcW w:type="dxa" w:w="93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14.3/12.3</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$4.32</w:t>
            </w:r>
          </w:p>
        </w:tc>
        <w:tc>
          <w:tcPr>
            <w:tcW w:type="dxa" w:w="51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 → 70 → 43 → 29.5</w:t>
            </w:r>
          </w:p>
        </w:tc>
        <w:tc>
          <w:tcPr>
            <w:tcW w:type="dxa" w:w="12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Traffic gap</w:t>
            </w:r>
          </w:p>
        </w:tc>
      </w:tr>
      <w:tr>
        <w:trPr>
          <w:cantSplit/>
          <w:tblHeader w:val="false"/>
        </w:trPr>
        <w:tc>
          <w:tcPr>
            <w:tcW w:type="dxa" w:w="196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 queen size</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 / 4.4</w:t>
            </w:r>
          </w:p>
        </w:tc>
        <w:tc>
          <w:tcPr>
            <w:tcW w:type="dxa" w:w="87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4.8/2.2</w:t>
            </w:r>
          </w:p>
        </w:tc>
        <w:tc>
          <w:tcPr>
            <w:tcW w:type="dxa" w:w="93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13.6/12.3</w:t>
            </w:r>
          </w:p>
        </w:tc>
        <w:tc>
          <w:tcPr>
            <w:tcW w:type="dxa" w:w="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$3.18</w:t>
            </w:r>
          </w:p>
        </w:tc>
        <w:tc>
          <w:tcPr>
            <w:tcW w:type="dxa" w:w="51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 — → — → —</w:t>
            </w:r>
          </w:p>
        </w:tc>
        <w:tc>
          <w:tcPr>
            <w:tcW w:type="dxa" w:w="12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On track</w:t>
            </w:r>
          </w:p>
        </w:tc>
      </w:tr>
      <w:tr>
        <w:trPr>
          <w:cantSplit/>
          <w:tblHeader w:val="false"/>
        </w:trPr>
        <w:tc>
          <w:tcPr>
            <w:tcW w:type="dxa" w:w="196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cali king cooling sheets</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 / 1.8</w:t>
            </w:r>
          </w:p>
        </w:tc>
        <w:tc>
          <w:tcPr>
            <w:tcW w:type="dxa" w:w="87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4.9/2.2</w:t>
            </w:r>
          </w:p>
        </w:tc>
        <w:tc>
          <w:tcPr>
            <w:tcW w:type="dxa" w:w="93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21.4/10.6</w:t>
            </w:r>
          </w:p>
        </w:tc>
        <w:tc>
          <w:tcPr>
            <w:tcW w:type="dxa" w:w="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2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$2.66</w:t>
            </w:r>
          </w:p>
        </w:tc>
        <w:tc>
          <w:tcPr>
            <w:tcW w:type="dxa" w:w="51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47"/>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 — → — → —</w:t>
            </w:r>
          </w:p>
        </w:tc>
        <w:tc>
          <w:tcPr>
            <w:tcW w:type="dxa" w:w="12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Traffic gap</w:t>
            </w:r>
          </w:p>
        </w:tc>
      </w:tr>
    </w:tbl>
    <w:p>
      <w:pPr>
        <w:spacing w:after="80"/>
      </w:pPr>
    </w:p>
    <w:p>
      <w:pPr>
        <w:spacing w:after="100"/>
      </w:pPr>
      <w:r>
        <w:rPr>
          <w:rFonts w:ascii="Calibri" w:cs="Calibri" w:eastAsia="Calibri" w:hAnsi="Calibri"/>
        </w:rPr>
        <w:t xml:space="preserve">What to do, by keyword.</w:t>
      </w:r>
    </w:p>
    <w:p>
      <w:pPr>
        <w:pStyle w:val="ListParagraph"/>
        <w:numPr>
          <w:ilvl w:val="0"/>
          <w:numId w:val="2"/>
        </w:numPr>
        <w:spacing w:after="60"/>
      </w:pPr>
      <w:r>
        <w:rPr>
          <w:rFonts w:ascii="Calibri" w:cs="Calibri" w:eastAsia="Calibri" w:hAnsi="Calibri"/>
        </w:rPr>
        <w:t xml:space="preserve">“cooling sheets” — Traffic gap on the term (CVR 8.9% at the top against a 5.0% term bar; CTR 5.3% against 2.0%) inside a group that under-converts. 1.52% share at a $2.60 price; sponsored rank 35. +30% to $3.38 with the base down 20% for its 32% product-page leak; graded on share. Decide what the term is worth before funding its plan (A.2).</w:t>
      </w:r>
    </w:p>
    <w:p>
      <w:pPr>
        <w:pStyle w:val="ListParagraph"/>
        <w:numPr>
          <w:ilvl w:val="0"/>
          <w:numId w:val="2"/>
        </w:numPr>
        <w:spacing w:after="60"/>
      </w:pPr>
      <w:r>
        <w:rPr>
          <w:rFonts w:ascii="Calibri" w:cs="Calibri" w:eastAsia="Calibri" w:hAnsi="Calibri"/>
        </w:rPr>
        <w:t xml:space="preserve">“king size cooling sheets” / “cooling sheets king size” / “cooling sheets king” — the build-out’s wins (37 → 5, 49 → 6, 85 → 18). The first is at its requirement: probe 5% and fix its 37% product-page leak. The other two are running out of budget: budget +30%, price holds. All three must move to KING-WHITE by hand today (A.9).</w:t>
      </w:r>
    </w:p>
    <w:p>
      <w:pPr>
        <w:pStyle w:val="ListParagraph"/>
        <w:numPr>
          <w:ilvl w:val="0"/>
          <w:numId w:val="2"/>
        </w:numPr>
        <w:spacing w:after="60"/>
      </w:pPr>
      <w:r>
        <w:rPr>
          <w:rFonts w:ascii="Calibri" w:cs="Calibri" w:eastAsia="Calibri" w:hAnsi="Calibri"/>
        </w:rPr>
        <w:t xml:space="preserve">“cooling bed sheets” — plan’s second term (307 a week); its only exact was paused after 09-23: re-enable (A.7). Converts 6.0% at the top — above market, under the bar: read conversion before stepping.</w:t>
      </w:r>
    </w:p>
    <w:p>
      <w:pPr>
        <w:pStyle w:val="ListParagraph"/>
        <w:numPr>
          <w:ilvl w:val="0"/>
          <w:numId w:val="2"/>
        </w:numPr>
        <w:spacing w:after="60"/>
      </w:pPr>
      <w:r>
        <w:rPr>
          <w:rFonts w:ascii="Calibri" w:cs="Calibri" w:eastAsia="Calibri" w:hAnsi="Calibri"/>
        </w:rPr>
        <w:t xml:space="preserve">“cooling queen sheets” / “cool sheets queen” — Queen’s best (rank 16.5 each, sponsored 7 and 4): +20% and +30% with the base down for 24% and 26% product pages.</w:t>
      </w:r>
    </w:p>
    <w:p>
      <w:pPr>
        <w:pStyle w:val="ListParagraph"/>
        <w:numPr>
          <w:ilvl w:val="0"/>
          <w:numId w:val="2"/>
        </w:numPr>
        <w:spacing w:after="60"/>
      </w:pPr>
      <w:r>
        <w:rPr>
          <w:rFonts w:ascii="Calibri" w:cs="Calibri" w:eastAsia="Calibri" w:hAnsi="Calibri"/>
        </w:rPr>
        <w:t xml:space="preserve">“cold sheets for hot sleepers” — rank 3 against a target of 1: +30% (15% of its requirement arrives) with the base down 20% for its 36% leak; the loss per order is written on the row.</w:t>
      </w:r>
    </w:p>
    <w:p>
      <w:pPr>
        <w:pStyle w:val="ListParagraph"/>
        <w:numPr>
          <w:ilvl w:val="0"/>
          <w:numId w:val="2"/>
        </w:numPr>
        <w:spacing w:after="60"/>
      </w:pPr>
      <w:r>
        <w:rPr>
          <w:rFonts w:ascii="Calibri" w:cs="Calibri" w:eastAsia="Calibri" w:hAnsi="Calibri"/>
        </w:rPr>
        <w:t xml:space="preserve">“cooling sheets for hot sleepers” — the run held it because “winning all would be 42 clicks a week against 69”: that is ten times today’s 4, so the inventory is there. Step it (+30%).</w:t>
      </w:r>
    </w:p>
    <w:p>
      <w:pPr>
        <w:pStyle w:val="ListParagraph"/>
        <w:numPr>
          <w:ilvl w:val="0"/>
          <w:numId w:val="2"/>
        </w:numPr>
        <w:spacing w:after="60"/>
      </w:pPr>
      <w:r>
        <w:rPr>
          <w:rFonts w:ascii="Calibri" w:cs="Calibri" w:eastAsia="Calibri" w:hAnsi="Calibri"/>
        </w:rPr>
        <w:t xml:space="preserve">“twin cooling sheets” — rank 5, target 3, its head campaign paused: re-enable on TWIN-GRAPHITE at the ceiling.</w:t>
      </w:r>
    </w:p>
    <w:p>
      <w:pPr>
        <w:pStyle w:val="Heading1"/>
      </w:pPr>
      <w:r>
        <w:rPr>
          <w:rFonts w:ascii="Calibri" w:cs="Calibri" w:eastAsia="Calibri" w:hAnsi="Calibri"/>
        </w:rPr>
        <w:t xml:space="preserve">D.6 Competitors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000"/>
        <w:gridCol w:w="800"/>
        <w:gridCol w:w="1200"/>
        <w:gridCol w:w="1300"/>
        <w:gridCol w:w="1572"/>
      </w:tblGrid>
      <w:tr>
        <w:trPr>
          <w:cantSplit/>
          <w:tblHeader/>
        </w:trPr>
        <w:tc>
          <w:tcPr>
            <w:tcW w:type="dxa" w:w="1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Brand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Tier</w:t>
            </w:r>
          </w:p>
        </w:tc>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Price</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Rating</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Reviews</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Est. units/wk</w:t>
            </w:r>
          </w:p>
        </w:tc>
        <w:tc>
          <w:tcPr>
            <w:tcW w:type="dxa" w:w="15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BSR</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Bedsure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Aspirational</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$59.99 (list $69.99)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64,900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809</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368</w:t>
            </w:r>
          </w:p>
        </w:tc>
      </w:tr>
      <w:tr>
        <w:trPr>
          <w:cantSplit/>
          <w:tblHeader w:val="false"/>
        </w:trPr>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REST</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Beatable</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$244.28 (list $349.00)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1,097</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81</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9,717</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Breescape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Beatable</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$149.99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48,109</w:t>
            </w:r>
          </w:p>
        </w:tc>
      </w:tr>
      <w:tr>
        <w:trPr>
          <w:cantSplit/>
          <w:tblHeader w:val="false"/>
        </w:trPr>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Bedsure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Beatable</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$24.99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504</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262,421</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Cozy Bliss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Beatable</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$79.99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453</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131,535</w:t>
            </w:r>
          </w:p>
        </w:tc>
      </w:tr>
      <w:tr>
        <w:trPr>
          <w:cantSplit/>
          <w:tblHeader w:val="false"/>
        </w:trPr>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DOWNCOOL</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Beatable</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$139.99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2,798,999</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Elegear</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Beatable</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$67.19 (list $91.19)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133</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210,222</w:t>
            </w:r>
          </w:p>
        </w:tc>
      </w:tr>
      <w:tr>
        <w:trPr>
          <w:cantSplit/>
          <w:tblHeader w:val="false"/>
        </w:trPr>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OMERAI</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Beatable</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$35.99 (list $59.99)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150,804</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REST</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Beatable</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$153.29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1,097</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9,732</w:t>
            </w:r>
          </w:p>
        </w:tc>
      </w:tr>
      <w:tr>
        <w:trPr>
          <w:cantSplit/>
          <w:tblHeader w:val="false"/>
        </w:trPr>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David's Home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Beatable</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$24.99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169</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1,137,111</w:t>
            </w:r>
          </w:p>
        </w:tc>
      </w:tr>
    </w:tbl>
    <w:p>
      <w:pPr>
        <w:spacing w:after="80"/>
      </w:pPr>
    </w:p>
    <w:p>
      <w:pPr>
        <w:pStyle w:val="ListParagraph"/>
        <w:numPr>
          <w:ilvl w:val="0"/>
          <w:numId w:val="2"/>
        </w:numPr>
        <w:spacing w:after="60"/>
      </w:pPr>
      <w:r>
        <w:rPr>
          <w:rFonts w:ascii="Calibri" w:cs="Calibri" w:eastAsia="Calibri" w:hAnsi="Calibri"/>
        </w:rPr>
        <w:t xml:space="preserve">Our position. SCS4 sells at $64.99 (Queen) to $76.99 (King) — above Bedsure’s aspirational cooling set ($59.99, 64,900 reviews, 809 units a week) and the budget rivals (David’s Home, OMERAI, Bedsure’s $24.99 line), below Breescape ($149.99) and REST ($153–$244). Two price rises in August moved SCS4 further above Bedsure, the plan’s reference rival on 12 of the 40 target terms.</w:t>
      </w:r>
    </w:p>
    <w:p>
      <w:pPr>
        <w:pStyle w:val="ListParagraph"/>
        <w:numPr>
          <w:ilvl w:val="0"/>
          <w:numId w:val="2"/>
        </w:numPr>
        <w:spacing w:after="60"/>
      </w:pPr>
      <w:r>
        <w:rPr>
          <w:rFonts w:ascii="Calibri" w:cs="Calibri" w:eastAsia="Calibri" w:hAnsi="Calibri"/>
        </w:rPr>
        <w:t xml:space="preserve">Prices around us are split. Over the last six weeks 5 rivals cut price and 5 raised; 6 are on a strike-through discount now (Breescape, OMERAI, Elegear, Cozy Bliss at 20–24% off).</w:t>
      </w:r>
    </w:p>
    <w:p>
      <w:pPr>
        <w:pStyle w:val="ListParagraph"/>
        <w:numPr>
          <w:ilvl w:val="0"/>
          <w:numId w:val="2"/>
        </w:numPr>
        <w:spacing w:after="60"/>
      </w:pPr>
      <w:r>
        <w:rPr>
          <w:rFonts w:ascii="Calibri" w:cs="Calibri" w:eastAsia="Calibri" w:hAnsi="Calibri"/>
        </w:rPr>
        <w:t xml:space="preserve">Coupon and lightning-deal frequency is not scraped, and 7 of the 40 target terms carry no reference rival at all.</w:t>
      </w:r>
    </w:p>
    <w:p>
      <w:pPr>
        <w:spacing w:after="100"/>
      </w:pPr>
      <w:r>
        <w:rPr>
          <w:rFonts w:ascii="Calibri" w:cs="Calibri" w:eastAsia="Calibri" w:hAnsi="Calibri"/>
        </w:rPr>
        <w:t xml:space="preserve">Correction for the app. Carry each rival’s current price, discount and review count beside the keyword it is the reference for; flag unmeasured references as unmeasured, not zero; read SCS4’s own price changes as listing events against rank (the August rises coincide with the head term’s slide).</w:t>
      </w:r>
    </w:p>
    <w:p>
      <w:pPr>
        <w:pStyle w:val="Heading1"/>
      </w:pPr>
      <w:r>
        <w:rPr>
          <w:rFonts w:ascii="Calibri" w:cs="Calibri" w:eastAsia="Calibri" w:hAnsi="Calibri"/>
        </w:rPr>
        <w:t xml:space="preserve">D.7 Campaign types that should also be running</w:t>
      </w:r>
    </w:p>
    <w:p>
      <w:pPr>
        <w:spacing w:after="100"/>
      </w:pPr>
      <w:r>
        <w:rPr>
          <w:rFonts w:ascii="Calibri" w:cs="Calibri" w:eastAsia="Calibri" w:hAnsi="Calibri"/>
        </w:rPr>
        <w:t xml:space="preserve">What is already running. No SCS4-owned Sponsored Brands headline is live on the cooling head terms: the four SB campaigns that served SCS4 in the last 14 days ($43.48) are three Decolure / bamboo campaigns (“D-C4-SB-PC-(Cooling)…”, “DBS6-SB-PC-Cooling…”, a bamboo SBV on “cooling sheets for hot sleepers”) and a paused Sleephoria queen-sheets phrase campaign. The family also bids SCS4’s cooling terms in SP: the run declines 6 terms for “ownership” — 5 owned by sibling products (Decolure bamboo 4- and 6-piece, a Decolure cooling set, the Sleephoria fitted sheet) and 1 by SCS4’s own King campaign, which the engine misreads as a sibling.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772"/>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Type</w:t>
            </w:r>
          </w:p>
        </w:tc>
        <w:tc>
          <w:tcPr>
            <w:tcW w:type="dxa" w:w="2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 the run</w:t>
            </w:r>
          </w:p>
        </w:tc>
        <w:tc>
          <w:tcPr>
            <w:tcW w:type="dxa" w:w="2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Why, from the data</w:t>
            </w:r>
          </w:p>
        </w:tc>
        <w:tc>
          <w:tcPr>
            <w:tcW w:type="dxa" w:w="2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to do</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Sponsored Brands headline — exact on the head terms</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Builds 1386 (“cooling sheets, cooling bed sheets”, $4.83/day), 1394 (King terms, $11.80), 1410 (Twin)</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separate top-of-page auction where SCS4 wins 2–8% of the SP slot; rivals hold headline on the Twin and King terms.</w:t>
            </w:r>
          </w:p>
        </w:tc>
        <w:tc>
          <w:tcPr>
            <w:tcW w:type="dxa" w:w="2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 1386 and 1394 this week on QUEEN-GRAPHITE and KING-WHITE, sized to ~100 clicks a week; creative owner and date first. Twin after stock.</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Sponsored Brands Video — exact</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Probes 1378 (“cooling bed sheets”), 1402 (“cooling sheets king size”), 1418 (Twin)</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Rivals run video on 99% of their traffic on “cooling bed sheets”; SP exact CPC there is 1.5× its ceiling.</w:t>
            </w:r>
          </w:p>
        </w:tc>
        <w:tc>
          <w:tcPr>
            <w:tcW w:type="dxa" w:w="2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Build 1378 and 1402 as 100-click probes; drop 1418 until Twin stock allows.</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Sponsored Display — own-page defence</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 1426 on QUEEN-WHITE</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Product pages take 27% of in-focus ranking clicks; rival ads sit on our pages.</w:t>
            </w:r>
          </w:p>
        </w:tc>
        <w:tc>
          <w:tcPr>
            <w:tcW w:type="dxa" w:w="2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 on QUEEN-GRAPHITE.</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Sibling ownership</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Declined as “ownership” on 6 terms</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Decolure bamboo campaigns own some cooling exacts; neither run knows about the other.</w:t>
            </w:r>
          </w:p>
        </w:tc>
        <w:tc>
          <w:tcPr>
            <w:tcW w:type="dxa" w:w="2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Give each shared cooling term one owner in the plan (SOP-33).</w:t>
            </w:r>
          </w:p>
        </w:tc>
      </w:tr>
    </w:tbl>
    <w:p>
      <w:pPr>
        <w:spacing w:after="80"/>
      </w:pPr>
    </w:p>
    <w:p>
      <w:pPr>
        <w:pStyle w:val="Heading1"/>
      </w:pPr>
      <w:r>
        <w:rPr>
          <w:rFonts w:ascii="Calibri" w:cs="Calibri" w:eastAsia="Calibri" w:hAnsi="Calibri"/>
        </w:rPr>
        <w:t xml:space="preserve">D.8 Metrics the app should be reading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600"/>
        <w:gridCol w:w="27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Metric</w:t>
            </w:r>
          </w:p>
        </w:tc>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Today</w:t>
            </w:r>
          </w:p>
        </w:tc>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Value now</w:t>
            </w:r>
          </w:p>
        </w:tc>
        <w:tc>
          <w:tcPr>
            <w:tcW w:type="dxa" w:w="2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Why it matters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Contribution per serving child</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One product figure ($30.37)</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$26.53 King White · $20.55 Queen Graphite</w:t>
            </w:r>
          </w:p>
        </w:tc>
        <w:tc>
          <w:tcPr>
            <w:tcW w:type="dxa" w:w="2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Every ceiling and loss-per-order line is built on it.</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Top-of-search impression share, per target</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the engine’s READ line; not used to grade</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1.5–3.8% on four of the five head campaigns</w:t>
            </w:r>
          </w:p>
        </w:tc>
        <w:tc>
          <w:tcPr>
            <w:tcW w:type="dxa" w:w="2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direct measure of “are we at the top”; grade every push on it.</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Required vs delivered top-of-search clicks</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Per plan row; not summed</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195 of 3,935 a week (5%)</w:t>
            </w:r>
          </w:p>
        </w:tc>
        <w:tc>
          <w:tcPr>
            <w:tcW w:type="dxa" w:w="2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traffic-gap test; sizes the push and the envelope.</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 7-day median</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Single-day reads</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“cal king cooling sheets” 5.5, read as 129</w:t>
            </w:r>
          </w:p>
        </w:tc>
        <w:tc>
          <w:tcPr>
            <w:tcW w:type="dxa" w:w="2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Stops false collapses and false freezes.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Budget use over 7 days</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One day of the pack</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 of 9 raises are real</w:t>
            </w:r>
          </w:p>
        </w:tc>
        <w:tc>
          <w:tcPr>
            <w:tcW w:type="dxa" w:w="2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budget raise on a campaign using half its budget buys nothing.</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Advertised child vs serving child</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Swaps staged, skipped at apply</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 King campaigns on a child with 14 days</w:t>
            </w:r>
          </w:p>
        </w:tc>
        <w:tc>
          <w:tcPr>
            <w:tcW w:type="dxa" w:w="2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 push on a child that runs out rents the position.</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Listing events against rank</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Logged, not read</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Price +$5 on 24 Aug; main image 2 Sep</w:t>
            </w:r>
          </w:p>
        </w:tc>
        <w:tc>
          <w:tcPr>
            <w:tcW w:type="dxa" w:w="2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head term’s slide starts there.</w:t>
            </w:r>
          </w:p>
        </w:tc>
      </w:tr>
    </w:tbl>
    <w:p>
      <w:pPr>
        <w:spacing w:after="80"/>
      </w:pPr>
    </w:p>
    <w:p>
      <w:pPr>
        <w:pStyle w:val="Heading1"/>
      </w:pPr>
      <w:r>
        <w:rPr>
          <w:rFonts w:ascii="Calibri" w:cs="Calibri" w:eastAsia="Calibri" w:hAnsi="Calibri"/>
        </w:rPr>
        <w:t xml:space="preserve">D.9 What to do</w:t>
      </w:r>
    </w:p>
    <w:p>
      <w:pPr>
        <w:pStyle w:val="ListParagraph"/>
        <w:numPr>
          <w:ilvl w:val="0"/>
          <w:numId w:val="2"/>
        </w:numPr>
        <w:spacing w:after="60"/>
      </w:pPr>
      <w:r>
        <w:rPr>
          <w:rFonts w:ascii="Calibri" w:cs="Calibri" w:eastAsia="Calibri" w:hAnsi="Calibri"/>
        </w:rPr>
        <w:t xml:space="preserve">Today: re-point every King campaign to KING-WHITE by hand, Twin to TWIN-GRAPHITE, Cal King to CAL-KING-GRAPHITE, the generic “best cooling sheets” and “Sleepers | Bedding” to QUEEN-GRAPHITE (A.9).</w:t>
      </w:r>
    </w:p>
    <w:p>
      <w:pPr>
        <w:pStyle w:val="ListParagraph"/>
        <w:numPr>
          <w:ilvl w:val="0"/>
          <w:numId w:val="2"/>
        </w:numPr>
        <w:spacing w:after="60"/>
      </w:pPr>
      <w:r>
        <w:rPr>
          <w:rFonts w:ascii="Calibri" w:cs="Calibri" w:eastAsia="Calibri" w:hAnsi="Calibri"/>
        </w:rPr>
        <w:t xml:space="preserve">From 09-25: write the re-solve in Table 3 — funding steps on the rows that earn a premium, the base cut in the same write where product pages are over 20%, ceilings on the rest; budget +30% on the two campaigns running out.</w:t>
      </w:r>
    </w:p>
    <w:p>
      <w:pPr>
        <w:pStyle w:val="ListParagraph"/>
        <w:numPr>
          <w:ilvl w:val="0"/>
          <w:numId w:val="2"/>
        </w:numPr>
        <w:spacing w:after="60"/>
      </w:pPr>
      <w:r>
        <w:rPr>
          <w:rFonts w:ascii="Calibri" w:cs="Calibri" w:eastAsia="Calibri" w:hAnsi="Calibri"/>
        </w:rPr>
        <w:t xml:space="preserve">Restore “cooling bed sheets” and “twin cooling sheets”; re-enable the four paused King exacts at their ceilings and drop their duplicate builds.</w:t>
      </w:r>
    </w:p>
    <w:p>
      <w:pPr>
        <w:pStyle w:val="ListParagraph"/>
        <w:numPr>
          <w:ilvl w:val="0"/>
          <w:numId w:val="2"/>
        </w:numPr>
        <w:spacing w:after="60"/>
      </w:pPr>
      <w:r>
        <w:rPr>
          <w:rFonts w:ascii="Calibri" w:cs="Calibri" w:eastAsia="Calibri" w:hAnsi="Calibri"/>
        </w:rPr>
        <w:t xml:space="preserve">Add the untracked in-focus terms to the rank tracker; unfreeze the four single-day “collapses”.</w:t>
      </w:r>
    </w:p>
    <w:p>
      <w:pPr>
        <w:pStyle w:val="ListParagraph"/>
        <w:numPr>
          <w:ilvl w:val="0"/>
          <w:numId w:val="2"/>
        </w:numPr>
        <w:spacing w:after="60"/>
      </w:pPr>
      <w:r>
        <w:rPr>
          <w:rFonts w:ascii="Calibri" w:cs="Calibri" w:eastAsia="Calibri" w:hAnsi="Calibri"/>
        </w:rPr>
        <w:t xml:space="preserve">Decide the head term: fund “cooling sheets” toward its plan ($653 a day at this write’s price), or re-base its requirement to what share can buy and grade it on share.</w:t>
      </w:r>
    </w:p>
    <w:p>
      <w:pPr>
        <w:pStyle w:val="ListParagraph"/>
        <w:numPr>
          <w:ilvl w:val="0"/>
          <w:numId w:val="2"/>
        </w:numPr>
        <w:spacing w:after="60"/>
      </w:pPr>
      <w:r>
        <w:rPr>
          <w:rFonts w:ascii="Calibri" w:cs="Calibri" w:eastAsia="Calibri" w:hAnsi="Calibri"/>
        </w:rPr>
        <w:t xml:space="preserve">Reconcile the contribution figure (C.1) before the next run.</w:t>
      </w:r>
    </w:p>
    <w:p>
      <w:pPr>
        <w:pStyle w:val="Heading1"/>
      </w:pPr>
      <w:r>
        <w:rPr>
          <w:rFonts w:ascii="Calibri" w:cs="Calibri" w:eastAsia="Calibri" w:hAnsi="Calibri"/>
        </w:rPr>
        <w:t xml:space="preserve">In order, starting 09-25</w:t>
      </w:r>
    </w:p>
    <w:p>
      <w:pPr>
        <w:spacing w:after="100"/>
      </w:pPr>
      <w:r>
        <w:rPr>
          <w:rFonts w:ascii="Calibri" w:cs="Calibri" w:eastAsia="Calibri" w:hAnsi="Calibri"/>
        </w:rPr>
        <w:t xml:space="preserve">1. Pull the rows in C.3 (withheld, paused, frozen, the rest-of-search cut) and drop the 7 budget raises that are not running out of money.</w:t>
      </w:r>
    </w:p>
    <w:p>
      <w:pPr>
        <w:spacing w:after="100"/>
      </w:pPr>
      <w:r>
        <w:rPr>
          <w:rFonts w:ascii="Calibri" w:cs="Calibri" w:eastAsia="Calibri" w:hAnsi="Calibri"/>
        </w:rPr>
        <w:t xml:space="preserve">2. Same day, by hand: the child swaps in A.9, King first. Load the renames only after.</w:t>
      </w:r>
    </w:p>
    <w:p>
      <w:pPr>
        <w:spacing w:after="100"/>
      </w:pPr>
      <w:r>
        <w:rPr>
          <w:rFonts w:ascii="Calibri" w:cs="Calibri" w:eastAsia="Calibri" w:hAnsi="Calibri"/>
        </w:rPr>
        <w:t xml:space="preserve">3. Same day: re-enable “cooling bed sheets” (last serving values), “twin cooling sheets” (TWIN-GRAPHITE, at its ceiling) and the four paused King exacts (at their ceilings); drop builds 1517, 1529, 1601, 1613 and the Twin builds except one on TWIN-GRAPHITE.</w:t>
      </w:r>
    </w:p>
    <w:p>
      <w:pPr>
        <w:spacing w:after="100"/>
      </w:pPr>
      <w:r>
        <w:rPr>
          <w:rFonts w:ascii="Calibri" w:cs="Calibri" w:eastAsia="Calibri" w:hAnsi="Calibri"/>
        </w:rPr>
        <w:t xml:space="preserve">4. Write the re-solve: 45 funding steps, 9 base cuts where product pages are over 20%, 22 descents and 16 climbs to the ceiling, 1 probe, 2 budget raises — inside the $221-a-day envelope ($1,547 for 09-25 → 10-01).</w:t>
      </w:r>
    </w:p>
    <w:p>
      <w:pPr>
        <w:spacing w:after="100"/>
      </w:pPr>
      <w:r>
        <w:rPr>
          <w:rFonts w:ascii="Calibri" w:cs="Calibri" w:eastAsia="Calibri" w:hAnsi="Calibri"/>
        </w:rPr>
        <w:t xml:space="preserve">5. Every morning to 10-01, per in-focus campaign: top-of-search clicks yesterday, impression share, where the clicks landed, budget use. Share rising after a step → step again; flat → halve the next step; clicks on product pages → cut the base; at the requirement → stop and probe down 3–5%.</w:t>
      </w:r>
    </w:p>
    <w:p>
      <w:pPr>
        <w:spacing w:after="100"/>
      </w:pPr>
      <w:r>
        <w:rPr>
          <w:rFonts w:ascii="Calibri" w:cs="Calibri" w:eastAsia="Calibri" w:hAnsi="Calibri"/>
        </w:rPr>
        <w:t xml:space="preserve">6. Out of focus: descend the 6 above their ceiling, hold the rest flat; reverse the taper on “cool sheets king” and fix the library so “cool” terms and Cal King synonyms file into their groups.</w:t>
      </w:r>
    </w:p>
    <w:p>
      <w:pPr>
        <w:spacing w:after="100"/>
      </w:pPr>
      <w:r>
        <w:rPr>
          <w:rFonts w:ascii="Calibri" w:cs="Calibri" w:eastAsia="Calibri" w:hAnsi="Calibri"/>
        </w:rPr>
        <w:t xml:space="preserve">7. Other campaign types: leave the defensive and discovery campaigns inside their ceiling alone; reverse the Conversions cut on “cool sheets twin”; hold the retag price moves until the lane reads them.</w:t>
      </w:r>
    </w:p>
    <w:p>
      <w:pPr>
        <w:spacing w:after="100"/>
      </w:pPr>
      <w:r>
        <w:rPr>
          <w:rFonts w:ascii="Calibri" w:cs="Calibri" w:eastAsia="Calibri" w:hAnsi="Calibri"/>
        </w:rPr>
        <w:t xml:space="preserve">8. This week: build the SB headlines and SBV probes on the stocked children with a creative owner and a date; SD defence on QUEEN-GRAPHITE.</w:t>
      </w:r>
    </w:p>
    <w:p>
      <w:pPr>
        <w:spacing w:after="100"/>
      </w:pPr>
      <w:r>
        <w:rPr>
          <w:rFonts w:ascii="Calibri" w:cs="Calibri" w:eastAsia="Calibri" w:hAnsi="Calibri"/>
        </w:rPr>
        <w:t xml:space="preserve">9. Decide “cooling sheets”: fund toward the plan, or re-base to share. Reconcile the contribution figure.</w:t>
      </w:r>
    </w:p>
    <w:p>
      <w:pPr>
        <w:spacing w:after="100"/>
      </w:pPr>
      <w:r>
        <w:rPr>
          <w:rFonts w:ascii="Calibri" w:cs="Calibri" w:eastAsia="Calibri" w:hAnsi="Calibri"/>
        </w:rPr>
        <w:t xml:space="preserve">10. From 10-01: read every step against its prediction; rows at their requirement probe down 3–5%; rows short of 70% of their requirement keep their push (the cut-back gate) unless the dated loss ceiling is reached; grade every write.</w:t>
      </w:r>
    </w:p>
    <w:p>
      <w:pPr>
        <w:sectPr>
          <w:footerReference w:type="default" r:id="rId7"/>
          <w:pgSz w:w="12240" w:h="15840" w:orient="portrait"/>
          <w:pgMar w:top="1020" w:right="1134" w:bottom="1020" w:left="1134" w:header="708" w:footer="708" w:gutter="0"/>
          <w:pgNumType/>
          <w:docGrid w:linePitch="360"/>
        </w:sectPr>
      </w:pPr>
    </w:p>
    <w:p>
      <w:pPr>
        <w:pStyle w:val="Heading1"/>
      </w:pPr>
      <w:r>
        <w:rPr>
          <w:rFonts w:ascii="Calibri" w:cs="Calibri" w:eastAsia="Calibri" w:hAnsi="Calibri"/>
        </w:rPr>
        <w:t xml:space="preserve">Appendix — Table 3: the bid re-solve, every enabled in-focus campaign</w:t>
      </w:r>
    </w:p>
    <w:p>
      <w:pPr>
        <w:spacing w:after="100"/>
      </w:pPr>
      <w:r>
        <w:rPr>
          <w:rFonts w:ascii="Calibri" w:cs="Calibri" w:eastAsia="Calibri" w:hAnsi="Calibri"/>
        </w:rPr>
        <w:t xml:space="preserve">Rank = 7-day median (e = the engine’s single-day read where the term is not in the tracker’s series). Req = required top-of-search clicks a week. Deliv = last 8 days against the requirement. Ceiling = contribution × the campaign’s top-of-search rate. Destination = the target after the bounds. This write = the top-of-search price now → this write, base now → this write, and the modifier solved from them. Loss = per top-of-search order at this write’s price (negative = margin).</w:t>
      </w:r>
    </w:p>
    <w:tbl>
      <w:tblPr>
        <w:tblW w:type="dxa" w:w="13572"/>
        <w:tblBorders>
          <w:top w:val="single" w:color="auto" w:sz="4"/>
          <w:left w:val="single" w:color="auto" w:sz="4"/>
          <w:bottom w:val="single" w:color="auto" w:sz="4"/>
          <w:right w:val="single" w:color="auto" w:sz="4"/>
          <w:insideH w:val="single" w:color="auto" w:sz="4"/>
          <w:insideV w:val="single" w:color="auto" w:sz="4"/>
        </w:tblBorders>
      </w:tblPr>
      <w:tblGrid>
        <w:gridCol w:w="3565"/>
        <w:gridCol w:w="743"/>
        <w:gridCol w:w="941"/>
        <w:gridCol w:w="644"/>
        <w:gridCol w:w="644"/>
        <w:gridCol w:w="793"/>
        <w:gridCol w:w="892"/>
        <w:gridCol w:w="1189"/>
        <w:gridCol w:w="1288"/>
        <w:gridCol w:w="1238"/>
        <w:gridCol w:w="644"/>
        <w:gridCol w:w="991"/>
      </w:tblGrid>
      <w:tr>
        <w:trPr>
          <w:cantSplit/>
          <w:tblHeader/>
        </w:trPr>
        <w:tc>
          <w:tcPr>
            <w:tcW w:type="dxa" w:w="3565"/>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743"/>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94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Rank→target</w:t>
            </w:r>
          </w:p>
        </w:tc>
        <w:tc>
          <w:tcPr>
            <w:tcW w:type="dxa" w:w="64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Req/wk</w:t>
            </w:r>
          </w:p>
        </w:tc>
        <w:tc>
          <w:tcPr>
            <w:tcW w:type="dxa" w:w="64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Deliv</w:t>
            </w:r>
          </w:p>
        </w:tc>
        <w:tc>
          <w:tcPr>
            <w:tcW w:type="dxa" w:w="793"/>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Ceiling</w:t>
            </w:r>
          </w:p>
        </w:tc>
        <w:tc>
          <w:tcPr>
            <w:tcW w:type="dxa" w:w="89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Destination</w:t>
            </w:r>
          </w:p>
        </w:tc>
        <w:tc>
          <w:tcPr>
            <w:tcW w:type="dxa" w:w="1189"/>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Write</w:t>
            </w:r>
          </w:p>
        </w:tc>
        <w:tc>
          <w:tcPr>
            <w:tcW w:type="dxa" w:w="1288"/>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TOS price</w:t>
            </w:r>
          </w:p>
        </w:tc>
        <w:tc>
          <w:tcPr>
            <w:tcW w:type="dxa" w:w="1238"/>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Base</w:t>
            </w:r>
          </w:p>
        </w:tc>
        <w:tc>
          <w:tcPr>
            <w:tcW w:type="dxa" w:w="644"/>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Mod</w:t>
            </w:r>
          </w:p>
        </w:tc>
        <w:tc>
          <w:tcPr>
            <w:tcW w:type="dxa" w:w="991"/>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Loss/order</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SCS-SP-Cooling | Sheets | California king-cal king cooling 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Cal 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$4.09</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$4.09</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$2.66→$3.19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$1.90→$1.90</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$4.28</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SCS-SP-Cooling | Sheets | King-HSV-king cooling sheets-Exact</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$3.14</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$4.19</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probe −5%</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$4.50→$4.27</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$1.80→$1.44</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197%</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$9.50</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SCS-SP-King-cooling-bed-set-king KING-GRAPHITE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$3.17→$3.80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195%</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$1.20</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SCS-SP-King-cooling-bedsheets-king-size-bed KING-GRAPHITE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$3.17→$4.12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219%</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$0.94</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SCS-SP-King-cooling-king-sheet-set KING-GRAPHITE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$3.17→$3.80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195%</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$1.20</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SCS-SP-King-cooling-king-sheets-deep-pocket KING-GRAPHITE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$3.17→$3.98</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209%</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SCS-SP-King-cooling-sheet-set-king-size KING-GRAPHITE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$3.17→$3.98</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209%</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SCS-SP-King-deep-pocket-cooling-king-sheet-set KING-GRAPHITE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$3.17→$3.98</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209%</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SCS-SP-King-deep-pocket-king-sheet-set-cooling KING-GRAPHITE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86→3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$3.17→$4.12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219%</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$0.94</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SCS-SP-King-king-cooling-sheet-set KING-GRAPHITE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$3.17→$4.12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219%</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$0.94</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SCS-SP-King-king-sheet-set-cooling KING-GRAPHITE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$3.17→$3.80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195%</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$1.20</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SCS-SP-King-king-sheet-set-deep-pocket-cooling KING-GRAPHITE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$3.17→$3.98</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209%</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SCS-SP-King-king-size-bed-set-cooling KING-GRAPHITE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$3.17→$3.80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195%</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$1.20</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SCS-SP-King-king-size-cooling-sheet-set KING-GRAPHITE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$3.17→$3.80</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195%</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margin $1.20</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SCS-SP-King-king-size-deep-pocket-cooling-sheet-sets KING-GR</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$3.17→$3.98</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209%</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SCS-SP-King-king-size-deep-pocket-cooling-sheets KING-GRAPHI</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$3.17→$3.98</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209%</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SCS-SP-King-sheets-king-cool KING-GRAPHITE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$3.17→$3.98</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$1.29→$1.29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209%</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B0F7M19VYV - cool sheets king size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$4.57</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budget first</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$4.59→$4.59</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$1.70→$1.36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237%</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$0.14</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B0F7M19VYV - cooling bed sheets king</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11.5→3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+20%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$3.84→$4.61</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$1.60→$1.60</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188%</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$2.91</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B0F7M19VYV - cooling king size sheets set</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$3.17→$3.98</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$1.44→$1.44</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176%</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B0F7M19VYV - cooling sheets king</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74%</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budget first</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$5.19→$5.19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$1.72→$1.72</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$11.94</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B0F7M19VYV - king bed sheets cooling</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$3.95</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$3.65→$4.75</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$1.35→$1.35</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252%</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$5.40</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B0F7M19VYV - king size cooling sheets set</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$3.17→$3.80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$1.01→$1.01</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276%</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$1.20</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B0F7M19VYV - king size sheets cooling</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$3.18→$4.13</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161%</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$1.00</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B0F7M19VYV - king size sheets set cooling</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$3.16→$3.79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$1.40→$1.40</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171%</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$1.26</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B0F7LXCSKW- Exact - G15</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147%</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margin $0.53</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B0F7LXCSKW- Exact - G16</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$2.78→$3.34</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111%</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$4.26</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B0F7LXCSKW- Exact - G17</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$2.97→$3.86</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144%</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margin $0.80</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B0F7LXCSKW- Exact - G18</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147%</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margin $0.53</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SCS-SP-Cooling | Sheets | Core-HSV-Exact-Rank-DO-SL-COOLING-</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26.5→3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SCS-SP-Cooling | Sheets | Queen-cooling sheets queen size-HS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$2.96</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$3.27→$4.25</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266%</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$8.96</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SCS-SP-Cooling | Sheets | Sleepers | Bedding-Multi Targets-L</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$2.50→$2.12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SCS-SP-Core-cooling-bedsheet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$3.00→$2.12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$1.23→$1.23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SCS-SP-Core-cooling-sheet-sets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$3.00→$2.12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$1.23→$1.23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SCS-SP-Core-cooling-top-sheet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135→3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$3.00→$2.12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$1.23→$1.23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SCS-SP-Core-super-soft-cooling-sheets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$3.00→$2.12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$1.23→$1.23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SCS-SP-Queen-cool-sheets-queen-size-bed-set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$2.84→$2.12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SCS-SP-Queen-cooling-bed-set-queen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SCS-SP-Queen-cooling-bedsheets-queen-size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SCS-SP-Queen-cooling-queen-bed-set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SCS-SP-Queen-cooling-queen-sheet-set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SCS-SP-Queen-cooling-queen-sheets-deep-pocket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SCS-SP-Queen-cooling-sheet-set-queen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65→3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SCS-SP-Queen-cooling-sheets-queen-deep-pocket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65e→3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SCS-SP-Queen-deep-pocket-queen-cooling-sheets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$2.84→$2.12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SCS-SP-Queen-queen-bed-sheet-set-cooling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SCS-SP-Queen-queen-bedsheets-cooling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$2.84→$2.12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SCS-SP-Queen-queen-cooling-sheet-set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SCS-SP-Queen-queen-sheet-sets-cooling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SCS-SP-Queen-queen-sheets-cool-temperature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SCS-SP-Queen-queen-size-sheet-set-cooling QUEEN-GRAPHITE</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123→3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SCS-SP-Queen-sheets-queen-cooling QUEEN-GRAPHITE</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B0F7LW9GQN - white cooling sheets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$2.67→$3.47</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$1.09→$1.09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$13.14</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B0F7LY14LM - black cooling sheets</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$1.95</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$3.21→$4.17</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$1.26→$1.26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231%</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$23.35</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cold bed sheets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$1.98</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$1.35→$1.35</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189%</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$19.89</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cold sheets for hot sleepers</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$2.20</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$3.22→$4.19</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$1.34→$1.07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292%</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$18.56</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cool bed sheets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17.5→3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$2.26</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$1.17→$1.17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233%</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$14.96</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cool sheets for hot sleepers</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24.5→3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$2.03</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$1.26→$1.26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210%</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$18.87</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cool sheets queen</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16.5→3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$3.26</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$2.94→$3.82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$1.20→$1.08</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254%</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$3.55</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cooling bed sheets queen</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$3.30→$2.12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$1.20→$0.90</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136%</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cooling deep pocket queen sheets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134%</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cooling queen sheets</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16.5→3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57%</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$2.57</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+20%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$4.43→$5.32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$1.50→$1.35</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294%</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$22.01</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cooling sheets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17.5→3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1352</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$1.99</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$2.60→$3.38</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$1.00→$0.80</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322%</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$14.33</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cooling sheets for hot sleepers</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25→4</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69</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$1.90</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$3.08→$4.00</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$1.23→$1.11</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260%</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$22.78</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cooling sheets for night sweats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$2.99→$2.12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$1.46→$1.46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cooling sheets queen</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26→4</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190</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$2.50</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$2.60→$3.38</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$1.00→$1.00</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238%</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$7.18</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deep pocket cooling queen sheets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61→3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$1.35→$1.35</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173%</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deep pocket cooling sheets</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$1.44→$1.44</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171%</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$17.31</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deep pocket queen sheets cooling</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56→10</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$2.85→$3.71</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$1.53→$1.53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142%</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$15.47</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queen bed sheets cooling</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29.5→3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$2.69</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$4.32→$5.62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$1.48→$1.48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280%</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$22.33</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queen cooling sheets</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27.5→3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$3.81</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$3.50→$4.55</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$1.00→$1.00</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355%</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$4.02</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queen sheet set cooling sheets</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queen size bed sheets cooling</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$2.84→$3.69</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$1.16→$1.16</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218%</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$15.28</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queen size sheets cooling</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33.5→3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$1.75</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$1.75</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$3.27→$1.75</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B0F7LY3K8C - sheets cooling</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$1.34→$1.34</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191%</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$17.31</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B0F7LY3K8C - soft cooling sheets</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$1.45→$1.45</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169%</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$17.31</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B0F7LY4DSG- Exact - G10</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$2.20</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147%</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$15.83</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B0F7LY4DSG- Exact - G12</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$3.00→$2.12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B0F7LY4DSG- Exact - G13</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$2.42</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$3.18→$2.42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$1.59→$1.59</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B0F7LY4DSG- Exact - G20</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$3.00→$2.12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B0F7LY4DSG- Exact - G25</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$2.26→$2.12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$1.23→$1.23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B0F7LY4DSG- Exact - G28</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$1.67</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$1.67</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$3.32→$1.67</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$1.58→$1.42</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B0F7LY4DSG- Exact - G29</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$3.00→$2.12</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B0F7LY4DSG- Exact - G8</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down to ceiling</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$2.78→$2.12</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break-even</w:t>
            </w:r>
          </w:p>
        </w:tc>
      </w:tr>
      <w:tr>
        <w:trPr>
          <w:cantSplit/>
          <w:tblHeader w:val="false"/>
        </w:trPr>
        <w:tc>
          <w:tcPr>
            <w:tcW w:type="dxa" w:w="3565"/>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B0F7LY4DSG- Exact - G9</w:t>
            </w:r>
          </w:p>
        </w:tc>
        <w:tc>
          <w:tcPr>
            <w:tcW w:type="dxa" w:w="74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4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93"/>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9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$3.00→$3.90</w:t>
            </w:r>
          </w:p>
        </w:tc>
        <w:tc>
          <w:tcPr>
            <w:tcW w:type="dxa" w:w="1238"/>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$1.58→$1.58</w:t>
            </w:r>
          </w:p>
        </w:tc>
        <w:tc>
          <w:tcPr>
            <w:tcW w:type="dxa" w:w="644"/>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147%</w:t>
            </w:r>
          </w:p>
        </w:tc>
        <w:tc>
          <w:tcPr>
            <w:tcW w:type="dxa" w:w="991"/>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$17.31</w:t>
            </w:r>
          </w:p>
        </w:tc>
      </w:tr>
      <w:tr>
        <w:trPr>
          <w:cantSplit/>
          <w:tblHeader w:val="false"/>
        </w:trPr>
        <w:tc>
          <w:tcPr>
            <w:tcW w:type="dxa" w:w="3565"/>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B0F7LX5ZQN - G5</w:t>
            </w:r>
          </w:p>
        </w:tc>
        <w:tc>
          <w:tcPr>
            <w:tcW w:type="dxa" w:w="74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94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4.5→1</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793"/>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$1.96</w:t>
            </w:r>
          </w:p>
        </w:tc>
        <w:tc>
          <w:tcPr>
            <w:tcW w:type="dxa" w:w="89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$5.90</w:t>
            </w:r>
          </w:p>
        </w:tc>
        <w:tc>
          <w:tcPr>
            <w:tcW w:type="dxa" w:w="1189"/>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push +30%</w:t>
            </w:r>
          </w:p>
        </w:tc>
        <w:tc>
          <w:tcPr>
            <w:tcW w:type="dxa" w:w="128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$2.81→$3.65</w:t>
            </w:r>
          </w:p>
        </w:tc>
        <w:tc>
          <w:tcPr>
            <w:tcW w:type="dxa" w:w="1238"/>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$1.27→$1.27</w:t>
            </w:r>
          </w:p>
        </w:tc>
        <w:tc>
          <w:tcPr>
            <w:tcW w:type="dxa" w:w="644"/>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187%</w:t>
            </w:r>
          </w:p>
        </w:tc>
        <w:tc>
          <w:tcPr>
            <w:tcW w:type="dxa" w:w="991"/>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$11.55</w:t>
            </w:r>
          </w:p>
        </w:tc>
      </w:tr>
    </w:tbl>
    <w:p>
      <w:pPr>
        <w:spacing w:after="80"/>
      </w:pPr>
    </w:p>
    <w:sectPr>
      <w:footerReference w:type="default" r:id="rId8"/>
      <w:pgSz w:w="15840" w:h="12240" w:orient="landscape"/>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SCS4 corrections by situation · 24 Sep 2026 · page </w:t>
    </w:r>
    <w:r>
      <w:rPr>
        <w:color w:val="888888"/>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SCS4 corrections by situation · 24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ea3d18bf8fbe00b16e5ffc6fad66e0345a958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SCS4 corrections by situation</dc:title>
  <dc:creator>Claude Code</dc:creator>
  <cp:lastModifiedBy>Un-named</cp:lastModifiedBy>
  <cp:revision>1</cp:revision>
  <dcterms:created xsi:type="dcterms:W3CDTF">2026-09-24T21:10:51.019Z</dcterms:created>
  <dcterms:modified xsi:type="dcterms:W3CDTF">2026-09-24T21:10:51.019Z</dcterms:modified>
</cp:coreProperties>
</file>

<file path=docProps/custom.xml><?xml version="1.0" encoding="utf-8"?>
<Properties xmlns="http://schemas.openxmlformats.org/officeDocument/2006/custom-properties" xmlns:vt="http://schemas.openxmlformats.org/officeDocument/2006/docPropsVTypes"/>
</file>