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  <w:sz w:val="36"/>
          <w:szCs w:val="36"/>
        </w:rPr>
        <w:t xml:space="preserve">Sleep Sanctuary Satin Sheets 4-Piece — final PPC and ranking plan</w:t>
      </w:r>
    </w:p>
    <w:p>
      <w:pPr>
        <w:spacing w:after="240"/>
      </w:pPr>
      <w:r>
        <w:rPr>
          <w:i/>
          <w:iCs/>
          <w:color w:val="595959"/>
        </w:rPr>
        <w:t xml:space="preserve">30 September 2026 · Amazon US · parent B0DDR4HJCS, 103 children · built from the same data as the audit report, the review workbook and the action plan (all dated 30 Sep)</w:t>
      </w:r>
    </w:p>
    <w:p>
      <w:pPr>
        <w:pStyle w:val="Heading1"/>
        <w:spacing w:after="120" w:before="280"/>
      </w:pPr>
      <w:r>
        <w:t xml:space="preserve">1. Where the product stands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800"/>
        <w:gridCol w:w="196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Measure (30 days to 29 Sep unless stated)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Value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Source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Sales / units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$38,658 / 1,183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Sellerboard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Ad spend / TACoS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$9,872 / 25.5%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Sellerboard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Net profit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−$6,375 (-16.5%); run-rate without campaigns already paused −$5,443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Sellerboard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Organic units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1,001 of 1,183 (85%)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Sellerboard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Break-even ACoS (profit before ads ÷ sales)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15%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Sellerboard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TACoS against its band (posture)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25.5% vs a 12% ceiling = 2.13× → Code red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Sellerboard + Command Center weekly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Organic rank on the biggest ranking searches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'silk sheets' 37, 'satin sheets' 10, 'silk sheets queen' 85, 'satin sheets queen size' 15, 'silk sheets full' 29, 'silk bed sheets' 22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Data Dive / Datarova, 7-day median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Children out (≤1 unit) that sold 40+ in 90 days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10 (Black King, Stone Grey Queen, Striped White King, Sage Green King, Stone Grey Full, White Full…)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Sellerboard stock 29 Sep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Aged stock (LTSF sheet)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$2,553.48 surcharge on 2,368 units; ~1,275 estimated left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LTSF Google Sheet + Sellerboard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Price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we realise $32.68 a set against a rival median of $22.49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Sellerboard, Command Center competitors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In one line: a product that loses money every month, running at twice its TACoS band, with a price well above its rivals and several best sellers out of stock — the ads cannot fix that alone, but they can stop paying more per click than a click earns.</w:t>
      </w:r>
    </w:p>
    <w:p>
      <w:pPr>
        <w:pStyle w:val="Heading1"/>
        <w:spacing w:after="120" w:before="280"/>
      </w:pPr>
      <w:r>
        <w:t xml:space="preserve">2. What the plan is for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Cut the loss: every click priced on what it affords on the child it serves; no premium anywhere while TACoS is over twice its band.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Hold the ranking terms we own with one exact campaign each, priced at or under their ceilings; no push — none passes the push test or the four push conditions.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Price every exact campaign the same way: the base (the product-page price) at what a product-page click affords, top of search at or under its ceiling, the modifier solved from the two prices.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Stop paying twice for the same click (duplicates and self-competition).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Clear aged stock where the aged colour converts; promotions do the rest.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Put stock in place for Q4 on the ranking children and the best sellers.</w:t>
      </w:r>
    </w:p>
    <w:p>
      <w:pPr>
        <w:pStyle w:val="Heading1"/>
        <w:spacing w:after="120" w:before="280"/>
      </w:pPr>
      <w:r>
        <w:t xml:space="preserve">2b. Reviewed against 'Bids and placements on Exact campaigns'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900"/>
        <w:gridCol w:w="3160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Rule in the method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Gap found in the review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What the plan does now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Contribution is the realised margin before ads (every fee, storage and refunds included), same window, re-read in a deal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Break-even ACoS per child; no per-placement prices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Contribution per serving child (T1); every price traces to it. The 20–30 Sep calendar deal left no price mark in the 30-day window, so the window is read as clean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Each placement priced from its own conversion: child's rate under 15 clicks, blended 15–50, own from 50; a zero counts after 3 expected orders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One break-even per campaign; placements not priced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537 placement rows (T2) and a ceiling per placement per campaign (T3)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The base is the product-page price and stays inside what product pages afford; mix 70–90% top of search, ≤20% product pages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Base bids never lowered on ranking terms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105 campaigns bring the base toward what product pages afford (≤25% a write with sales), 15 distribution fixes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The top-of-search price never falls as a residue of a base cut; it comes down only to a named point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 flat −15% on every target of a campaign over break-even, so top of search fell as a side effect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No flat step on exact rows; 94 descents to the ceiling, the rest held by solving the modifier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Modifier solved (price ÷ base − 1); both prices stated; rest of search at zero until earned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Modifiers held as found on held terms, some far above what the placement affords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Every changed row states both prices and the multiple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Posture first: TACoS against the stage band decides whether any premium is allowed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Not read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25.5% vs 12% = 2.13× → Code red: no premium, no top-of-search price rises, cuts in loss-dollar order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 push needs all four conditions (velocity, click-through and conversion above market, stock after)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Push judged on market, conversion, reach and payback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Both read: the push test declines every candidate, and none of the 37 ranking terms meets the four conditions (T4)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Aged-stock rows are priced by the clearance plan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Routed rows kept their old prices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Priced on clearance economics: margin before storage + the aged-stock charge each sale avoids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 sibling on the same term: the family owner prices it, the others hold at their ceiling with no premium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Not read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Every row held at its own ceiling, no premium (Decolure's satin products bid the same roots)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Cadence: one write per two-week cycle, read against the prediction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Steps re-read after 7 days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Write 1 Oct, read 15 Oct, next write 15 Oct sized by the read</w:t>
            </w:r>
          </w:p>
        </w:tc>
      </w:tr>
    </w:tbl>
    <w:p>
      <w:pPr>
        <w:spacing w:after="120"/>
      </w:pPr>
    </w:p>
    <w:p>
      <w:pPr>
        <w:pStyle w:val="Heading1"/>
        <w:spacing w:after="120" w:before="280"/>
      </w:pPr>
      <w:r>
        <w:t xml:space="preserve">3. The decisions and why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Decision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Why (the number behind it)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No push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The push test declines every candidate ('silk sheets queen' -0.47×, 'queen size silk sheets set' -0.8×, 'satin sheets queen size' -1.49×, 'satin queen sheets set' -1.58×…; payback needs 1.5×). TACoS is 2.13× its band (code red), and no ranking term meets the four push conditions.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Re-price every exact campaign from its serving child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147 of 179 change: bases above what a product-page click affords come down (≤25% a write on rows with sales), 94 top-of-search prices above their ceiling come down to it, none goes up. Each row states both prices (T3), cuts in loss-dollar order.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Hold the ranking terms with one owner each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29 held by one enabled exact campaign; 1 paused owners re-enabled because the rank they protect is worth more than they cost; 7 released (silk sheets queen, queen silk sheets set, silk queen bed sheets set, satin bed sheets queen, king size silk sheets set, queen satin sheets, queen size silk sheets set) — holding costs more than it earns; 1 bought only by discovery campaigns.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Pause duplicates and self-competition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19 duplicate exact campaigns on ranking terms; 40 self-competing targets ($946 of 30-day spend moves to the keeper).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Route aged stock where it converts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48 campaigns move to aged colours that convert at least 80% as well; targets: King: Red King, Blue King; Full: Dark Green Full, Lavender Full, Gold Full; Queen: Pink Queen; Twin: Red Twin, Lavender Twin, Ivory Twin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Keep the engine's good moves, drop the rest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Of the audit's 213 substantive decisions: 130 reject, 46 accept, 27 modify, 10 review.</w:t>
            </w:r>
          </w:p>
        </w:tc>
      </w:tr>
    </w:tbl>
    <w:p>
      <w:pPr>
        <w:spacing w:after="120"/>
      </w:pPr>
    </w:p>
    <w:p>
      <w:pPr>
        <w:pStyle w:val="Heading1"/>
        <w:spacing w:after="120" w:before="280"/>
      </w:pPr>
      <w:r>
        <w:t xml:space="preserve">4. Execution schedule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600"/>
        <w:gridCol w:w="900"/>
        <w:gridCol w:w="2000"/>
        <w:gridCol w:w="15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When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What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Done when</w:t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Day 0 (1 Oct)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Reorder the ranking children and the out-of-stock best sellers; confirm arrival dates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Owner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Action plan: Stock &amp; reorder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POs placed with dates</w:t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Day 0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Price / coupon decision on the ranking children; listing fixes (A+, description, bullets)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Owner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Audit report, sections 6 and 18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Decision written down</w:t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Day 1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Upload step 3: ranking owners on their ranking child, back-up ads (paused), re-enabled owners, and the exact re-solve on 147 campaigns (T3)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PPC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Action plan: Bulk upload (step 3)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Upload report shows no errors</w:t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Day 1 (same day)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Product-ad pauses and rows that need console IDs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PPC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Action plan: Needs console IDs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Old ads paused</w:t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Day 1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Upload step 4: duplicate and 40 self-competition pauses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PPC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Action plan: Bulk upload (step 4)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Keepers take the traffic</w:t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Day 8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Upload steps 5–6: aged-stock routing and colour exacts; one −15% step on 21 non-exact campaigns over break-even (92 targets); negatives and harvest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PPC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Action plan: Bulk upload (steps 5–6), Keyword changes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Applied after a clean week</w:t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15 Oct (read + next write)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Read the exact re-solve per campaign (product-page share ≤20%, top-of-search share 70–90%, cost per order by placement); load the staged remainders sized by the read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PPC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Action plan: Monitoring, T3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Keep / restore written on each row</w:t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Month end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Re-run the push test after the price test and the restock; re-run the audit on fresh data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Owner / PPC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Audit report, section 9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Next cycle planned</w:t>
            </w:r>
          </w:p>
        </w:tc>
      </w:tr>
    </w:tbl>
    <w:p>
      <w:pPr>
        <w:spacing w:after="120"/>
      </w:pPr>
    </w:p>
    <w:p>
      <w:pPr>
        <w:pStyle w:val="Heading1"/>
        <w:spacing w:after="120" w:before="280"/>
      </w:pPr>
      <w:r>
        <w:t xml:space="preserve">5. The changes, by step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Step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Change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Rows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Add back-up product ad (PAUSED)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Add product ad (enabled)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Base bid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158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Budget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Enable target (ranking term paused in its owner)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Pause product ad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Placement modifier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128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State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Pause target (self-competition, broad)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Pause target (self-competition, exact)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State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State (self-competition: its only target duplicates another campaign)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Add product ad (enabled)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146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Pause product ad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54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State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Add back-up product ad (PAUSED)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Add product ad (enabled)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Bid (−15% step)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92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Pause product ad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Pause target (duplicate of a ranking owner)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739 changes in all. 728 rows load from the Bulk upload tab; 85 need an ID from the console and are listed with the reason. Every exact price that comes down lands on a named point — its ceiling, or a dated step — and none goes up (code red).</w:t>
      </w:r>
    </w:p>
    <w:p>
      <w:pPr>
        <w:pStyle w:val="Heading1"/>
        <w:spacing w:after="120" w:before="280"/>
      </w:pPr>
      <w:r>
        <w:t xml:space="preserve">5b. Exact bids and placements — the four tables</w:t>
      </w:r>
    </w:p>
    <w:p>
      <w:pPr>
        <w:spacing w:after="120"/>
      </w:pPr>
      <w:r>
        <w:t xml:space="preserve">One base and one top-of-search modifier make three prices; the base is the product-page price. What a click affords at a placement = the serving child's contribution per unit × that placement's conversion (the child's rate below 15 clicks, blended 15–50, the campaign's own from 50). The base comes down to what product pages afford (capped at 25% a write on a row with sales), top of search comes down to its ceiling where it is above it, and the modifier is solved: top-of-search price ÷ base − 1.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700"/>
        <w:gridCol w:w="1800"/>
        <w:gridCol w:w="1800"/>
        <w:gridCol w:w="14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Table 1 — child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Contribution/unit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Top of search affords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Product pages afford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Exact campaigns served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Grey King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$7.94 (30 days)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$1.51 (19.05%)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$0.85 (10.69%)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36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Striped Red Queen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−$4.06 (90 days)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$0.0 (11.59%)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$0.0 (8.09%)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Navy Blue Queen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$7.67 (30 days)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$1.28 (16.7%)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$0.84 (10.99%)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White King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$9.36 (30 days)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$1.03 (10.99%)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$0.94 (10.03%)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Dark Green Full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−$7.09 (90 days)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$0.0 (23.36%)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$0.0 (12.19%)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Lavender Full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−$2.19 (90 days)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$0.0 (23.36%)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$0.0 (12.19%)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Blush Pink King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$5.37 (30 days)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$0.96 (17.87%)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$0.54 (10.03%)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Dark Green King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$7.22 (30 days)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$1.29 (17.87%)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$0.72 (10.03%)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2000"/>
        <w:gridCol w:w="226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Table 3 — campaign (top 12 by spend)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Now: TOS / PP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After: TOS / PP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Staged 15 Oct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SS-Satin Sheets-Exact-B0DDRKVH9Q - silk sheets k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$2.17 / $1.05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$1.66 / $0.91 (82%)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SS-S4-SP-satin sheets full-(Satin)-HSV-Exact-Ran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$4.79 / $1.31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$1.23 / $0.98 (26%)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base $0.98 now → $0.65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SS-S4-SP-Satin Sheets-Exact-Ranking-Down-SS-SATI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$2.84 / $1.35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$1.01 / $1.01 (0%)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top of search $1.01 now → $0.41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SS-S4-SP-satin sheets queen size-(Satin)-HSV-Exa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$2.8 / $0.74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$1.72 / $0.68 (153%)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SS-Satin Sheets-Exact- B0DDQX793B - silk sheets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$2.66 / $0.75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$1.14 / $0.56 (104%)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base $0.56 now → $0.47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SS-S4-SP-pink satin sheets queen-(Satin)-MSV-Exa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$2.56 / $1.28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$0.96 / $0.96 (0%)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top of search $0.96 now → $0.81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SS-S4-SP-satin king size sheets set-(Satin)-LSV-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$3.57 / $1.06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$2.12 / $0.95 (123%)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SS-S4-SP-Satin Sheets-Exact-Ranking-Down-SS-Sati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$2.49 / $1.13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$1.14 / $0.84 (36%)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base $0.84 now → $0.67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SS-Satin Sheets-Exact B0DDR95C35 - silk sheets t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$2.08 / $0.75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$0.58 / $0.56 (4%)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SS-S4-SP-EXACT-pink satin sheets-Satin-SS-SATIN-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$1.25 / $0.83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$0.81 / $0.62 (31%)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SS-S4-SP-king size satin sheet-(Satin)-VLSV-Exac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$2.75 / $0.81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$1.92 / $0.78 (146%)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SS-S4-SP-EXACT-purple silk sheets-Silk-SS-SATIN-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$1.27 / $0.83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$1.27 / $0.62 (105%)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base $0.62 now → $0.35 (the base floor)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Table 2 (every campaign, every placement) and the full Table 3 (147 rows, in loss-dollar order) are in the action plan. Table 4 — funded pushes: none (section 3). 7 serving children earn nothing per unit before ads at their realised margin (Striped Red Queen, Champagne Full, Dark Green Full, Lavender Full, Red Twin): no click on them is affordable, so their rows go to the $0.35 floor unless they are aged-stock rows priced on clearance. The fix there is price or stock, not the bid.</w:t>
      </w:r>
    </w:p>
    <w:p>
      <w:pPr>
        <w:pStyle w:val="Heading1"/>
        <w:spacing w:after="120" w:before="280"/>
      </w:pPr>
      <w:r>
        <w:t xml:space="preserve">6. Stock and reorder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1100"/>
        <w:gridCol w:w="1000"/>
        <w:gridCol w:w="15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Child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Role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Units 90d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Stock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Runs out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Units needed to 31 Mar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Grey King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ranking child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302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250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29 Dec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201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Navy Blue Queen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ranking child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173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315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 Jan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214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Rosewood Twin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ranking child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51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85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13 Mar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White King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410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421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26 Dec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396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Black King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233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out now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841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Stone Grey Queen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140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out now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506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Sage Green Queen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133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100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before 31 Mar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380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Striped White King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131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out now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473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Sage Green King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116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out now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419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Stone Grey Full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93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out now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336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Navy Blue Full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75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56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5 Dec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182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White Full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68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out now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246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Dark Green Queen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out now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170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Navy Blue Twin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before 31 Mar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131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Rosewood Full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out now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152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Blue Queen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out now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147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Black Queen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out now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144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Blush Pink Twin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before 31 Mar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90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Planned purchase orders on the audit calendar: Queen 2026-12-17 · 102 · CPBY26023; King none; Full 2026-12-17 · 12 · CPBY26043; Twin none.</w:t>
      </w:r>
    </w:p>
    <w:p>
      <w:pPr>
        <w:pStyle w:val="Heading1"/>
        <w:spacing w:after="120" w:before="280"/>
      </w:pPr>
      <w:r>
        <w:t xml:space="preserve">7. Aged stock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000"/>
        <w:gridCol w:w="1100"/>
        <w:gridCol w:w="1100"/>
        <w:gridCol w:w="2760"/>
        <w:gridCol w:w="10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Aged child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Surcharge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Aged left (est.)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Conversion 30d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How it clears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Sheet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Red King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$204.18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98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7.42%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routing target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Run Promo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Blue King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$162.23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54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6.39%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routing target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Run Promo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Burnt Orange King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$121.7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7.62%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promotion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Run Promo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Dark Green Full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$117.04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7.91%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routing target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Run Promo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Striped Gold King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$99.12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6.17%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promotion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Run Promo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Lavender Full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$98.2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86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6.25%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routing target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Run Promo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Gold Full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$90.81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12.63%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routing target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Run Promo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Champagne King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$90.4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6.07%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promotion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Run Promo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Ivory Full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$89.87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5.71%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promotion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Run Promo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Blush Pink King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$84.43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243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6.84%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promotion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Run Promo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Sea Teal Full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$80.2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2.2%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promotion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Run Promo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Lavender King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$65.82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4.43%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promotion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Run Promo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Red Full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$55.63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14.29%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promotion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Run Promo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Pink Queen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$52.13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117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7.81%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routing target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Run Promo</w:t>
            </w:r>
          </w:p>
        </w:tc>
      </w:tr>
    </w:tbl>
    <w:p>
      <w:pPr>
        <w:spacing w:after="120"/>
      </w:pPr>
    </w:p>
    <w:p>
      <w:pPr>
        <w:pStyle w:val="Heading1"/>
        <w:spacing w:after="120" w:before="280"/>
      </w:pPr>
      <w:r>
        <w:t xml:space="preserve">8. Money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400"/>
        <w:gridCol w:w="1400"/>
        <w:gridCol w:w="1100"/>
        <w:gridCol w:w="1660"/>
      </w:tblGrid>
      <w:tr>
        <w:trPr>
          <w:tblHeader/>
        </w:trPr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Sales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Ad spend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TACoS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Net profit</w:t>
            </w:r>
          </w:p>
        </w:tc>
      </w:tr>
      <w:tr>
        <w:trPr>
          <w:tblHeader w:val="off"/>
        </w:trPr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Last 30 days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$38,658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$9,872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25.5%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−$6,375</w:t>
            </w:r>
          </w:p>
        </w:tc>
      </w:tr>
      <w:tr>
        <w:trPr>
          <w:tblHeader w:val="off"/>
        </w:trPr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Run-rate (without campaigns already paused)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$37,549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$8,666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23.1%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−$5,443</w:t>
            </w:r>
          </w:p>
        </w:tc>
      </w:tr>
      <w:tr>
        <w:trPr>
          <w:tblHeader w:val="off"/>
        </w:trPr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Plan (30-day equivalent)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$33,327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$6,839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20.5%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−$4,400</w:t>
            </w:r>
          </w:p>
        </w:tc>
      </w:tr>
      <w:tr>
        <w:trPr>
          <w:tblHeader w:val="off"/>
        </w:trPr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Plan against run-rate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−$4,222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−$1,827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$1,043</w:t>
            </w:r>
          </w:p>
        </w:tc>
      </w:tr>
      <w:tr>
        <w:trPr>
          <w:tblHeader w:val="off"/>
        </w:trPr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of which LTSF clearance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−$1,480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−$589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$257</w:t>
            </w:r>
          </w:p>
        </w:tc>
      </w:tr>
      <w:tr>
        <w:trPr>
          <w:tblHeader w:val="off"/>
        </w:trPr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of which Other non-ranking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−$2,983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−$1,890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$1,324</w:t>
            </w:r>
          </w:p>
        </w:tc>
      </w:tr>
      <w:tr>
        <w:trPr>
          <w:tblHeader w:val="off"/>
        </w:trPr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of which Ranking – maintain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−$867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−$555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$393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Direct ad effects only: clicks and orders at each placement move with its price, which is conservative on sales where today's cost per click sits well under the bid. The plan still loses money: the rest of the gap is price, stock and listing, which the ads cannot close.</w:t>
      </w:r>
    </w:p>
    <w:p>
      <w:pPr>
        <w:pStyle w:val="Heading1"/>
        <w:spacing w:after="120" w:before="280"/>
      </w:pPr>
      <w:r>
        <w:t xml:space="preserve">9. Monitoring and stop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00"/>
        <w:gridCol w:w="366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When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Check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Act if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Daily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Days of stock on each ranking child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under 14 days → back-up switch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Daily, week 1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Every re-priced campaign still serves (impressions &gt; 0)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no impressions after 48 h at the floor → the row is priced out; leave it, or review the child's price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15 Oct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Exact re-solve: product-page share, top-of-search share, cost per order by placement, against each row's prediction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product-page share did not move → the leak is not price-driven, the base goes back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Weekly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Organic rank on the held terms (Rank Radar / Datarova)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 slip beyond the term's rank guard → reopen its hold decision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Weekly (from day 8)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Non-exact −15% steps: ACoS vs break-even, rank guard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still over break-even with rank steady → one more step; rank slipped → stop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Weekly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Aged units left per routed child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~2 weeks of aged units left → move campaigns back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Weekly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TACoS against the band and net profit against section 8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back under 1.5× the band for two weeks → posture moves out of code red; premiums can be sized again</w:t>
            </w:r>
          </w:p>
        </w:tc>
      </w:tr>
    </w:tbl>
    <w:p>
      <w:pPr>
        <w:spacing w:after="120"/>
      </w:pPr>
    </w:p>
    <w:p>
      <w:pPr>
        <w:pStyle w:val="Heading1"/>
        <w:spacing w:after="120" w:before="280"/>
      </w:pPr>
      <w:r>
        <w:t xml:space="preserve">10. Owner decisions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Price: we realise $32.68 a set against a rival median of $22.49. A coupon or price test on the ranking children is the first test; bids cannot close a price gap.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Reorder quantities and arrival dates (section 6).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TACoS band: 12% is the maintenance-lane ceiling the audit ran under (no declared rung); set the band and the weekly envelope at the monthly review.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Sponsored Brands video on the head terms: needs creative.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Whether part of 'Decolure_SP_Exact_PAT_Defensive' belongs in this product's budget.</w:t>
      </w:r>
    </w:p>
    <w:p>
      <w:pPr>
        <w:pStyle w:val="Heading1"/>
        <w:spacing w:after="120" w:before="280"/>
      </w:pPr>
      <w:r>
        <w:t xml:space="preserve">11. What this plan does not do, and why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push and no premium: the push test declines every candidate and the product runs at 2.13× its TACoS band.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new campaigns: existing campaigns already buy the harvested terms.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top-of-search price rise anywhere, and no budget cuts that would not bind.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flat cut on exact campaigns: each price comes down to its own ceiling, or holds.</w:t>
      </w:r>
    </w:p>
    <w:p>
      <w:pPr>
        <w:spacing w:after="120"/>
      </w:pPr>
      <w:r>
        <w:t xml:space="preserve">Files: SSS4_Audit_Review_20260930.docx (the full audit), SSS4_Audit_Review_Workbook_20260930.xlsx (every campaign, keyword and check), SSS4_Action_Plan_20260930.xlsx (every change, bulk rows, T1–T4, stock, monitoring). All read-only analysis; nothing was changed in any tool.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2026-09-30T20:06:31.273Z</dcterms:created>
  <dcterms:modified xsi:type="dcterms:W3CDTF">2026-09-30T20:06:31.274Z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