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F3A5F"/>
          <w:sz w:val="36"/>
          <w:szCs w:val="36"/>
        </w:rPr>
        <w:t xml:space="preserve">Feedback on the 28 September audit — Decolure Bamboo Sheets 4-Piece</w:t>
      </w:r>
    </w:p>
    <w:p>
      <w:pPr>
        <w:spacing w:after="100"/>
      </w:pPr>
      <w:r>
        <w:t xml:space="preserve">This is feedback on the 28 September audit of Decolure Bamboo Sheets 4-Piece (run 20260928-9e6e6bb5). The audit proposes 343 changes on 144 of the product’s 350 campaigns, plus six new campaigns. It moves the focus to Bamboo|California King and Bamboo|Cooling and pushes those two groups on top of search, three terms with a +75% “dose” step. Everything else tapers one −10% rung per run, modifiers first. Out-of-focus campaigns take no new money; what the taper releases is meant to fund the focus. The audit’s own review endorsed the direction and passed 324 of the 343 rows (17 held, 2 corrected). The Best Deal ended today, so these changes land on the first days after it.</w:t>
      </w:r>
    </w:p>
    <w:p>
      <w:pPr>
        <w:spacing w:after="100"/>
      </w:pPr>
      <w:r>
        <w:t xml:space="preserve">Each section gives the rule, what the audit does, the campaigns where its action is the problem, and the correction. Group ranks are Command Center’s 7-day medians; keyword ranks are the tracker readings the audit used (09-28 against 08-29). Part C covers what runs across the whole file, including the data the audit read. Part D answers the question the audit leaves open: after the deal, is this the right focus, and what happens to the head term it takes out of it?</w:t>
      </w:r>
    </w:p>
    <w:p>
      <w:pPr>
        <w:spacing w:after="100"/>
      </w:pPr>
      <w:r>
        <w:t xml:space="preserve">Every exact-campaign price correction is checked against “Bids and placements on Exact campaigns”, cited as “the logic” with its section number.</w:t>
      </w:r>
    </w:p>
    <w:p>
      <w:pPr>
        <w:spacing w:after="100"/>
      </w:pPr>
      <w:r>
        <w:rPr>
          <w:b/>
          <w:bCs/>
          <w:color w:val="1F3A5F"/>
        </w:rPr>
        <w:t xml:space="preserve">In short. </w:t>
      </w:r>
      <w:r>
        <w:t xml:space="preserve">The direction holds for Bamboo|Cooling and is weak for California King. About 110 rows should not load as written (105 to pull, 9 to correct). Most of them are engine faults: rows the engine itself marks HOLD, no-op and duplicate rows, and predictions no budget can buy. Checked against the logic, the three dose pushes are capped by the market bound, so 369 comes down rather than up, and two pushed terms with no rank on file drop to the ceiling. Every 14-day read in this audit falls inside a deal window, which the logic treats as void. Two decisions need the owner before anything loads. The first is the flagship “Bamboo Sheets” campaign: the logic says its hold is right, but it has to be written as a funding decision. The second is the California King push on a hero with 44 units.</w:t>
      </w:r>
    </w:p>
    <w:p>
      <w:pPr>
        <w:pStyle w:val="Heading2"/>
      </w:pPr>
      <w:r>
        <w:t xml:space="preserve">What the audit was built on: the product at the end of the deal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49"/>
        <w:gridCol w:w="880"/>
        <w:gridCol w:w="978"/>
        <w:gridCol w:w="782"/>
        <w:gridCol w:w="782"/>
        <w:gridCol w:w="880"/>
        <w:gridCol w:w="880"/>
        <w:gridCol w:w="880"/>
        <w:gridCol w:w="782"/>
        <w:gridCol w:w="879"/>
      </w:tblGrid>
      <w:tr>
        <w:trPr>
          <w:tblHeader/>
        </w:trPr>
        <w:tc>
          <w:tcPr>
            <w:tcW w:type="dxa" w:w="2249"/>
            <w:shd w:fill="1F3A5F" w:color="auto" w:val="clear"/>
            <w:tcMar>
              <w:top w:type="dxa" w:w="40"/>
              <w:left w:type="dxa" w:w="70"/>
              <w:bottom w:type="dxa" w:w="40"/>
              <w:right w:type="dxa" w:w="70"/>
            </w:tcMar>
          </w:tcPr>
          <w:p>
            <w:pPr>
              <w:spacing w:after="0"/>
            </w:pPr>
            <w:r>
              <w:rPr>
                <w:b/>
                <w:bCs/>
                <w:color w:val="FFFFFF"/>
                <w:sz w:val="17"/>
                <w:szCs w:val="17"/>
              </w:rPr>
              <w:t xml:space="preserve">Window</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Spend / day</w:t>
            </w:r>
          </w:p>
        </w:tc>
        <w:tc>
          <w:tcPr>
            <w:tcW w:type="dxa" w:w="978"/>
            <w:shd w:fill="1F3A5F" w:color="auto" w:val="clear"/>
            <w:tcMar>
              <w:top w:type="dxa" w:w="40"/>
              <w:left w:type="dxa" w:w="70"/>
              <w:bottom w:type="dxa" w:w="40"/>
              <w:right w:type="dxa" w:w="70"/>
            </w:tcMar>
          </w:tcPr>
          <w:p>
            <w:pPr>
              <w:spacing w:after="0"/>
            </w:pPr>
            <w:r>
              <w:rPr>
                <w:b/>
                <w:bCs/>
                <w:color w:val="FFFFFF"/>
                <w:sz w:val="17"/>
                <w:szCs w:val="17"/>
              </w:rPr>
              <w:t xml:space="preserve">Ad sales / day</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ACoS</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CVR</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Orders / day</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TOS clicks / day</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PP clicks / day</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TOS share</w:t>
            </w:r>
          </w:p>
        </w:tc>
        <w:tc>
          <w:tcPr>
            <w:tcW w:type="dxa" w:w="879"/>
            <w:shd w:fill="1F3A5F" w:color="auto" w:val="clear"/>
            <w:tcMar>
              <w:top w:type="dxa" w:w="40"/>
              <w:left w:type="dxa" w:w="70"/>
              <w:bottom w:type="dxa" w:w="40"/>
              <w:right w:type="dxa" w:w="70"/>
            </w:tcMar>
          </w:tcPr>
          <w:p>
            <w:pPr>
              <w:spacing w:after="0"/>
            </w:pPr>
            <w:r>
              <w:rPr>
                <w:b/>
                <w:bCs/>
                <w:color w:val="FFFFFF"/>
                <w:sz w:val="17"/>
                <w:szCs w:val="17"/>
              </w:rPr>
              <w:t xml:space="preserve">Eff. TOS bid</w:t>
            </w:r>
          </w:p>
        </w:tc>
      </w:tr>
      <w:tr>
        <w:tc>
          <w:tcPr>
            <w:tcW w:type="dxa" w:w="2249"/>
            <w:shd w:fill="FFFFFF" w:color="auto" w:val="clear"/>
            <w:tcMar>
              <w:top w:type="dxa" w:w="40"/>
              <w:left w:type="dxa" w:w="70"/>
              <w:bottom w:type="dxa" w:w="40"/>
              <w:right w:type="dxa" w:w="70"/>
            </w:tcMar>
          </w:tcPr>
          <w:p>
            <w:pPr>
              <w:spacing w:after="0"/>
            </w:pPr>
            <w:r>
              <w:rPr>
                <w:sz w:val="17"/>
                <w:szCs w:val="17"/>
              </w:rPr>
              <w:t xml:space="preserve">Before the deal (09-02 → 09-14)</w:t>
            </w:r>
          </w:p>
        </w:tc>
        <w:tc>
          <w:tcPr>
            <w:tcW w:type="dxa" w:w="880"/>
            <w:shd w:fill="FFFFFF" w:color="auto" w:val="clear"/>
            <w:tcMar>
              <w:top w:type="dxa" w:w="40"/>
              <w:left w:type="dxa" w:w="70"/>
              <w:bottom w:type="dxa" w:w="40"/>
              <w:right w:type="dxa" w:w="70"/>
            </w:tcMar>
          </w:tcPr>
          <w:p>
            <w:pPr>
              <w:spacing w:after="0"/>
            </w:pPr>
            <w:r>
              <w:rPr>
                <w:sz w:val="17"/>
                <w:szCs w:val="17"/>
              </w:rPr>
              <w:t xml:space="preserve">$656</w:t>
            </w:r>
          </w:p>
        </w:tc>
        <w:tc>
          <w:tcPr>
            <w:tcW w:type="dxa" w:w="978"/>
            <w:shd w:fill="FFFFFF" w:color="auto" w:val="clear"/>
            <w:tcMar>
              <w:top w:type="dxa" w:w="40"/>
              <w:left w:type="dxa" w:w="70"/>
              <w:bottom w:type="dxa" w:w="40"/>
              <w:right w:type="dxa" w:w="70"/>
            </w:tcMar>
          </w:tcPr>
          <w:p>
            <w:pPr>
              <w:spacing w:after="0"/>
            </w:pPr>
            <w:r>
              <w:rPr>
                <w:sz w:val="17"/>
                <w:szCs w:val="17"/>
              </w:rPr>
              <w:t xml:space="preserve">$2,083</w:t>
            </w:r>
          </w:p>
        </w:tc>
        <w:tc>
          <w:tcPr>
            <w:tcW w:type="dxa" w:w="782"/>
            <w:shd w:fill="FFFFFF" w:color="auto" w:val="clear"/>
            <w:tcMar>
              <w:top w:type="dxa" w:w="40"/>
              <w:left w:type="dxa" w:w="70"/>
              <w:bottom w:type="dxa" w:w="40"/>
              <w:right w:type="dxa" w:w="70"/>
            </w:tcMar>
          </w:tcPr>
          <w:p>
            <w:pPr>
              <w:spacing w:after="0"/>
            </w:pPr>
            <w:r>
              <w:rPr>
                <w:sz w:val="17"/>
                <w:szCs w:val="17"/>
              </w:rPr>
              <w:t xml:space="preserve">31.5%</w:t>
            </w:r>
          </w:p>
        </w:tc>
        <w:tc>
          <w:tcPr>
            <w:tcW w:type="dxa" w:w="782"/>
            <w:shd w:fill="FFFFFF" w:color="auto" w:val="clear"/>
            <w:tcMar>
              <w:top w:type="dxa" w:w="40"/>
              <w:left w:type="dxa" w:w="70"/>
              <w:bottom w:type="dxa" w:w="40"/>
              <w:right w:type="dxa" w:w="70"/>
            </w:tcMar>
          </w:tcPr>
          <w:p>
            <w:pPr>
              <w:spacing w:after="0"/>
            </w:pPr>
            <w:r>
              <w:rPr>
                <w:sz w:val="17"/>
                <w:szCs w:val="17"/>
              </w:rPr>
              <w:t xml:space="preserve">12.5%</w:t>
            </w:r>
          </w:p>
        </w:tc>
        <w:tc>
          <w:tcPr>
            <w:tcW w:type="dxa" w:w="880"/>
            <w:shd w:fill="FFFFFF" w:color="auto" w:val="clear"/>
            <w:tcMar>
              <w:top w:type="dxa" w:w="40"/>
              <w:left w:type="dxa" w:w="70"/>
              <w:bottom w:type="dxa" w:w="40"/>
              <w:right w:type="dxa" w:w="70"/>
            </w:tcMar>
          </w:tcPr>
          <w:p>
            <w:pPr>
              <w:spacing w:after="0"/>
            </w:pPr>
            <w:r>
              <w:rPr>
                <w:sz w:val="17"/>
                <w:szCs w:val="17"/>
              </w:rPr>
              <w:t xml:space="preserve">27.2</w:t>
            </w:r>
          </w:p>
        </w:tc>
        <w:tc>
          <w:tcPr>
            <w:tcW w:type="dxa" w:w="880"/>
            <w:shd w:fill="FFFFFF" w:color="auto" w:val="clear"/>
            <w:tcMar>
              <w:top w:type="dxa" w:w="40"/>
              <w:left w:type="dxa" w:w="70"/>
              <w:bottom w:type="dxa" w:w="40"/>
              <w:right w:type="dxa" w:w="70"/>
            </w:tcMar>
          </w:tcPr>
          <w:p>
            <w:pPr>
              <w:spacing w:after="0"/>
            </w:pPr>
            <w:r>
              <w:rPr>
                <w:sz w:val="17"/>
                <w:szCs w:val="17"/>
              </w:rPr>
              <w:t xml:space="preserve">94</w:t>
            </w:r>
          </w:p>
        </w:tc>
        <w:tc>
          <w:tcPr>
            <w:tcW w:type="dxa" w:w="880"/>
            <w:shd w:fill="FFFFFF" w:color="auto" w:val="clear"/>
            <w:tcMar>
              <w:top w:type="dxa" w:w="40"/>
              <w:left w:type="dxa" w:w="70"/>
              <w:bottom w:type="dxa" w:w="40"/>
              <w:right w:type="dxa" w:w="70"/>
            </w:tcMar>
          </w:tcPr>
          <w:p>
            <w:pPr>
              <w:spacing w:after="0"/>
            </w:pPr>
            <w:r>
              <w:rPr>
                <w:sz w:val="17"/>
                <w:szCs w:val="17"/>
              </w:rPr>
              <w:t xml:space="preserve">105</w:t>
            </w:r>
          </w:p>
        </w:tc>
        <w:tc>
          <w:tcPr>
            <w:tcW w:type="dxa" w:w="782"/>
            <w:shd w:fill="FFFFFF" w:color="auto" w:val="clear"/>
            <w:tcMar>
              <w:top w:type="dxa" w:w="40"/>
              <w:left w:type="dxa" w:w="70"/>
              <w:bottom w:type="dxa" w:w="40"/>
              <w:right w:type="dxa" w:w="70"/>
            </w:tcMar>
          </w:tcPr>
          <w:p>
            <w:pPr>
              <w:spacing w:after="0"/>
            </w:pPr>
            <w:r>
              <w:rPr>
                <w:sz w:val="17"/>
                <w:szCs w:val="17"/>
              </w:rPr>
              <w:t xml:space="preserve">37%</w:t>
            </w:r>
          </w:p>
        </w:tc>
        <w:tc>
          <w:tcPr>
            <w:tcW w:type="dxa" w:w="879"/>
            <w:shd w:fill="FFFFFF" w:color="auto" w:val="clear"/>
            <w:tcMar>
              <w:top w:type="dxa" w:w="40"/>
              <w:left w:type="dxa" w:w="70"/>
              <w:bottom w:type="dxa" w:w="40"/>
              <w:right w:type="dxa" w:w="70"/>
            </w:tcMar>
          </w:tcPr>
          <w:p>
            <w:pPr>
              <w:spacing w:after="0"/>
            </w:pPr>
            <w:r>
              <w:rPr>
                <w:sz w:val="17"/>
                <w:szCs w:val="17"/>
              </w:rPr>
              <w:t xml:space="preserve">$4.44</w:t>
            </w:r>
          </w:p>
        </w:tc>
      </w:tr>
      <w:tr>
        <w:tc>
          <w:tcPr>
            <w:tcW w:type="dxa" w:w="2249"/>
            <w:shd w:fill="F2F5F9" w:color="auto" w:val="clear"/>
            <w:tcMar>
              <w:top w:type="dxa" w:w="40"/>
              <w:left w:type="dxa" w:w="70"/>
              <w:bottom w:type="dxa" w:w="40"/>
              <w:right w:type="dxa" w:w="70"/>
            </w:tcMar>
          </w:tcPr>
          <w:p>
            <w:pPr>
              <w:spacing w:after="0"/>
            </w:pPr>
            <w:r>
              <w:rPr>
                <w:sz w:val="17"/>
                <w:szCs w:val="17"/>
              </w:rPr>
              <w:t xml:space="preserve">Deal, first week (09-15 → 09-21)</w:t>
            </w:r>
          </w:p>
        </w:tc>
        <w:tc>
          <w:tcPr>
            <w:tcW w:type="dxa" w:w="880"/>
            <w:shd w:fill="F2F5F9" w:color="auto" w:val="clear"/>
            <w:tcMar>
              <w:top w:type="dxa" w:w="40"/>
              <w:left w:type="dxa" w:w="70"/>
              <w:bottom w:type="dxa" w:w="40"/>
              <w:right w:type="dxa" w:w="70"/>
            </w:tcMar>
          </w:tcPr>
          <w:p>
            <w:pPr>
              <w:spacing w:after="0"/>
            </w:pPr>
            <w:r>
              <w:rPr>
                <w:sz w:val="17"/>
                <w:szCs w:val="17"/>
              </w:rPr>
              <w:t xml:space="preserve">$1,169</w:t>
            </w:r>
          </w:p>
        </w:tc>
        <w:tc>
          <w:tcPr>
            <w:tcW w:type="dxa" w:w="978"/>
            <w:shd w:fill="F2F5F9" w:color="auto" w:val="clear"/>
            <w:tcMar>
              <w:top w:type="dxa" w:w="40"/>
              <w:left w:type="dxa" w:w="70"/>
              <w:bottom w:type="dxa" w:w="40"/>
              <w:right w:type="dxa" w:w="70"/>
            </w:tcMar>
          </w:tcPr>
          <w:p>
            <w:pPr>
              <w:spacing w:after="0"/>
            </w:pPr>
            <w:r>
              <w:rPr>
                <w:sz w:val="17"/>
                <w:szCs w:val="17"/>
              </w:rPr>
              <w:t xml:space="preserve">$2,691</w:t>
            </w:r>
          </w:p>
        </w:tc>
        <w:tc>
          <w:tcPr>
            <w:tcW w:type="dxa" w:w="782"/>
            <w:shd w:fill="F2F5F9" w:color="auto" w:val="clear"/>
            <w:tcMar>
              <w:top w:type="dxa" w:w="40"/>
              <w:left w:type="dxa" w:w="70"/>
              <w:bottom w:type="dxa" w:w="40"/>
              <w:right w:type="dxa" w:w="70"/>
            </w:tcMar>
          </w:tcPr>
          <w:p>
            <w:pPr>
              <w:spacing w:after="0"/>
            </w:pPr>
            <w:r>
              <w:rPr>
                <w:sz w:val="17"/>
                <w:szCs w:val="17"/>
              </w:rPr>
              <w:t xml:space="preserve">43.5%</w:t>
            </w:r>
          </w:p>
        </w:tc>
        <w:tc>
          <w:tcPr>
            <w:tcW w:type="dxa" w:w="782"/>
            <w:shd w:fill="F2F5F9" w:color="auto" w:val="clear"/>
            <w:tcMar>
              <w:top w:type="dxa" w:w="40"/>
              <w:left w:type="dxa" w:w="70"/>
              <w:bottom w:type="dxa" w:w="40"/>
              <w:right w:type="dxa" w:w="70"/>
            </w:tcMar>
          </w:tcPr>
          <w:p>
            <w:pPr>
              <w:spacing w:after="0"/>
            </w:pPr>
            <w:r>
              <w:rPr>
                <w:sz w:val="17"/>
                <w:szCs w:val="17"/>
              </w:rPr>
              <w:t xml:space="preserve">10.8%</w:t>
            </w:r>
          </w:p>
        </w:tc>
        <w:tc>
          <w:tcPr>
            <w:tcW w:type="dxa" w:w="880"/>
            <w:shd w:fill="F2F5F9" w:color="auto" w:val="clear"/>
            <w:tcMar>
              <w:top w:type="dxa" w:w="40"/>
              <w:left w:type="dxa" w:w="70"/>
              <w:bottom w:type="dxa" w:w="40"/>
              <w:right w:type="dxa" w:w="70"/>
            </w:tcMar>
          </w:tcPr>
          <w:p>
            <w:pPr>
              <w:spacing w:after="0"/>
            </w:pPr>
            <w:r>
              <w:rPr>
                <w:sz w:val="17"/>
                <w:szCs w:val="17"/>
              </w:rPr>
              <w:t xml:space="preserve">36.9</w:t>
            </w:r>
          </w:p>
        </w:tc>
        <w:tc>
          <w:tcPr>
            <w:tcW w:type="dxa" w:w="880"/>
            <w:shd w:fill="F2F5F9" w:color="auto" w:val="clear"/>
            <w:tcMar>
              <w:top w:type="dxa" w:w="40"/>
              <w:left w:type="dxa" w:w="70"/>
              <w:bottom w:type="dxa" w:w="40"/>
              <w:right w:type="dxa" w:w="70"/>
            </w:tcMar>
          </w:tcPr>
          <w:p>
            <w:pPr>
              <w:spacing w:after="0"/>
            </w:pPr>
            <w:r>
              <w:rPr>
                <w:sz w:val="17"/>
                <w:szCs w:val="17"/>
              </w:rPr>
              <w:t xml:space="preserve">153</w:t>
            </w:r>
          </w:p>
        </w:tc>
        <w:tc>
          <w:tcPr>
            <w:tcW w:type="dxa" w:w="880"/>
            <w:shd w:fill="F2F5F9" w:color="auto" w:val="clear"/>
            <w:tcMar>
              <w:top w:type="dxa" w:w="40"/>
              <w:left w:type="dxa" w:w="70"/>
              <w:bottom w:type="dxa" w:w="40"/>
              <w:right w:type="dxa" w:w="70"/>
            </w:tcMar>
          </w:tcPr>
          <w:p>
            <w:pPr>
              <w:spacing w:after="0"/>
            </w:pPr>
            <w:r>
              <w:rPr>
                <w:sz w:val="17"/>
                <w:szCs w:val="17"/>
              </w:rPr>
              <w:t xml:space="preserve">145</w:t>
            </w:r>
          </w:p>
        </w:tc>
        <w:tc>
          <w:tcPr>
            <w:tcW w:type="dxa" w:w="782"/>
            <w:shd w:fill="F2F5F9" w:color="auto" w:val="clear"/>
            <w:tcMar>
              <w:top w:type="dxa" w:w="40"/>
              <w:left w:type="dxa" w:w="70"/>
              <w:bottom w:type="dxa" w:w="40"/>
              <w:right w:type="dxa" w:w="70"/>
            </w:tcMar>
          </w:tcPr>
          <w:p>
            <w:pPr>
              <w:spacing w:after="0"/>
            </w:pPr>
            <w:r>
              <w:rPr>
                <w:sz w:val="17"/>
                <w:szCs w:val="17"/>
              </w:rPr>
              <w:t xml:space="preserve">42%</w:t>
            </w:r>
          </w:p>
        </w:tc>
        <w:tc>
          <w:tcPr>
            <w:tcW w:type="dxa" w:w="879"/>
            <w:shd w:fill="F2F5F9" w:color="auto" w:val="clear"/>
            <w:tcMar>
              <w:top w:type="dxa" w:w="40"/>
              <w:left w:type="dxa" w:w="70"/>
              <w:bottom w:type="dxa" w:w="40"/>
              <w:right w:type="dxa" w:w="70"/>
            </w:tcMar>
          </w:tcPr>
          <w:p>
            <w:pPr>
              <w:spacing w:after="0"/>
            </w:pPr>
            <w:r>
              <w:rPr>
                <w:sz w:val="17"/>
                <w:szCs w:val="17"/>
              </w:rPr>
              <w:t xml:space="preserve">$5.48</w:t>
            </w:r>
          </w:p>
        </w:tc>
      </w:tr>
      <w:tr>
        <w:tc>
          <w:tcPr>
            <w:tcW w:type="dxa" w:w="2249"/>
            <w:shd w:fill="FFFFFF" w:color="auto" w:val="clear"/>
            <w:tcMar>
              <w:top w:type="dxa" w:w="40"/>
              <w:left w:type="dxa" w:w="70"/>
              <w:bottom w:type="dxa" w:w="40"/>
              <w:right w:type="dxa" w:w="70"/>
            </w:tcMar>
          </w:tcPr>
          <w:p>
            <w:pPr>
              <w:spacing w:after="0"/>
            </w:pPr>
            <w:r>
              <w:rPr>
                <w:sz w:val="17"/>
                <w:szCs w:val="17"/>
              </w:rPr>
              <w:t xml:space="preserve">Deal, second week (09-22 → 09-27)</w:t>
            </w:r>
          </w:p>
        </w:tc>
        <w:tc>
          <w:tcPr>
            <w:tcW w:type="dxa" w:w="880"/>
            <w:shd w:fill="FFFFFF" w:color="auto" w:val="clear"/>
            <w:tcMar>
              <w:top w:type="dxa" w:w="40"/>
              <w:left w:type="dxa" w:w="70"/>
              <w:bottom w:type="dxa" w:w="40"/>
              <w:right w:type="dxa" w:w="70"/>
            </w:tcMar>
          </w:tcPr>
          <w:p>
            <w:pPr>
              <w:spacing w:after="0"/>
            </w:pPr>
            <w:r>
              <w:rPr>
                <w:sz w:val="17"/>
                <w:szCs w:val="17"/>
              </w:rPr>
              <w:t xml:space="preserve">$1,142</w:t>
            </w:r>
          </w:p>
        </w:tc>
        <w:tc>
          <w:tcPr>
            <w:tcW w:type="dxa" w:w="978"/>
            <w:shd w:fill="FFFFFF" w:color="auto" w:val="clear"/>
            <w:tcMar>
              <w:top w:type="dxa" w:w="40"/>
              <w:left w:type="dxa" w:w="70"/>
              <w:bottom w:type="dxa" w:w="40"/>
              <w:right w:type="dxa" w:w="70"/>
            </w:tcMar>
          </w:tcPr>
          <w:p>
            <w:pPr>
              <w:spacing w:after="0"/>
            </w:pPr>
            <w:r>
              <w:rPr>
                <w:sz w:val="17"/>
                <w:szCs w:val="17"/>
              </w:rPr>
              <w:t xml:space="preserve">$2,541*</w:t>
            </w:r>
          </w:p>
        </w:tc>
        <w:tc>
          <w:tcPr>
            <w:tcW w:type="dxa" w:w="782"/>
            <w:shd w:fill="FFFFFF" w:color="auto" w:val="clear"/>
            <w:tcMar>
              <w:top w:type="dxa" w:w="40"/>
              <w:left w:type="dxa" w:w="70"/>
              <w:bottom w:type="dxa" w:w="40"/>
              <w:right w:type="dxa" w:w="70"/>
            </w:tcMar>
          </w:tcPr>
          <w:p>
            <w:pPr>
              <w:spacing w:after="0"/>
            </w:pPr>
            <w:r>
              <w:rPr>
                <w:sz w:val="17"/>
                <w:szCs w:val="17"/>
              </w:rPr>
              <w:t xml:space="preserve">45.0%*</w:t>
            </w:r>
          </w:p>
        </w:tc>
        <w:tc>
          <w:tcPr>
            <w:tcW w:type="dxa" w:w="782"/>
            <w:shd w:fill="FFFFFF" w:color="auto" w:val="clear"/>
            <w:tcMar>
              <w:top w:type="dxa" w:w="40"/>
              <w:left w:type="dxa" w:w="70"/>
              <w:bottom w:type="dxa" w:w="40"/>
              <w:right w:type="dxa" w:w="70"/>
            </w:tcMar>
          </w:tcPr>
          <w:p>
            <w:pPr>
              <w:spacing w:after="0"/>
            </w:pPr>
            <w:r>
              <w:rPr>
                <w:sz w:val="17"/>
                <w:szCs w:val="17"/>
              </w:rPr>
              <w:t xml:space="preserve">9.6%*</w:t>
            </w:r>
          </w:p>
        </w:tc>
        <w:tc>
          <w:tcPr>
            <w:tcW w:type="dxa" w:w="880"/>
            <w:shd w:fill="FFFFFF" w:color="auto" w:val="clear"/>
            <w:tcMar>
              <w:top w:type="dxa" w:w="40"/>
              <w:left w:type="dxa" w:w="70"/>
              <w:bottom w:type="dxa" w:w="40"/>
              <w:right w:type="dxa" w:w="70"/>
            </w:tcMar>
          </w:tcPr>
          <w:p>
            <w:pPr>
              <w:spacing w:after="0"/>
            </w:pPr>
            <w:r>
              <w:rPr>
                <w:sz w:val="17"/>
                <w:szCs w:val="17"/>
              </w:rPr>
              <w:t xml:space="preserve">35.8*</w:t>
            </w:r>
          </w:p>
        </w:tc>
        <w:tc>
          <w:tcPr>
            <w:tcW w:type="dxa" w:w="880"/>
            <w:shd w:fill="FFFFFF" w:color="auto" w:val="clear"/>
            <w:tcMar>
              <w:top w:type="dxa" w:w="40"/>
              <w:left w:type="dxa" w:w="70"/>
              <w:bottom w:type="dxa" w:w="40"/>
              <w:right w:type="dxa" w:w="70"/>
            </w:tcMar>
          </w:tcPr>
          <w:p>
            <w:pPr>
              <w:spacing w:after="0"/>
            </w:pPr>
            <w:r>
              <w:rPr>
                <w:sz w:val="17"/>
                <w:szCs w:val="17"/>
              </w:rPr>
              <w:t xml:space="preserve">147</w:t>
            </w:r>
          </w:p>
        </w:tc>
        <w:tc>
          <w:tcPr>
            <w:tcW w:type="dxa" w:w="880"/>
            <w:shd w:fill="FFFFFF" w:color="auto" w:val="clear"/>
            <w:tcMar>
              <w:top w:type="dxa" w:w="40"/>
              <w:left w:type="dxa" w:w="70"/>
              <w:bottom w:type="dxa" w:w="40"/>
              <w:right w:type="dxa" w:w="70"/>
            </w:tcMar>
          </w:tcPr>
          <w:p>
            <w:pPr>
              <w:spacing w:after="0"/>
            </w:pPr>
            <w:r>
              <w:rPr>
                <w:sz w:val="17"/>
                <w:szCs w:val="17"/>
              </w:rPr>
              <w:t xml:space="preserve">149</w:t>
            </w:r>
          </w:p>
        </w:tc>
        <w:tc>
          <w:tcPr>
            <w:tcW w:type="dxa" w:w="782"/>
            <w:shd w:fill="FFFFFF" w:color="auto" w:val="clear"/>
            <w:tcMar>
              <w:top w:type="dxa" w:w="40"/>
              <w:left w:type="dxa" w:w="70"/>
              <w:bottom w:type="dxa" w:w="40"/>
              <w:right w:type="dxa" w:w="70"/>
            </w:tcMar>
          </w:tcPr>
          <w:p>
            <w:pPr>
              <w:spacing w:after="0"/>
            </w:pPr>
            <w:r>
              <w:rPr>
                <w:sz w:val="17"/>
                <w:szCs w:val="17"/>
              </w:rPr>
              <w:t xml:space="preserve">37%</w:t>
            </w:r>
          </w:p>
        </w:tc>
        <w:tc>
          <w:tcPr>
            <w:tcW w:type="dxa" w:w="879"/>
            <w:shd w:fill="FFFFFF" w:color="auto" w:val="clear"/>
            <w:tcMar>
              <w:top w:type="dxa" w:w="40"/>
              <w:left w:type="dxa" w:w="70"/>
              <w:bottom w:type="dxa" w:w="40"/>
              <w:right w:type="dxa" w:w="70"/>
            </w:tcMar>
          </w:tcPr>
          <w:p>
            <w:pPr>
              <w:spacing w:after="0"/>
            </w:pPr>
            <w:r>
              <w:rPr>
                <w:sz w:val="17"/>
                <w:szCs w:val="17"/>
              </w:rPr>
              <w:t xml:space="preserve">$5.40</w:t>
            </w:r>
          </w:p>
        </w:tc>
      </w:tr>
    </w:tbl>
    <w:p>
      <w:pPr>
        <w:spacing w:after="120"/>
      </w:pPr>
      <w:r>
        <w:rPr>
          <w:i/>
          <w:iCs/>
          <w:color w:val="555555"/>
          <w:sz w:val="17"/>
          <w:szCs w:val="17"/>
        </w:rPr>
        <w:t xml:space="preserve">Command Center, product 59, all campaigns. TOS / PP = top of search / product pages, estimated by Command Center from the campaign placement report. TOS share is of all clicks, off-Amazon included. * Still settling: 7-day attribution fills in until 10-04.</w:t>
      </w:r>
    </w:p>
    <w:p>
      <w:pPr>
        <w:spacing w:after="100"/>
      </w:pPr>
      <w:r>
        <w:t xml:space="preserve">The deal raised spend 76% and ad sales 26% (13 days against the 13 before): orders went up a third, ACoS went from 31.5% to 44.1% against a 33.3% break-even, and CVR fell from 12.5% to 10.2%. Top of search went from 94 to about 150 clicks a day, but product pages grew almost as much, so top of search stayed near 40% of clicks. The effective top-of-search bid rose once, at the start of the deal, and did not move again (Part C1).</w:t>
      </w:r>
    </w:p>
    <w:p>
      <w:pPr>
        <w:pStyle w:val="Heading2"/>
      </w:pPr>
      <w:r>
        <w:t xml:space="preserve">What the audit plans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872"/>
      </w:tblGrid>
      <w:tr>
        <w:trPr>
          <w:tblHeader/>
        </w:trPr>
        <w:tc>
          <w:tcPr>
            <w:tcW w:type="dxa" w:w="3000"/>
            <w:shd w:fill="1F3A5F" w:color="auto" w:val="clear"/>
            <w:tcMar>
              <w:top w:type="dxa" w:w="40"/>
              <w:left w:type="dxa" w:w="70"/>
              <w:bottom w:type="dxa" w:w="40"/>
              <w:right w:type="dxa" w:w="70"/>
            </w:tcMar>
          </w:tcPr>
          <w:p>
            <w:pPr>
              <w:spacing w:after="0"/>
            </w:pPr>
            <w:r>
              <w:rPr>
                <w:b/>
                <w:bCs/>
                <w:color w:val="FFFFFF"/>
                <w:sz w:val="17"/>
                <w:szCs w:val="17"/>
              </w:rPr>
              <w:t xml:space="preserve">Per day unless stated</w:t>
            </w:r>
          </w:p>
        </w:tc>
        <w:tc>
          <w:tcPr>
            <w:tcW w:type="dxa" w:w="1700"/>
            <w:shd w:fill="1F3A5F" w:color="auto" w:val="clear"/>
            <w:tcMar>
              <w:top w:type="dxa" w:w="40"/>
              <w:left w:type="dxa" w:w="70"/>
              <w:bottom w:type="dxa" w:w="40"/>
              <w:right w:type="dxa" w:w="70"/>
            </w:tcMar>
          </w:tcPr>
          <w:p>
            <w:pPr>
              <w:spacing w:after="0"/>
            </w:pPr>
            <w:r>
              <w:rPr>
                <w:b/>
                <w:bCs/>
                <w:color w:val="FFFFFF"/>
                <w:sz w:val="17"/>
                <w:szCs w:val="17"/>
              </w:rPr>
              <w:t xml:space="preserve">Before (engine baseline)</w:t>
            </w:r>
          </w:p>
        </w:tc>
        <w:tc>
          <w:tcPr>
            <w:tcW w:type="dxa" w:w="1700"/>
            <w:shd w:fill="1F3A5F" w:color="auto" w:val="clear"/>
            <w:tcMar>
              <w:top w:type="dxa" w:w="40"/>
              <w:left w:type="dxa" w:w="70"/>
              <w:bottom w:type="dxa" w:w="40"/>
              <w:right w:type="dxa" w:w="70"/>
            </w:tcMar>
          </w:tcPr>
          <w:p>
            <w:pPr>
              <w:spacing w:after="0"/>
            </w:pPr>
            <w:r>
              <w:rPr>
                <w:b/>
                <w:bCs/>
                <w:color w:val="FFFFFF"/>
                <w:sz w:val="17"/>
                <w:szCs w:val="17"/>
              </w:rPr>
              <w:t xml:space="preserve">Engine plan</w:t>
            </w:r>
          </w:p>
        </w:tc>
        <w:tc>
          <w:tcPr>
            <w:tcW w:type="dxa" w:w="1700"/>
            <w:shd w:fill="1F3A5F" w:color="auto" w:val="clear"/>
            <w:tcMar>
              <w:top w:type="dxa" w:w="40"/>
              <w:left w:type="dxa" w:w="70"/>
              <w:bottom w:type="dxa" w:w="40"/>
              <w:right w:type="dxa" w:w="70"/>
            </w:tcMar>
          </w:tcPr>
          <w:p>
            <w:pPr>
              <w:spacing w:after="0"/>
            </w:pPr>
            <w:r>
              <w:rPr>
                <w:b/>
                <w:bCs/>
                <w:color w:val="FFFFFF"/>
                <w:sz w:val="17"/>
                <w:szCs w:val="17"/>
              </w:rPr>
              <w:t xml:space="preserve">After the review</w:t>
            </w:r>
          </w:p>
        </w:tc>
        <w:tc>
          <w:tcPr>
            <w:tcW w:type="dxa" w:w="1872"/>
            <w:shd w:fill="1F3A5F" w:color="auto" w:val="clear"/>
            <w:tcMar>
              <w:top w:type="dxa" w:w="40"/>
              <w:left w:type="dxa" w:w="70"/>
              <w:bottom w:type="dxa" w:w="40"/>
              <w:right w:type="dxa" w:w="70"/>
            </w:tcMar>
          </w:tcPr>
          <w:p>
            <w:pPr>
              <w:spacing w:after="0"/>
            </w:pPr>
            <w:r>
              <w:rPr>
                <w:b/>
                <w:bCs/>
                <w:color w:val="FFFFFF"/>
                <w:sz w:val="17"/>
                <w:szCs w:val="17"/>
              </w:rPr>
              <w:t xml:space="preserve">Read with</w:t>
            </w:r>
          </w:p>
        </w:tc>
      </w:tr>
      <w:tr>
        <w:tc>
          <w:tcPr>
            <w:tcW w:type="dxa" w:w="3000"/>
            <w:shd w:fill="FFFFFF" w:color="auto" w:val="clear"/>
            <w:tcMar>
              <w:top w:type="dxa" w:w="40"/>
              <w:left w:type="dxa" w:w="70"/>
              <w:bottom w:type="dxa" w:w="40"/>
              <w:right w:type="dxa" w:w="70"/>
            </w:tcMar>
          </w:tcPr>
          <w:p>
            <w:pPr>
              <w:spacing w:after="0"/>
            </w:pPr>
            <w:r>
              <w:rPr>
                <w:sz w:val="17"/>
                <w:szCs w:val="17"/>
              </w:rPr>
              <w:t xml:space="preserve">Ad spend</w:t>
            </w:r>
          </w:p>
        </w:tc>
        <w:tc>
          <w:tcPr>
            <w:tcW w:type="dxa" w:w="1700"/>
            <w:shd w:fill="FFFFFF" w:color="auto" w:val="clear"/>
            <w:tcMar>
              <w:top w:type="dxa" w:w="40"/>
              <w:left w:type="dxa" w:w="70"/>
              <w:bottom w:type="dxa" w:w="40"/>
              <w:right w:type="dxa" w:w="70"/>
            </w:tcMar>
          </w:tcPr>
          <w:p>
            <w:pPr>
              <w:spacing w:after="0"/>
            </w:pPr>
            <w:r>
              <w:rPr>
                <w:sz w:val="17"/>
                <w:szCs w:val="17"/>
              </w:rPr>
              <w:t xml:space="preserve">$1,107</w:t>
            </w:r>
          </w:p>
        </w:tc>
        <w:tc>
          <w:tcPr>
            <w:tcW w:type="dxa" w:w="1700"/>
            <w:shd w:fill="FFFFFF" w:color="auto" w:val="clear"/>
            <w:tcMar>
              <w:top w:type="dxa" w:w="40"/>
              <w:left w:type="dxa" w:w="70"/>
              <w:bottom w:type="dxa" w:w="40"/>
              <w:right w:type="dxa" w:w="70"/>
            </w:tcMar>
          </w:tcPr>
          <w:p>
            <w:pPr>
              <w:spacing w:after="0"/>
            </w:pPr>
            <w:r>
              <w:rPr>
                <w:sz w:val="17"/>
                <w:szCs w:val="17"/>
              </w:rPr>
              <w:t xml:space="preserve">$1,384</w:t>
            </w:r>
          </w:p>
        </w:tc>
        <w:tc>
          <w:tcPr>
            <w:tcW w:type="dxa" w:w="1700"/>
            <w:shd w:fill="FFFFFF" w:color="auto" w:val="clear"/>
            <w:tcMar>
              <w:top w:type="dxa" w:w="40"/>
              <w:left w:type="dxa" w:w="70"/>
              <w:bottom w:type="dxa" w:w="40"/>
              <w:right w:type="dxa" w:w="70"/>
            </w:tcMar>
          </w:tcPr>
          <w:p>
            <w:pPr>
              <w:spacing w:after="0"/>
            </w:pPr>
            <w:r>
              <w:rPr>
                <w:sz w:val="17"/>
                <w:szCs w:val="17"/>
              </w:rPr>
              <w:t xml:space="preserve">$1,293</w:t>
            </w:r>
          </w:p>
        </w:tc>
        <w:tc>
          <w:tcPr>
            <w:tcW w:type="dxa" w:w="1872"/>
            <w:shd w:fill="FFFFFF" w:color="auto" w:val="clear"/>
            <w:tcMar>
              <w:top w:type="dxa" w:w="40"/>
              <w:left w:type="dxa" w:w="70"/>
              <w:bottom w:type="dxa" w:w="40"/>
              <w:right w:type="dxa" w:w="70"/>
            </w:tcMar>
          </w:tcPr>
          <w:p>
            <w:pPr>
              <w:spacing w:after="0"/>
            </w:pPr>
            <w:r>
              <w:rPr>
                <w:sz w:val="17"/>
                <w:szCs w:val="17"/>
              </w:rPr>
              <w:t xml:space="preserve">Baseline is 14 deal days</w:t>
            </w:r>
          </w:p>
        </w:tc>
      </w:tr>
      <w:tr>
        <w:tc>
          <w:tcPr>
            <w:tcW w:type="dxa" w:w="3000"/>
            <w:shd w:fill="F2F5F9" w:color="auto" w:val="clear"/>
            <w:tcMar>
              <w:top w:type="dxa" w:w="40"/>
              <w:left w:type="dxa" w:w="70"/>
              <w:bottom w:type="dxa" w:w="40"/>
              <w:right w:type="dxa" w:w="70"/>
            </w:tcMar>
          </w:tcPr>
          <w:p>
            <w:pPr>
              <w:spacing w:after="0"/>
            </w:pPr>
            <w:r>
              <w:rPr>
                <w:sz w:val="17"/>
                <w:szCs w:val="17"/>
              </w:rPr>
              <w:t xml:space="preserve">Ad sales</w:t>
            </w:r>
          </w:p>
        </w:tc>
        <w:tc>
          <w:tcPr>
            <w:tcW w:type="dxa" w:w="1700"/>
            <w:shd w:fill="F2F5F9" w:color="auto" w:val="clear"/>
            <w:tcMar>
              <w:top w:type="dxa" w:w="40"/>
              <w:left w:type="dxa" w:w="70"/>
              <w:bottom w:type="dxa" w:w="40"/>
              <w:right w:type="dxa" w:w="70"/>
            </w:tcMar>
          </w:tcPr>
          <w:p>
            <w:pPr>
              <w:spacing w:after="0"/>
            </w:pPr>
            <w:r>
              <w:rPr>
                <w:sz w:val="17"/>
                <w:szCs w:val="17"/>
              </w:rPr>
              <w:t xml:space="preserve">$2,722</w:t>
            </w:r>
          </w:p>
        </w:tc>
        <w:tc>
          <w:tcPr>
            <w:tcW w:type="dxa" w:w="1700"/>
            <w:shd w:fill="F2F5F9" w:color="auto" w:val="clear"/>
            <w:tcMar>
              <w:top w:type="dxa" w:w="40"/>
              <w:left w:type="dxa" w:w="70"/>
              <w:bottom w:type="dxa" w:w="40"/>
              <w:right w:type="dxa" w:w="70"/>
            </w:tcMar>
          </w:tcPr>
          <w:p>
            <w:pPr>
              <w:spacing w:after="0"/>
            </w:pPr>
            <w:r>
              <w:rPr>
                <w:sz w:val="17"/>
                <w:szCs w:val="17"/>
              </w:rPr>
              <w:t xml:space="preserve">$3,096</w:t>
            </w:r>
          </w:p>
        </w:tc>
        <w:tc>
          <w:tcPr>
            <w:tcW w:type="dxa" w:w="1700"/>
            <w:shd w:fill="F2F5F9" w:color="auto" w:val="clear"/>
            <w:tcMar>
              <w:top w:type="dxa" w:w="40"/>
              <w:left w:type="dxa" w:w="70"/>
              <w:bottom w:type="dxa" w:w="40"/>
              <w:right w:type="dxa" w:w="70"/>
            </w:tcMar>
          </w:tcPr>
          <w:p>
            <w:pPr>
              <w:spacing w:after="0"/>
            </w:pPr>
            <w:r>
              <w:rPr>
                <w:sz w:val="17"/>
                <w:szCs w:val="17"/>
              </w:rPr>
              <w:t xml:space="preserve">$3,055</w:t>
            </w:r>
          </w:p>
        </w:tc>
        <w:tc>
          <w:tcPr>
            <w:tcW w:type="dxa" w:w="1872"/>
            <w:shd w:fill="F2F5F9" w:color="auto" w:val="clear"/>
            <w:tcMar>
              <w:top w:type="dxa" w:w="40"/>
              <w:left w:type="dxa" w:w="70"/>
              <w:bottom w:type="dxa" w:w="40"/>
              <w:right w:type="dxa" w:w="70"/>
            </w:tcMar>
          </w:tcPr>
          <w:p>
            <w:pPr>
              <w:spacing w:after="0"/>
            </w:pPr>
            <w:r>
              <w:rPr>
                <w:sz w:val="17"/>
                <w:szCs w:val="17"/>
              </w:rPr>
              <w:t xml:space="preserve">Deal price in the baseline</w:t>
            </w:r>
          </w:p>
        </w:tc>
      </w:tr>
      <w:tr>
        <w:tc>
          <w:tcPr>
            <w:tcW w:type="dxa" w:w="3000"/>
            <w:shd w:fill="FFFFFF" w:color="auto" w:val="clear"/>
            <w:tcMar>
              <w:top w:type="dxa" w:w="40"/>
              <w:left w:type="dxa" w:w="70"/>
              <w:bottom w:type="dxa" w:w="40"/>
              <w:right w:type="dxa" w:w="70"/>
            </w:tcMar>
          </w:tcPr>
          <w:p>
            <w:pPr>
              <w:spacing w:after="0"/>
            </w:pPr>
            <w:r>
              <w:rPr>
                <w:sz w:val="17"/>
                <w:szCs w:val="17"/>
              </w:rPr>
              <w:t xml:space="preserve">ACoS</w:t>
            </w:r>
          </w:p>
        </w:tc>
        <w:tc>
          <w:tcPr>
            <w:tcW w:type="dxa" w:w="1700"/>
            <w:shd w:fill="FFFFFF" w:color="auto" w:val="clear"/>
            <w:tcMar>
              <w:top w:type="dxa" w:w="40"/>
              <w:left w:type="dxa" w:w="70"/>
              <w:bottom w:type="dxa" w:w="40"/>
              <w:right w:type="dxa" w:w="70"/>
            </w:tcMar>
          </w:tcPr>
          <w:p>
            <w:pPr>
              <w:spacing w:after="0"/>
            </w:pPr>
            <w:r>
              <w:rPr>
                <w:sz w:val="17"/>
                <w:szCs w:val="17"/>
              </w:rPr>
              <w:t xml:space="preserve">40.7%</w:t>
            </w:r>
          </w:p>
        </w:tc>
        <w:tc>
          <w:tcPr>
            <w:tcW w:type="dxa" w:w="1700"/>
            <w:shd w:fill="FFFFFF" w:color="auto" w:val="clear"/>
            <w:tcMar>
              <w:top w:type="dxa" w:w="40"/>
              <w:left w:type="dxa" w:w="70"/>
              <w:bottom w:type="dxa" w:w="40"/>
              <w:right w:type="dxa" w:w="70"/>
            </w:tcMar>
          </w:tcPr>
          <w:p>
            <w:pPr>
              <w:spacing w:after="0"/>
            </w:pPr>
            <w:r>
              <w:rPr>
                <w:sz w:val="17"/>
                <w:szCs w:val="17"/>
              </w:rPr>
              <w:t xml:space="preserve">44.7%</w:t>
            </w:r>
          </w:p>
        </w:tc>
        <w:tc>
          <w:tcPr>
            <w:tcW w:type="dxa" w:w="1700"/>
            <w:shd w:fill="FFFFFF" w:color="auto" w:val="clear"/>
            <w:tcMar>
              <w:top w:type="dxa" w:w="40"/>
              <w:left w:type="dxa" w:w="70"/>
              <w:bottom w:type="dxa" w:w="40"/>
              <w:right w:type="dxa" w:w="70"/>
            </w:tcMar>
          </w:tcPr>
          <w:p>
            <w:pPr>
              <w:spacing w:after="0"/>
            </w:pPr>
            <w:r>
              <w:rPr>
                <w:sz w:val="17"/>
                <w:szCs w:val="17"/>
              </w:rPr>
              <w:t xml:space="preserve">42.3%</w:t>
            </w:r>
          </w:p>
        </w:tc>
        <w:tc>
          <w:tcPr>
            <w:tcW w:type="dxa" w:w="1872"/>
            <w:shd w:fill="FFFFFF" w:color="auto" w:val="clear"/>
            <w:tcMar>
              <w:top w:type="dxa" w:w="40"/>
              <w:left w:type="dxa" w:w="70"/>
              <w:bottom w:type="dxa" w:w="40"/>
              <w:right w:type="dxa" w:w="70"/>
            </w:tcMar>
          </w:tcPr>
          <w:p>
            <w:pPr>
              <w:spacing w:after="0"/>
            </w:pPr>
            <w:r>
              <w:rPr>
                <w:sz w:val="17"/>
                <w:szCs w:val="17"/>
              </w:rPr>
              <w:t xml:space="preserve">Break-even 33.3% (brief)</w:t>
            </w:r>
          </w:p>
        </w:tc>
      </w:tr>
      <w:tr>
        <w:tc>
          <w:tcPr>
            <w:tcW w:type="dxa" w:w="3000"/>
            <w:shd w:fill="F2F5F9" w:color="auto" w:val="clear"/>
            <w:tcMar>
              <w:top w:type="dxa" w:w="40"/>
              <w:left w:type="dxa" w:w="70"/>
              <w:bottom w:type="dxa" w:w="40"/>
              <w:right w:type="dxa" w:w="70"/>
            </w:tcMar>
          </w:tcPr>
          <w:p>
            <w:pPr>
              <w:spacing w:after="0"/>
            </w:pPr>
            <w:r>
              <w:rPr>
                <w:sz w:val="17"/>
                <w:szCs w:val="17"/>
              </w:rPr>
              <w:t xml:space="preserve">TACoS</w:t>
            </w:r>
          </w:p>
        </w:tc>
        <w:tc>
          <w:tcPr>
            <w:tcW w:type="dxa" w:w="1700"/>
            <w:shd w:fill="F2F5F9" w:color="auto" w:val="clear"/>
            <w:tcMar>
              <w:top w:type="dxa" w:w="40"/>
              <w:left w:type="dxa" w:w="70"/>
              <w:bottom w:type="dxa" w:w="40"/>
              <w:right w:type="dxa" w:w="70"/>
            </w:tcMar>
          </w:tcPr>
          <w:p>
            <w:pPr>
              <w:spacing w:after="0"/>
            </w:pPr>
            <w:r>
              <w:rPr>
                <w:sz w:val="17"/>
                <w:szCs w:val="17"/>
              </w:rPr>
              <w:t xml:space="preserve">21.3%</w:t>
            </w:r>
          </w:p>
        </w:tc>
        <w:tc>
          <w:tcPr>
            <w:tcW w:type="dxa" w:w="1700"/>
            <w:shd w:fill="F2F5F9" w:color="auto" w:val="clear"/>
            <w:tcMar>
              <w:top w:type="dxa" w:w="40"/>
              <w:left w:type="dxa" w:w="70"/>
              <w:bottom w:type="dxa" w:w="40"/>
              <w:right w:type="dxa" w:w="70"/>
            </w:tcMar>
          </w:tcPr>
          <w:p>
            <w:pPr>
              <w:spacing w:after="0"/>
            </w:pPr>
            <w:r>
              <w:rPr>
                <w:sz w:val="17"/>
                <w:szCs w:val="17"/>
              </w:rPr>
              <w:t xml:space="preserve">24.8%</w:t>
            </w:r>
          </w:p>
        </w:tc>
        <w:tc>
          <w:tcPr>
            <w:tcW w:type="dxa" w:w="1700"/>
            <w:shd w:fill="F2F5F9" w:color="auto" w:val="clear"/>
            <w:tcMar>
              <w:top w:type="dxa" w:w="40"/>
              <w:left w:type="dxa" w:w="70"/>
              <w:bottom w:type="dxa" w:w="40"/>
              <w:right w:type="dxa" w:w="70"/>
            </w:tcMar>
          </w:tcPr>
          <w:p>
            <w:pPr>
              <w:spacing w:after="0"/>
            </w:pPr>
            <w:r>
              <w:rPr>
                <w:sz w:val="17"/>
                <w:szCs w:val="17"/>
              </w:rPr>
              <w:t xml:space="preserve">23.4%</w:t>
            </w:r>
          </w:p>
        </w:tc>
        <w:tc>
          <w:tcPr>
            <w:tcW w:type="dxa" w:w="1872"/>
            <w:shd w:fill="F2F5F9" w:color="auto" w:val="clear"/>
            <w:tcMar>
              <w:top w:type="dxa" w:w="40"/>
              <w:left w:type="dxa" w:w="70"/>
              <w:bottom w:type="dxa" w:w="40"/>
              <w:right w:type="dxa" w:w="70"/>
            </w:tcMar>
          </w:tcPr>
          <w:p>
            <w:pPr>
              <w:spacing w:after="0"/>
            </w:pPr>
            <w:r>
              <w:rPr>
                <w:sz w:val="17"/>
                <w:szCs w:val="17"/>
              </w:rPr>
              <w:t xml:space="preserve">Inside the 25% ranking rung</w:t>
            </w:r>
          </w:p>
        </w:tc>
      </w:tr>
      <w:tr>
        <w:tc>
          <w:tcPr>
            <w:tcW w:type="dxa" w:w="3000"/>
            <w:shd w:fill="FFFFFF" w:color="auto" w:val="clear"/>
            <w:tcMar>
              <w:top w:type="dxa" w:w="40"/>
              <w:left w:type="dxa" w:w="70"/>
              <w:bottom w:type="dxa" w:w="40"/>
              <w:right w:type="dxa" w:w="70"/>
            </w:tcMar>
          </w:tcPr>
          <w:p>
            <w:pPr>
              <w:spacing w:after="0"/>
            </w:pPr>
            <w:r>
              <w:rPr>
                <w:sz w:val="17"/>
                <w:szCs w:val="17"/>
              </w:rPr>
              <w:t xml:space="preserve">Top-of-search clicks / week (changed campaigns)</w:t>
            </w:r>
          </w:p>
        </w:tc>
        <w:tc>
          <w:tcPr>
            <w:tcW w:type="dxa" w:w="1700"/>
            <w:shd w:fill="FFFFFF" w:color="auto" w:val="clear"/>
            <w:tcMar>
              <w:top w:type="dxa" w:w="40"/>
              <w:left w:type="dxa" w:w="70"/>
              <w:bottom w:type="dxa" w:w="40"/>
              <w:right w:type="dxa" w:w="70"/>
            </w:tcMar>
          </w:tcPr>
          <w:p>
            <w:pPr>
              <w:spacing w:after="0"/>
            </w:pPr>
            <w:r>
              <w:rPr>
                <w:sz w:val="17"/>
                <w:szCs w:val="17"/>
              </w:rPr>
              <w:t xml:space="preserve">19.8</w:t>
            </w:r>
          </w:p>
        </w:tc>
        <w:tc>
          <w:tcPr>
            <w:tcW w:type="dxa" w:w="1700"/>
            <w:shd w:fill="FFFFFF" w:color="auto" w:val="clear"/>
            <w:tcMar>
              <w:top w:type="dxa" w:w="40"/>
              <w:left w:type="dxa" w:w="70"/>
              <w:bottom w:type="dxa" w:w="40"/>
              <w:right w:type="dxa" w:w="70"/>
            </w:tcMar>
          </w:tcPr>
          <w:p>
            <w:pPr>
              <w:spacing w:after="0"/>
            </w:pPr>
            <w:r>
              <w:rPr>
                <w:sz w:val="17"/>
                <w:szCs w:val="17"/>
              </w:rPr>
              <w:t xml:space="preserve">221.9</w:t>
            </w:r>
          </w:p>
        </w:tc>
        <w:tc>
          <w:tcPr>
            <w:tcW w:type="dxa" w:w="1700"/>
            <w:shd w:fill="FFFFFF" w:color="auto" w:val="clear"/>
            <w:tcMar>
              <w:top w:type="dxa" w:w="40"/>
              <w:left w:type="dxa" w:w="70"/>
              <w:bottom w:type="dxa" w:w="40"/>
              <w:right w:type="dxa" w:w="70"/>
            </w:tcMar>
          </w:tcPr>
          <w:p>
            <w:pPr>
              <w:spacing w:after="0"/>
            </w:pPr>
            <w:r>
              <w:rPr>
                <w:sz w:val="17"/>
                <w:szCs w:val="17"/>
              </w:rPr>
              <w:t xml:space="preserve">192.1</w:t>
            </w:r>
          </w:p>
        </w:tc>
        <w:tc>
          <w:tcPr>
            <w:tcW w:type="dxa" w:w="1872"/>
            <w:shd w:fill="FFFFFF" w:color="auto" w:val="clear"/>
            <w:tcMar>
              <w:top w:type="dxa" w:w="40"/>
              <w:left w:type="dxa" w:w="70"/>
              <w:bottom w:type="dxa" w:w="40"/>
              <w:right w:type="dxa" w:w="70"/>
            </w:tcMar>
          </w:tcPr>
          <w:p>
            <w:pPr>
              <w:spacing w:after="0"/>
            </w:pPr>
            <w:r>
              <w:rPr>
                <w:sz w:val="17"/>
                <w:szCs w:val="17"/>
              </w:rPr>
              <w:t xml:space="preserve">See C6: about 20–30 is buyable</w:t>
            </w:r>
          </w:p>
        </w:tc>
      </w:tr>
    </w:tbl>
    <w:p>
      <w:pPr>
        <w:spacing w:after="40"/>
      </w:pPr>
    </w:p>
    <w:p>
      <w:pPr>
        <w:pStyle w:val="Heading2"/>
      </w:pPr>
      <w:r>
        <w:t xml:space="preserve">Windows and sources</w:t>
      </w:r>
    </w:p>
    <w:p>
      <w:pPr>
        <w:spacing w:after="100"/>
      </w:pPr>
      <w:r>
        <w:t xml:space="preserve">The audit export (JSON and workbook) for run 20260928-9e6e6bb5: 343 decisions, 2,106 considered rows, the brief and review 22. Engine figures are as of the audit. Campaign 14-day spend covers 09-14 → 09-27, all of them deal days; clicks and orders are 90 days; keyword ranks are single tracker readings. From Command Center: product and syntax-group summaries for 09-15 → 09-27 against 09-02 → 09-14, the daily placement split for all keywords, and group ranks as 7-day medians of the daily crawl. Orders in the last seven days are still filling in (7-day attribution). The logic (§12) voids any read with a deal week inside its window. Every 14-day figure in this audit is a deal figure, and the 90-day figures carry 13 deal days (C1b).</w:t>
      </w:r>
    </w:p>
    <w:p>
      <w:pPr>
        <w:pStyle w:val="Heading1"/>
      </w:pPr>
      <w:r>
        <w:t xml:space="preserve">Part A — In focus: Bamboo|California King and Bamboo|Cooling</w:t>
      </w:r>
    </w:p>
    <w:p>
      <w:pPr>
        <w:spacing w:after="100"/>
      </w:pPr>
      <w:r>
        <w:rPr>
          <w:b/>
          <w:bCs/>
          <w:color w:val="1F3A5F"/>
        </w:rPr>
        <w:t xml:space="preserve">The rule (the logic, §4–§11). </w:t>
      </w:r>
      <w:r>
        <w:t xml:space="preserve">Each in-focus row decides one top-of-search price, and the modifier is divided out from it.</w:t>
      </w:r>
    </w:p>
    <w:p>
      <w:pPr>
        <w:pStyle w:val="ListParagraph"/>
        <w:numPr>
          <w:ilvl w:val="0"/>
          <w:numId w:val="2"/>
        </w:numPr>
        <w:spacing w:after="60"/>
      </w:pPr>
      <w:r>
        <w:rPr>
          <w:b/>
          <w:bCs/>
        </w:rPr>
        <w:t xml:space="preserve">Target. </w:t>
      </w:r>
      <w:r>
        <w:t xml:space="preserve">The ceiling (contribution × top-of-search conversion) lifted by the binding gap. A gap up to 1.5× lifts it 0.25; beyond that, the lift is (ratio − 1) × 0.5.</w:t>
      </w:r>
    </w:p>
    <w:p>
      <w:pPr>
        <w:pStyle w:val="ListParagraph"/>
        <w:numPr>
          <w:ilvl w:val="0"/>
          <w:numId w:val="2"/>
        </w:numPr>
        <w:spacing w:after="60"/>
      </w:pPr>
      <w:r>
        <w:rPr>
          <w:b/>
          <w:bCs/>
        </w:rPr>
        <w:t xml:space="preserve">Bound. </w:t>
      </w:r>
      <w:r>
        <w:t xml:space="preserve">The target is held to the market bound: what the position clears at, plus 15%.</w:t>
      </w:r>
    </w:p>
    <w:p>
      <w:pPr>
        <w:pStyle w:val="ListParagraph"/>
        <w:numPr>
          <w:ilvl w:val="0"/>
          <w:numId w:val="2"/>
        </w:numPr>
        <w:spacing w:after="60"/>
      </w:pPr>
      <w:r>
        <w:rPr>
          <w:b/>
          <w:bCs/>
        </w:rPr>
        <w:t xml:space="preserve">Step. </w:t>
      </w:r>
      <w:r>
        <w:t xml:space="preserve">Each write climbs at most 20–30% of the current price toward the target.</w:t>
      </w:r>
    </w:p>
    <w:p>
      <w:pPr>
        <w:pStyle w:val="ListParagraph"/>
        <w:numPr>
          <w:ilvl w:val="0"/>
          <w:numId w:val="2"/>
        </w:numPr>
        <w:spacing w:after="60"/>
      </w:pPr>
      <w:r>
        <w:rPr>
          <w:b/>
          <w:bCs/>
        </w:rPr>
        <w:t xml:space="preserve">Budget. </w:t>
      </w:r>
      <w:r>
        <w:t xml:space="preserve">Required clicks × this write’s price (§7).</w:t>
      </w:r>
    </w:p>
    <w:p>
      <w:pPr>
        <w:pStyle w:val="ListParagraph"/>
        <w:numPr>
          <w:ilvl w:val="0"/>
          <w:numId w:val="2"/>
        </w:numPr>
        <w:spacing w:after="60"/>
      </w:pPr>
      <w:r>
        <w:rPr>
          <w:b/>
          <w:bCs/>
        </w:rPr>
        <w:t xml:space="preserve">What a push must carry. </w:t>
      </w:r>
      <w:r>
        <w:t xml:space="preserve">A rank prediction (§11); without one it is priced at the ceiling. A term with no rank on file is ceiling only (§6). The delivery gap lifts the price only when the budget is intact and impression share is low (§6).</w:t>
      </w:r>
    </w:p>
    <w:p>
      <w:pPr>
        <w:pStyle w:val="ListParagraph"/>
        <w:numPr>
          <w:ilvl w:val="0"/>
          <w:numId w:val="2"/>
        </w:numPr>
        <w:spacing w:after="60"/>
      </w:pPr>
      <w:r>
        <w:rPr>
          <w:b/>
          <w:bCs/>
        </w:rPr>
        <w:t xml:space="preserve">Rows not delivering. </w:t>
      </w:r>
      <w:r>
        <w:t xml:space="preserve">No clicks arriving: hold the base and move the modifier only (§12). A down-only campaign that is not delivering is checked for suppression before its price is raised again (§10).</w:t>
      </w:r>
    </w:p>
    <w:p>
      <w:pPr>
        <w:spacing w:after="100"/>
      </w:pPr>
      <w:r>
        <w:t xml:space="preserve">The deal is over, so the push now sells at list price, and the logic (§6) asks for sales velocity in the window before a wide gap is funded. The next velocity window is the 10-26 Lightning Deal.</w:t>
      </w:r>
    </w:p>
    <w:p>
      <w:pPr>
        <w:spacing w:after="100"/>
      </w:pPr>
      <w:r>
        <w:rPr>
          <w:b/>
          <w:bCs/>
          <w:color w:val="1F3A5F"/>
        </w:rPr>
        <w:t xml:space="preserve">What the audit did. </w:t>
      </w:r>
      <w:r>
        <w:t xml:space="preserve">It wrote 11 top-of-search rows in focus: three dose pushes at +75%, seven pushes of +11% to +30%, and one +9% (row 31, held by the review). It also wrote four budget raises, which a failed code check held automatically, and six bid cuts. The review held 31 and its base (34), corrected 293 and passed the rest.</w:t>
      </w:r>
    </w:p>
    <w:p>
      <w:pPr>
        <w:pStyle w:val="Heading1"/>
      </w:pPr>
      <w:r>
        <w:t xml:space="preserve">A1. The push in numbers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53"/>
        <w:gridCol w:w="2367"/>
        <w:gridCol w:w="907"/>
        <w:gridCol w:w="806"/>
        <w:gridCol w:w="705"/>
        <w:gridCol w:w="1511"/>
        <w:gridCol w:w="806"/>
        <w:gridCol w:w="1511"/>
        <w:gridCol w:w="906"/>
      </w:tblGrid>
      <w:tr>
        <w:trPr>
          <w:tblHeader/>
        </w:trPr>
        <w:tc>
          <w:tcPr>
            <w:tcW w:type="dxa" w:w="453"/>
            <w:shd w:fill="1F3A5F" w:color="auto" w:val="clear"/>
            <w:tcMar>
              <w:top w:type="dxa" w:w="40"/>
              <w:left w:type="dxa" w:w="70"/>
              <w:bottom w:type="dxa" w:w="40"/>
              <w:right w:type="dxa" w:w="70"/>
            </w:tcMar>
          </w:tcPr>
          <w:p>
            <w:pPr>
              <w:spacing w:after="0"/>
            </w:pPr>
            <w:r>
              <w:rPr>
                <w:b/>
                <w:bCs/>
                <w:color w:val="FFFFFF"/>
                <w:sz w:val="17"/>
                <w:szCs w:val="17"/>
              </w:rPr>
              <w:t xml:space="preserve">Seq</w:t>
            </w:r>
          </w:p>
        </w:tc>
        <w:tc>
          <w:tcPr>
            <w:tcW w:type="dxa" w:w="2367"/>
            <w:shd w:fill="1F3A5F" w:color="auto" w:val="clear"/>
            <w:tcMar>
              <w:top w:type="dxa" w:w="40"/>
              <w:left w:type="dxa" w:w="70"/>
              <w:bottom w:type="dxa" w:w="40"/>
              <w:right w:type="dxa" w:w="70"/>
            </w:tcMar>
          </w:tcPr>
          <w:p>
            <w:pPr>
              <w:spacing w:after="0"/>
            </w:pPr>
            <w:r>
              <w:rPr>
                <w:b/>
                <w:bCs/>
                <w:color w:val="FFFFFF"/>
                <w:sz w:val="17"/>
                <w:szCs w:val="17"/>
              </w:rPr>
              <w:t xml:space="preserve">Campaign · term</w:t>
            </w:r>
          </w:p>
        </w:tc>
        <w:tc>
          <w:tcPr>
            <w:tcW w:type="dxa" w:w="907"/>
            <w:shd w:fill="1F3A5F" w:color="auto" w:val="clear"/>
            <w:tcMar>
              <w:top w:type="dxa" w:w="40"/>
              <w:left w:type="dxa" w:w="70"/>
              <w:bottom w:type="dxa" w:w="40"/>
              <w:right w:type="dxa" w:w="70"/>
            </w:tcMar>
          </w:tcPr>
          <w:p>
            <w:pPr>
              <w:spacing w:after="0"/>
            </w:pPr>
            <w:r>
              <w:rPr>
                <w:b/>
                <w:bCs/>
                <w:color w:val="FFFFFF"/>
                <w:sz w:val="17"/>
                <w:szCs w:val="17"/>
              </w:rPr>
              <w:t xml:space="preserve">Rank now (30 d ago)</w:t>
            </w:r>
          </w:p>
        </w:tc>
        <w:tc>
          <w:tcPr>
            <w:tcW w:type="dxa" w:w="806"/>
            <w:shd w:fill="1F3A5F" w:color="auto" w:val="clear"/>
            <w:tcMar>
              <w:top w:type="dxa" w:w="40"/>
              <w:left w:type="dxa" w:w="70"/>
              <w:bottom w:type="dxa" w:w="40"/>
              <w:right w:type="dxa" w:w="70"/>
            </w:tcMar>
          </w:tcPr>
          <w:p>
            <w:pPr>
              <w:spacing w:after="0"/>
            </w:pPr>
            <w:r>
              <w:rPr>
                <w:b/>
                <w:bCs/>
                <w:color w:val="FFFFFF"/>
                <w:sz w:val="17"/>
                <w:szCs w:val="17"/>
              </w:rPr>
              <w:t xml:space="preserve">90 d clicks / orders</w:t>
            </w:r>
          </w:p>
        </w:tc>
        <w:tc>
          <w:tcPr>
            <w:tcW w:type="dxa" w:w="705"/>
            <w:shd w:fill="1F3A5F" w:color="auto" w:val="clear"/>
            <w:tcMar>
              <w:top w:type="dxa" w:w="40"/>
              <w:left w:type="dxa" w:w="70"/>
              <w:bottom w:type="dxa" w:w="40"/>
              <w:right w:type="dxa" w:w="70"/>
            </w:tcMar>
          </w:tcPr>
          <w:p>
            <w:pPr>
              <w:spacing w:after="0"/>
            </w:pPr>
            <w:r>
              <w:rPr>
                <w:b/>
                <w:bCs/>
                <w:color w:val="FFFFFF"/>
                <w:sz w:val="17"/>
                <w:szCs w:val="17"/>
              </w:rPr>
              <w:t xml:space="preserve">14 d spend</w:t>
            </w:r>
          </w:p>
        </w:tc>
        <w:tc>
          <w:tcPr>
            <w:tcW w:type="dxa" w:w="1511"/>
            <w:shd w:fill="1F3A5F" w:color="auto" w:val="clear"/>
            <w:tcMar>
              <w:top w:type="dxa" w:w="40"/>
              <w:left w:type="dxa" w:w="70"/>
              <w:bottom w:type="dxa" w:w="40"/>
              <w:right w:type="dxa" w:w="70"/>
            </w:tcMar>
          </w:tcPr>
          <w:p>
            <w:pPr>
              <w:spacing w:after="0"/>
            </w:pPr>
            <w:r>
              <w:rPr>
                <w:b/>
                <w:bCs/>
                <w:color w:val="FFFFFF"/>
                <w:sz w:val="17"/>
                <w:szCs w:val="17"/>
              </w:rPr>
              <w:t xml:space="preserve">TOS price now → written</w:t>
            </w:r>
          </w:p>
        </w:tc>
        <w:tc>
          <w:tcPr>
            <w:tcW w:type="dxa" w:w="806"/>
            <w:shd w:fill="1F3A5F" w:color="auto" w:val="clear"/>
            <w:tcMar>
              <w:top w:type="dxa" w:w="40"/>
              <w:left w:type="dxa" w:w="70"/>
              <w:bottom w:type="dxa" w:w="40"/>
              <w:right w:type="dxa" w:w="70"/>
            </w:tcMar>
          </w:tcPr>
          <w:p>
            <w:pPr>
              <w:spacing w:after="0"/>
            </w:pPr>
            <w:r>
              <w:rPr>
                <w:b/>
                <w:bCs/>
                <w:color w:val="FFFFFF"/>
                <w:sz w:val="17"/>
                <w:szCs w:val="17"/>
              </w:rPr>
              <w:t xml:space="preserve">Cost / TOS order</w:t>
            </w:r>
          </w:p>
        </w:tc>
        <w:tc>
          <w:tcPr>
            <w:tcW w:type="dxa" w:w="1511"/>
            <w:shd w:fill="1F3A5F" w:color="auto" w:val="clear"/>
            <w:tcMar>
              <w:top w:type="dxa" w:w="40"/>
              <w:left w:type="dxa" w:w="70"/>
              <w:bottom w:type="dxa" w:w="40"/>
              <w:right w:type="dxa" w:w="70"/>
            </w:tcMar>
          </w:tcPr>
          <w:p>
            <w:pPr>
              <w:spacing w:after="0"/>
            </w:pPr>
            <w:r>
              <w:rPr>
                <w:b/>
                <w:bCs/>
                <w:color w:val="FFFFFF"/>
                <w:sz w:val="17"/>
                <w:szCs w:val="17"/>
              </w:rPr>
              <w:t xml:space="preserve">Budget → written</w:t>
            </w:r>
          </w:p>
        </w:tc>
        <w:tc>
          <w:tcPr>
            <w:tcW w:type="dxa" w:w="906"/>
            <w:shd w:fill="1F3A5F" w:color="auto" w:val="clear"/>
            <w:tcMar>
              <w:top w:type="dxa" w:w="40"/>
              <w:left w:type="dxa" w:w="70"/>
              <w:bottom w:type="dxa" w:w="40"/>
              <w:right w:type="dxa" w:w="70"/>
            </w:tcMar>
          </w:tcPr>
          <w:p>
            <w:pPr>
              <w:spacing w:after="0"/>
            </w:pPr>
            <w:r>
              <w:rPr>
                <w:b/>
                <w:bCs/>
                <w:color w:val="FFFFFF"/>
                <w:sz w:val="17"/>
                <w:szCs w:val="17"/>
              </w:rPr>
              <w:t xml:space="preserve">Review</w:t>
            </w:r>
          </w:p>
        </w:tc>
      </w:tr>
      <w:tr>
        <w:tc>
          <w:tcPr>
            <w:tcW w:type="dxa" w:w="453"/>
            <w:shd w:fill="FFFFFF" w:color="auto" w:val="clear"/>
            <w:tcMar>
              <w:top w:type="dxa" w:w="40"/>
              <w:left w:type="dxa" w:w="70"/>
              <w:bottom w:type="dxa" w:w="40"/>
              <w:right w:type="dxa" w:w="70"/>
            </w:tcMar>
          </w:tcPr>
          <w:p>
            <w:pPr>
              <w:spacing w:after="0"/>
            </w:pPr>
            <w:r>
              <w:rPr>
                <w:sz w:val="17"/>
                <w:szCs w:val="17"/>
              </w:rPr>
              <w:t xml:space="preserve">31</w:t>
            </w:r>
          </w:p>
        </w:tc>
        <w:tc>
          <w:tcPr>
            <w:tcW w:type="dxa" w:w="2367"/>
            <w:shd w:fill="FFFFFF" w:color="auto" w:val="clear"/>
            <w:tcMar>
              <w:top w:type="dxa" w:w="40"/>
              <w:left w:type="dxa" w:w="70"/>
              <w:bottom w:type="dxa" w:w="40"/>
              <w:right w:type="dxa" w:w="70"/>
            </w:tcMar>
          </w:tcPr>
          <w:p>
            <w:pPr>
              <w:spacing w:after="0"/>
            </w:pPr>
            <w:r>
              <w:rPr>
                <w:sz w:val="17"/>
                <w:szCs w:val="17"/>
              </w:rPr>
              <w:t xml:space="preserve">Bamboo Cooling Sheets (MSV) · bamboo cooling sheets</w:t>
            </w:r>
          </w:p>
        </w:tc>
        <w:tc>
          <w:tcPr>
            <w:tcW w:type="dxa" w:w="907"/>
            <w:shd w:fill="FFFFFF" w:color="auto" w:val="clear"/>
            <w:tcMar>
              <w:top w:type="dxa" w:w="40"/>
              <w:left w:type="dxa" w:w="70"/>
              <w:bottom w:type="dxa" w:w="40"/>
              <w:right w:type="dxa" w:w="70"/>
            </w:tcMar>
          </w:tcPr>
          <w:p>
            <w:pPr>
              <w:spacing w:after="0"/>
            </w:pPr>
            <w:r>
              <w:rPr>
                <w:sz w:val="17"/>
                <w:szCs w:val="17"/>
              </w:rPr>
              <w:t xml:space="preserve">30 (36)</w:t>
            </w:r>
          </w:p>
        </w:tc>
        <w:tc>
          <w:tcPr>
            <w:tcW w:type="dxa" w:w="806"/>
            <w:shd w:fill="FFFFFF" w:color="auto" w:val="clear"/>
            <w:tcMar>
              <w:top w:type="dxa" w:w="40"/>
              <w:left w:type="dxa" w:w="70"/>
              <w:bottom w:type="dxa" w:w="40"/>
              <w:right w:type="dxa" w:w="70"/>
            </w:tcMar>
          </w:tcPr>
          <w:p>
            <w:pPr>
              <w:spacing w:after="0"/>
            </w:pPr>
            <w:r>
              <w:rPr>
                <w:sz w:val="17"/>
                <w:szCs w:val="17"/>
              </w:rPr>
              <w:t xml:space="preserve">418 / 42</w:t>
            </w:r>
          </w:p>
        </w:tc>
        <w:tc>
          <w:tcPr>
            <w:tcW w:type="dxa" w:w="705"/>
            <w:shd w:fill="FFFFFF" w:color="auto" w:val="clear"/>
            <w:tcMar>
              <w:top w:type="dxa" w:w="40"/>
              <w:left w:type="dxa" w:w="70"/>
              <w:bottom w:type="dxa" w:w="40"/>
              <w:right w:type="dxa" w:w="70"/>
            </w:tcMar>
          </w:tcPr>
          <w:p>
            <w:pPr>
              <w:spacing w:after="0"/>
            </w:pPr>
            <w:r>
              <w:rPr>
                <w:sz w:val="17"/>
                <w:szCs w:val="17"/>
              </w:rPr>
              <w:t xml:space="preserve">$415</w:t>
            </w:r>
          </w:p>
        </w:tc>
        <w:tc>
          <w:tcPr>
            <w:tcW w:type="dxa" w:w="1511"/>
            <w:shd w:fill="FFFFFF" w:color="auto" w:val="clear"/>
            <w:tcMar>
              <w:top w:type="dxa" w:w="40"/>
              <w:left w:type="dxa" w:w="70"/>
              <w:bottom w:type="dxa" w:w="40"/>
              <w:right w:type="dxa" w:w="70"/>
            </w:tcMar>
          </w:tcPr>
          <w:p>
            <w:pPr>
              <w:spacing w:after="0"/>
            </w:pPr>
            <w:r>
              <w:rPr>
                <w:sz w:val="17"/>
                <w:szCs w:val="17"/>
              </w:rPr>
              <w:t xml:space="preserve">$7.61 → $8.26 (+9%)</w:t>
            </w:r>
          </w:p>
        </w:tc>
        <w:tc>
          <w:tcPr>
            <w:tcW w:type="dxa" w:w="806"/>
            <w:shd w:fill="FFFFFF" w:color="auto" w:val="clear"/>
            <w:tcMar>
              <w:top w:type="dxa" w:w="40"/>
              <w:left w:type="dxa" w:w="70"/>
              <w:bottom w:type="dxa" w:w="40"/>
              <w:right w:type="dxa" w:w="70"/>
            </w:tcMar>
          </w:tcPr>
          <w:p>
            <w:pPr>
              <w:spacing w:after="0"/>
            </w:pPr>
            <w:r>
              <w:rPr>
                <w:sz w:val="17"/>
                <w:szCs w:val="17"/>
              </w:rPr>
              <w:t xml:space="preserve">$60</w:t>
            </w:r>
          </w:p>
        </w:tc>
        <w:tc>
          <w:tcPr>
            <w:tcW w:type="dxa" w:w="1511"/>
            <w:shd w:fill="FFFFFF" w:color="auto" w:val="clear"/>
            <w:tcMar>
              <w:top w:type="dxa" w:w="40"/>
              <w:left w:type="dxa" w:w="70"/>
              <w:bottom w:type="dxa" w:w="40"/>
              <w:right w:type="dxa" w:w="70"/>
            </w:tcMar>
          </w:tcPr>
          <w:p>
            <w:pPr>
              <w:spacing w:after="0"/>
            </w:pPr>
            <w:r>
              <w:rPr>
                <w:sz w:val="17"/>
                <w:szCs w:val="17"/>
              </w:rPr>
              <w:t xml:space="preserve">$40</w:t>
            </w:r>
          </w:p>
        </w:tc>
        <w:tc>
          <w:tcPr>
            <w:tcW w:type="dxa" w:w="906"/>
            <w:shd w:fill="FFFFFF" w:color="auto" w:val="clear"/>
            <w:tcMar>
              <w:top w:type="dxa" w:w="40"/>
              <w:left w:type="dxa" w:w="70"/>
              <w:bottom w:type="dxa" w:w="40"/>
              <w:right w:type="dxa" w:w="70"/>
            </w:tcMar>
          </w:tcPr>
          <w:p>
            <w:pPr>
              <w:spacing w:after="0"/>
            </w:pPr>
            <w:r>
              <w:rPr>
                <w:sz w:val="17"/>
                <w:szCs w:val="17"/>
              </w:rPr>
              <w:t xml:space="preserve">hold</w:t>
            </w:r>
          </w:p>
        </w:tc>
      </w:tr>
      <w:tr>
        <w:tc>
          <w:tcPr>
            <w:tcW w:type="dxa" w:w="453"/>
            <w:shd w:fill="F2F5F9" w:color="auto" w:val="clear"/>
            <w:tcMar>
              <w:top w:type="dxa" w:w="40"/>
              <w:left w:type="dxa" w:w="70"/>
              <w:bottom w:type="dxa" w:w="40"/>
              <w:right w:type="dxa" w:w="70"/>
            </w:tcMar>
          </w:tcPr>
          <w:p>
            <w:pPr>
              <w:spacing w:after="0"/>
            </w:pPr>
            <w:r>
              <w:rPr>
                <w:sz w:val="17"/>
                <w:szCs w:val="17"/>
              </w:rPr>
              <w:t xml:space="preserve">288</w:t>
            </w:r>
          </w:p>
        </w:tc>
        <w:tc>
          <w:tcPr>
            <w:tcW w:type="dxa" w:w="2367"/>
            <w:shd w:fill="F2F5F9" w:color="auto" w:val="clear"/>
            <w:tcMar>
              <w:top w:type="dxa" w:w="40"/>
              <w:left w:type="dxa" w:w="70"/>
              <w:bottom w:type="dxa" w:w="40"/>
              <w:right w:type="dxa" w:w="70"/>
            </w:tcMar>
          </w:tcPr>
          <w:p>
            <w:pPr>
              <w:spacing w:after="0"/>
            </w:pPr>
            <w:r>
              <w:rPr>
                <w:sz w:val="17"/>
                <w:szCs w:val="17"/>
              </w:rPr>
              <w:t xml:space="preserve">Bamboo Sheets California King (LSV) · bamboo sheets california king</w:t>
            </w:r>
          </w:p>
        </w:tc>
        <w:tc>
          <w:tcPr>
            <w:tcW w:type="dxa" w:w="907"/>
            <w:shd w:fill="F2F5F9" w:color="auto" w:val="clear"/>
            <w:tcMar>
              <w:top w:type="dxa" w:w="40"/>
              <w:left w:type="dxa" w:w="70"/>
              <w:bottom w:type="dxa" w:w="40"/>
              <w:right w:type="dxa" w:w="70"/>
            </w:tcMar>
          </w:tcPr>
          <w:p>
            <w:pPr>
              <w:spacing w:after="0"/>
            </w:pPr>
            <w:r>
              <w:rPr>
                <w:sz w:val="17"/>
                <w:szCs w:val="17"/>
              </w:rPr>
              <w:t xml:space="preserve">16 (4)</w:t>
            </w:r>
          </w:p>
        </w:tc>
        <w:tc>
          <w:tcPr>
            <w:tcW w:type="dxa" w:w="806"/>
            <w:shd w:fill="F2F5F9" w:color="auto" w:val="clear"/>
            <w:tcMar>
              <w:top w:type="dxa" w:w="40"/>
              <w:left w:type="dxa" w:w="70"/>
              <w:bottom w:type="dxa" w:w="40"/>
              <w:right w:type="dxa" w:w="70"/>
            </w:tcMar>
          </w:tcPr>
          <w:p>
            <w:pPr>
              <w:spacing w:after="0"/>
            </w:pPr>
            <w:r>
              <w:rPr>
                <w:sz w:val="17"/>
                <w:szCs w:val="17"/>
              </w:rPr>
              <w:t xml:space="preserve">9 / 0</w:t>
            </w:r>
          </w:p>
        </w:tc>
        <w:tc>
          <w:tcPr>
            <w:tcW w:type="dxa" w:w="705"/>
            <w:shd w:fill="F2F5F9" w:color="auto" w:val="clear"/>
            <w:tcMar>
              <w:top w:type="dxa" w:w="40"/>
              <w:left w:type="dxa" w:w="70"/>
              <w:bottom w:type="dxa" w:w="40"/>
              <w:right w:type="dxa" w:w="70"/>
            </w:tcMar>
          </w:tcPr>
          <w:p>
            <w:pPr>
              <w:spacing w:after="0"/>
            </w:pPr>
            <w:r>
              <w:rPr>
                <w:sz w:val="17"/>
                <w:szCs w:val="17"/>
              </w:rPr>
              <w:t xml:space="preserve">$27</w:t>
            </w:r>
          </w:p>
        </w:tc>
        <w:tc>
          <w:tcPr>
            <w:tcW w:type="dxa" w:w="1511"/>
            <w:shd w:fill="F2F5F9" w:color="auto" w:val="clear"/>
            <w:tcMar>
              <w:top w:type="dxa" w:w="40"/>
              <w:left w:type="dxa" w:w="70"/>
              <w:bottom w:type="dxa" w:w="40"/>
              <w:right w:type="dxa" w:w="70"/>
            </w:tcMar>
          </w:tcPr>
          <w:p>
            <w:pPr>
              <w:spacing w:after="0"/>
            </w:pPr>
            <w:r>
              <w:rPr>
                <w:sz w:val="17"/>
                <w:szCs w:val="17"/>
              </w:rPr>
              <w:t xml:space="preserve">$4.60 → $8.04 (+75%, dose)</w:t>
            </w:r>
          </w:p>
        </w:tc>
        <w:tc>
          <w:tcPr>
            <w:tcW w:type="dxa" w:w="806"/>
            <w:shd w:fill="F2F5F9" w:color="auto" w:val="clear"/>
            <w:tcMar>
              <w:top w:type="dxa" w:w="40"/>
              <w:left w:type="dxa" w:w="70"/>
              <w:bottom w:type="dxa" w:w="40"/>
              <w:right w:type="dxa" w:w="70"/>
            </w:tcMar>
          </w:tcPr>
          <w:p>
            <w:pPr>
              <w:spacing w:after="0"/>
            </w:pPr>
            <w:r>
              <w:rPr>
                <w:sz w:val="17"/>
                <w:szCs w:val="17"/>
              </w:rPr>
              <w:t xml:space="preserve">$59</w:t>
            </w:r>
          </w:p>
        </w:tc>
        <w:tc>
          <w:tcPr>
            <w:tcW w:type="dxa" w:w="1511"/>
            <w:shd w:fill="F2F5F9" w:color="auto" w:val="clear"/>
            <w:tcMar>
              <w:top w:type="dxa" w:w="40"/>
              <w:left w:type="dxa" w:w="70"/>
              <w:bottom w:type="dxa" w:w="40"/>
              <w:right w:type="dxa" w:w="70"/>
            </w:tcMar>
          </w:tcPr>
          <w:p>
            <w:pPr>
              <w:spacing w:after="0"/>
            </w:pPr>
            <w:r>
              <w:rPr>
                <w:sz w:val="17"/>
                <w:szCs w:val="17"/>
              </w:rPr>
              <w:t xml:space="preserve">$10 → $13.98 (code-held)</w:t>
            </w:r>
          </w:p>
        </w:tc>
        <w:tc>
          <w:tcPr>
            <w:tcW w:type="dxa" w:w="906"/>
            <w:shd w:fill="F2F5F9" w:color="auto" w:val="clear"/>
            <w:tcMar>
              <w:top w:type="dxa" w:w="40"/>
              <w:left w:type="dxa" w:w="70"/>
              <w:bottom w:type="dxa" w:w="40"/>
              <w:right w:type="dxa" w:w="70"/>
            </w:tcMar>
          </w:tcPr>
          <w:p>
            <w:pPr>
              <w:spacing w:after="0"/>
            </w:pPr>
            <w:r>
              <w:rPr>
                <w:sz w:val="17"/>
                <w:szCs w:val="17"/>
              </w:rPr>
              <w:t xml:space="preserve">pass</w:t>
            </w:r>
          </w:p>
        </w:tc>
      </w:tr>
      <w:tr>
        <w:tc>
          <w:tcPr>
            <w:tcW w:type="dxa" w:w="453"/>
            <w:shd w:fill="FFFFFF" w:color="auto" w:val="clear"/>
            <w:tcMar>
              <w:top w:type="dxa" w:w="40"/>
              <w:left w:type="dxa" w:w="70"/>
              <w:bottom w:type="dxa" w:w="40"/>
              <w:right w:type="dxa" w:w="70"/>
            </w:tcMar>
          </w:tcPr>
          <w:p>
            <w:pPr>
              <w:spacing w:after="0"/>
            </w:pPr>
            <w:r>
              <w:rPr>
                <w:sz w:val="17"/>
                <w:szCs w:val="17"/>
              </w:rPr>
              <w:t xml:space="preserve">369</w:t>
            </w:r>
          </w:p>
        </w:tc>
        <w:tc>
          <w:tcPr>
            <w:tcW w:type="dxa" w:w="2367"/>
            <w:shd w:fill="FFFFFF" w:color="auto" w:val="clear"/>
            <w:tcMar>
              <w:top w:type="dxa" w:w="40"/>
              <w:left w:type="dxa" w:w="70"/>
              <w:bottom w:type="dxa" w:w="40"/>
              <w:right w:type="dxa" w:w="70"/>
            </w:tcMar>
          </w:tcPr>
          <w:p>
            <w:pPr>
              <w:spacing w:after="0"/>
            </w:pPr>
            <w:r>
              <w:rPr>
                <w:sz w:val="17"/>
                <w:szCs w:val="17"/>
              </w:rPr>
              <w:t xml:space="preserve">Bamboo Cooling Sheets King Size [Bamboo|Cooling] · bamboo cooling sheets king size</w:t>
            </w:r>
          </w:p>
        </w:tc>
        <w:tc>
          <w:tcPr>
            <w:tcW w:type="dxa" w:w="907"/>
            <w:shd w:fill="FFFFFF" w:color="auto" w:val="clear"/>
            <w:tcMar>
              <w:top w:type="dxa" w:w="40"/>
              <w:left w:type="dxa" w:w="70"/>
              <w:bottom w:type="dxa" w:w="40"/>
              <w:right w:type="dxa" w:w="70"/>
            </w:tcMar>
          </w:tcPr>
          <w:p>
            <w:pPr>
              <w:spacing w:after="0"/>
            </w:pPr>
            <w:r>
              <w:rPr>
                <w:sz w:val="17"/>
                <w:szCs w:val="17"/>
              </w:rPr>
              <w:t xml:space="preserve">31 (35; 7 in window)</w:t>
            </w:r>
          </w:p>
        </w:tc>
        <w:tc>
          <w:tcPr>
            <w:tcW w:type="dxa" w:w="806"/>
            <w:shd w:fill="FFFFFF" w:color="auto" w:val="clear"/>
            <w:tcMar>
              <w:top w:type="dxa" w:w="40"/>
              <w:left w:type="dxa" w:w="70"/>
              <w:bottom w:type="dxa" w:w="40"/>
              <w:right w:type="dxa" w:w="70"/>
            </w:tcMar>
          </w:tcPr>
          <w:p>
            <w:pPr>
              <w:spacing w:after="0"/>
            </w:pPr>
            <w:r>
              <w:rPr>
                <w:sz w:val="17"/>
                <w:szCs w:val="17"/>
              </w:rPr>
              <w:t xml:space="preserve">7 / 0</w:t>
            </w:r>
          </w:p>
        </w:tc>
        <w:tc>
          <w:tcPr>
            <w:tcW w:type="dxa" w:w="705"/>
            <w:shd w:fill="FFFFFF" w:color="auto" w:val="clear"/>
            <w:tcMar>
              <w:top w:type="dxa" w:w="40"/>
              <w:left w:type="dxa" w:w="70"/>
              <w:bottom w:type="dxa" w:w="40"/>
              <w:right w:type="dxa" w:w="70"/>
            </w:tcMar>
          </w:tcPr>
          <w:p>
            <w:pPr>
              <w:spacing w:after="0"/>
            </w:pPr>
            <w:r>
              <w:rPr>
                <w:sz w:val="17"/>
                <w:szCs w:val="17"/>
              </w:rPr>
              <w:t xml:space="preserve">$27</w:t>
            </w:r>
          </w:p>
        </w:tc>
        <w:tc>
          <w:tcPr>
            <w:tcW w:type="dxa" w:w="1511"/>
            <w:shd w:fill="FFFFFF" w:color="auto" w:val="clear"/>
            <w:tcMar>
              <w:top w:type="dxa" w:w="40"/>
              <w:left w:type="dxa" w:w="70"/>
              <w:bottom w:type="dxa" w:w="40"/>
              <w:right w:type="dxa" w:w="70"/>
            </w:tcMar>
          </w:tcPr>
          <w:p>
            <w:pPr>
              <w:spacing w:after="0"/>
            </w:pPr>
            <w:r>
              <w:rPr>
                <w:sz w:val="17"/>
                <w:szCs w:val="17"/>
              </w:rPr>
              <w:t xml:space="preserve">$6.90 → $12.07 (+75%, dose)</w:t>
            </w:r>
          </w:p>
        </w:tc>
        <w:tc>
          <w:tcPr>
            <w:tcW w:type="dxa" w:w="806"/>
            <w:shd w:fill="FFFFFF" w:color="auto" w:val="clear"/>
            <w:tcMar>
              <w:top w:type="dxa" w:w="40"/>
              <w:left w:type="dxa" w:w="70"/>
              <w:bottom w:type="dxa" w:w="40"/>
              <w:right w:type="dxa" w:w="70"/>
            </w:tcMar>
          </w:tcPr>
          <w:p>
            <w:pPr>
              <w:spacing w:after="0"/>
            </w:pPr>
            <w:r>
              <w:rPr>
                <w:sz w:val="17"/>
                <w:szCs w:val="17"/>
              </w:rPr>
              <w:t xml:space="preserve">$88</w:t>
            </w:r>
          </w:p>
        </w:tc>
        <w:tc>
          <w:tcPr>
            <w:tcW w:type="dxa" w:w="1511"/>
            <w:shd w:fill="FFFFFF" w:color="auto" w:val="clear"/>
            <w:tcMar>
              <w:top w:type="dxa" w:w="40"/>
              <w:left w:type="dxa" w:w="70"/>
              <w:bottom w:type="dxa" w:w="40"/>
              <w:right w:type="dxa" w:w="70"/>
            </w:tcMar>
          </w:tcPr>
          <w:p>
            <w:pPr>
              <w:spacing w:after="0"/>
            </w:pPr>
            <w:r>
              <w:rPr>
                <w:sz w:val="17"/>
                <w:szCs w:val="17"/>
              </w:rPr>
              <w:t xml:space="preserve">$11.42 → $22.91 (code-held)</w:t>
            </w:r>
          </w:p>
        </w:tc>
        <w:tc>
          <w:tcPr>
            <w:tcW w:type="dxa" w:w="906"/>
            <w:shd w:fill="FFFFFF" w:color="auto" w:val="clear"/>
            <w:tcMar>
              <w:top w:type="dxa" w:w="40"/>
              <w:left w:type="dxa" w:w="70"/>
              <w:bottom w:type="dxa" w:w="40"/>
              <w:right w:type="dxa" w:w="70"/>
            </w:tcMar>
          </w:tcPr>
          <w:p>
            <w:pPr>
              <w:spacing w:after="0"/>
            </w:pPr>
            <w:r>
              <w:rPr>
                <w:sz w:val="17"/>
                <w:szCs w:val="17"/>
              </w:rPr>
              <w:t xml:space="preserve">pass</w:t>
            </w:r>
          </w:p>
        </w:tc>
      </w:tr>
      <w:tr>
        <w:tc>
          <w:tcPr>
            <w:tcW w:type="dxa" w:w="453"/>
            <w:shd w:fill="F2F5F9" w:color="auto" w:val="clear"/>
            <w:tcMar>
              <w:top w:type="dxa" w:w="40"/>
              <w:left w:type="dxa" w:w="70"/>
              <w:bottom w:type="dxa" w:w="40"/>
              <w:right w:type="dxa" w:w="70"/>
            </w:tcMar>
          </w:tcPr>
          <w:p>
            <w:pPr>
              <w:spacing w:after="0"/>
            </w:pPr>
            <w:r>
              <w:rPr>
                <w:sz w:val="17"/>
                <w:szCs w:val="17"/>
              </w:rPr>
              <w:t xml:space="preserve">398</w:t>
            </w:r>
          </w:p>
        </w:tc>
        <w:tc>
          <w:tcPr>
            <w:tcW w:type="dxa" w:w="2367"/>
            <w:shd w:fill="F2F5F9" w:color="auto" w:val="clear"/>
            <w:tcMar>
              <w:top w:type="dxa" w:w="40"/>
              <w:left w:type="dxa" w:w="70"/>
              <w:bottom w:type="dxa" w:w="40"/>
              <w:right w:type="dxa" w:w="70"/>
            </w:tcMar>
          </w:tcPr>
          <w:p>
            <w:pPr>
              <w:spacing w:after="0"/>
            </w:pPr>
            <w:r>
              <w:rPr>
                <w:sz w:val="17"/>
                <w:szCs w:val="17"/>
              </w:rPr>
              <w:t xml:space="preserve">Cooling Bamboo Sheets (MSV) · cooling bamboo sheets</w:t>
            </w:r>
          </w:p>
        </w:tc>
        <w:tc>
          <w:tcPr>
            <w:tcW w:type="dxa" w:w="907"/>
            <w:shd w:fill="F2F5F9" w:color="auto" w:val="clear"/>
            <w:tcMar>
              <w:top w:type="dxa" w:w="40"/>
              <w:left w:type="dxa" w:w="70"/>
              <w:bottom w:type="dxa" w:w="40"/>
              <w:right w:type="dxa" w:w="70"/>
            </w:tcMar>
          </w:tcPr>
          <w:p>
            <w:pPr>
              <w:spacing w:after="0"/>
            </w:pPr>
            <w:r>
              <w:rPr>
                <w:sz w:val="17"/>
                <w:szCs w:val="17"/>
              </w:rPr>
              <w:t xml:space="preserve">12 (30)</w:t>
            </w:r>
          </w:p>
        </w:tc>
        <w:tc>
          <w:tcPr>
            <w:tcW w:type="dxa" w:w="806"/>
            <w:shd w:fill="F2F5F9" w:color="auto" w:val="clear"/>
            <w:tcMar>
              <w:top w:type="dxa" w:w="40"/>
              <w:left w:type="dxa" w:w="70"/>
              <w:bottom w:type="dxa" w:w="40"/>
              <w:right w:type="dxa" w:w="70"/>
            </w:tcMar>
          </w:tcPr>
          <w:p>
            <w:pPr>
              <w:spacing w:after="0"/>
            </w:pPr>
            <w:r>
              <w:rPr>
                <w:sz w:val="17"/>
                <w:szCs w:val="17"/>
              </w:rPr>
              <w:t xml:space="preserve">7 / 0</w:t>
            </w:r>
          </w:p>
        </w:tc>
        <w:tc>
          <w:tcPr>
            <w:tcW w:type="dxa" w:w="705"/>
            <w:shd w:fill="F2F5F9" w:color="auto" w:val="clear"/>
            <w:tcMar>
              <w:top w:type="dxa" w:w="40"/>
              <w:left w:type="dxa" w:w="70"/>
              <w:bottom w:type="dxa" w:w="40"/>
              <w:right w:type="dxa" w:w="70"/>
            </w:tcMar>
          </w:tcPr>
          <w:p>
            <w:pPr>
              <w:spacing w:after="0"/>
            </w:pPr>
            <w:r>
              <w:rPr>
                <w:sz w:val="17"/>
                <w:szCs w:val="17"/>
              </w:rPr>
              <w:t xml:space="preserve">$20</w:t>
            </w:r>
          </w:p>
        </w:tc>
        <w:tc>
          <w:tcPr>
            <w:tcW w:type="dxa" w:w="1511"/>
            <w:shd w:fill="F2F5F9" w:color="auto" w:val="clear"/>
            <w:tcMar>
              <w:top w:type="dxa" w:w="40"/>
              <w:left w:type="dxa" w:w="70"/>
              <w:bottom w:type="dxa" w:w="40"/>
              <w:right w:type="dxa" w:w="70"/>
            </w:tcMar>
          </w:tcPr>
          <w:p>
            <w:pPr>
              <w:spacing w:after="0"/>
            </w:pPr>
            <w:r>
              <w:rPr>
                <w:sz w:val="17"/>
                <w:szCs w:val="17"/>
              </w:rPr>
              <w:t xml:space="preserve">$4.60 → $8.04 (+75%, dose)</w:t>
            </w:r>
          </w:p>
        </w:tc>
        <w:tc>
          <w:tcPr>
            <w:tcW w:type="dxa" w:w="806"/>
            <w:shd w:fill="F2F5F9" w:color="auto" w:val="clear"/>
            <w:tcMar>
              <w:top w:type="dxa" w:w="40"/>
              <w:left w:type="dxa" w:w="70"/>
              <w:bottom w:type="dxa" w:w="40"/>
              <w:right w:type="dxa" w:w="70"/>
            </w:tcMar>
          </w:tcPr>
          <w:p>
            <w:pPr>
              <w:spacing w:after="0"/>
            </w:pPr>
            <w:r>
              <w:rPr>
                <w:sz w:val="17"/>
                <w:szCs w:val="17"/>
              </w:rPr>
              <w:t xml:space="preserve">$59</w:t>
            </w:r>
          </w:p>
        </w:tc>
        <w:tc>
          <w:tcPr>
            <w:tcW w:type="dxa" w:w="1511"/>
            <w:shd w:fill="F2F5F9" w:color="auto" w:val="clear"/>
            <w:tcMar>
              <w:top w:type="dxa" w:w="40"/>
              <w:left w:type="dxa" w:w="70"/>
              <w:bottom w:type="dxa" w:w="40"/>
              <w:right w:type="dxa" w:w="70"/>
            </w:tcMar>
          </w:tcPr>
          <w:p>
            <w:pPr>
              <w:spacing w:after="0"/>
            </w:pPr>
            <w:r>
              <w:rPr>
                <w:sz w:val="17"/>
                <w:szCs w:val="17"/>
              </w:rPr>
              <w:t xml:space="preserve">$10 → $14.21 (code-held)</w:t>
            </w:r>
          </w:p>
        </w:tc>
        <w:tc>
          <w:tcPr>
            <w:tcW w:type="dxa" w:w="906"/>
            <w:shd w:fill="F2F5F9" w:color="auto" w:val="clear"/>
            <w:tcMar>
              <w:top w:type="dxa" w:w="40"/>
              <w:left w:type="dxa" w:w="70"/>
              <w:bottom w:type="dxa" w:w="40"/>
              <w:right w:type="dxa" w:w="70"/>
            </w:tcMar>
          </w:tcPr>
          <w:p>
            <w:pPr>
              <w:spacing w:after="0"/>
            </w:pPr>
            <w:r>
              <w:rPr>
                <w:sz w:val="17"/>
                <w:szCs w:val="17"/>
              </w:rPr>
              <w:t xml:space="preserve">pass</w:t>
            </w:r>
          </w:p>
        </w:tc>
      </w:tr>
      <w:tr>
        <w:tc>
          <w:tcPr>
            <w:tcW w:type="dxa" w:w="453"/>
            <w:shd w:fill="FFFFFF" w:color="auto" w:val="clear"/>
            <w:tcMar>
              <w:top w:type="dxa" w:w="40"/>
              <w:left w:type="dxa" w:w="70"/>
              <w:bottom w:type="dxa" w:w="40"/>
              <w:right w:type="dxa" w:w="70"/>
            </w:tcMar>
          </w:tcPr>
          <w:p>
            <w:pPr>
              <w:spacing w:after="0"/>
            </w:pPr>
            <w:r>
              <w:rPr>
                <w:sz w:val="17"/>
                <w:szCs w:val="17"/>
              </w:rPr>
              <w:t xml:space="preserve">374</w:t>
            </w:r>
          </w:p>
        </w:tc>
        <w:tc>
          <w:tcPr>
            <w:tcW w:type="dxa" w:w="2367"/>
            <w:shd w:fill="FFFFFF" w:color="auto" w:val="clear"/>
            <w:tcMar>
              <w:top w:type="dxa" w:w="40"/>
              <w:left w:type="dxa" w:w="70"/>
              <w:bottom w:type="dxa" w:w="40"/>
              <w:right w:type="dxa" w:w="70"/>
            </w:tcMar>
          </w:tcPr>
          <w:p>
            <w:pPr>
              <w:spacing w:after="0"/>
            </w:pPr>
            <w:r>
              <w:rPr>
                <w:sz w:val="17"/>
                <w:szCs w:val="17"/>
              </w:rPr>
              <w:t xml:space="preserve">Bamboo Sheets Cal King (VLSV) · bamboo sheets cal king</w:t>
            </w:r>
          </w:p>
        </w:tc>
        <w:tc>
          <w:tcPr>
            <w:tcW w:type="dxa" w:w="907"/>
            <w:shd w:fill="FFFFFF" w:color="auto" w:val="clear"/>
            <w:tcMar>
              <w:top w:type="dxa" w:w="40"/>
              <w:left w:type="dxa" w:w="70"/>
              <w:bottom w:type="dxa" w:w="40"/>
              <w:right w:type="dxa" w:w="70"/>
            </w:tcMar>
          </w:tcPr>
          <w:p>
            <w:pPr>
              <w:spacing w:after="0"/>
            </w:pPr>
            <w:r>
              <w:rPr>
                <w:sz w:val="17"/>
                <w:szCs w:val="17"/>
              </w:rPr>
              <w:t xml:space="preserve">39 (23)</w:t>
            </w:r>
          </w:p>
        </w:tc>
        <w:tc>
          <w:tcPr>
            <w:tcW w:type="dxa" w:w="806"/>
            <w:shd w:fill="FFFFFF" w:color="auto" w:val="clear"/>
            <w:tcMar>
              <w:top w:type="dxa" w:w="40"/>
              <w:left w:type="dxa" w:w="70"/>
              <w:bottom w:type="dxa" w:w="40"/>
              <w:right w:type="dxa" w:w="70"/>
            </w:tcMar>
          </w:tcPr>
          <w:p>
            <w:pPr>
              <w:spacing w:after="0"/>
            </w:pPr>
            <w:r>
              <w:rPr>
                <w:sz w:val="17"/>
                <w:szCs w:val="17"/>
              </w:rPr>
              <w:t xml:space="preserve">5 / 2</w:t>
            </w:r>
          </w:p>
        </w:tc>
        <w:tc>
          <w:tcPr>
            <w:tcW w:type="dxa" w:w="705"/>
            <w:shd w:fill="FFFFFF" w:color="auto" w:val="clear"/>
            <w:tcMar>
              <w:top w:type="dxa" w:w="40"/>
              <w:left w:type="dxa" w:w="70"/>
              <w:bottom w:type="dxa" w:w="40"/>
              <w:right w:type="dxa" w:w="70"/>
            </w:tcMar>
          </w:tcPr>
          <w:p>
            <w:pPr>
              <w:spacing w:after="0"/>
            </w:pPr>
            <w:r>
              <w:rPr>
                <w:sz w:val="17"/>
                <w:szCs w:val="17"/>
              </w:rPr>
              <w:t xml:space="preserve">$28</w:t>
            </w:r>
          </w:p>
        </w:tc>
        <w:tc>
          <w:tcPr>
            <w:tcW w:type="dxa" w:w="1511"/>
            <w:shd w:fill="FFFFFF" w:color="auto" w:val="clear"/>
            <w:tcMar>
              <w:top w:type="dxa" w:w="40"/>
              <w:left w:type="dxa" w:w="70"/>
              <w:bottom w:type="dxa" w:w="40"/>
              <w:right w:type="dxa" w:w="70"/>
            </w:tcMar>
          </w:tcPr>
          <w:p>
            <w:pPr>
              <w:spacing w:after="0"/>
            </w:pPr>
            <w:r>
              <w:rPr>
                <w:sz w:val="17"/>
                <w:szCs w:val="17"/>
              </w:rPr>
              <w:t xml:space="preserve">$5.71 → $6.62 (+16%)</w:t>
            </w:r>
          </w:p>
        </w:tc>
        <w:tc>
          <w:tcPr>
            <w:tcW w:type="dxa" w:w="806"/>
            <w:shd w:fill="FFFFFF" w:color="auto" w:val="clear"/>
            <w:tcMar>
              <w:top w:type="dxa" w:w="40"/>
              <w:left w:type="dxa" w:w="70"/>
              <w:bottom w:type="dxa" w:w="40"/>
              <w:right w:type="dxa" w:w="70"/>
            </w:tcMar>
          </w:tcPr>
          <w:p>
            <w:pPr>
              <w:spacing w:after="0"/>
            </w:pPr>
            <w:r>
              <w:rPr>
                <w:sz w:val="17"/>
                <w:szCs w:val="17"/>
              </w:rPr>
              <w:t xml:space="preserve">$48</w:t>
            </w:r>
          </w:p>
        </w:tc>
        <w:tc>
          <w:tcPr>
            <w:tcW w:type="dxa" w:w="1511"/>
            <w:shd w:fill="FFFFFF" w:color="auto" w:val="clear"/>
            <w:tcMar>
              <w:top w:type="dxa" w:w="40"/>
              <w:left w:type="dxa" w:w="70"/>
              <w:bottom w:type="dxa" w:w="40"/>
              <w:right w:type="dxa" w:w="70"/>
            </w:tcMar>
          </w:tcPr>
          <w:p>
            <w:pPr>
              <w:spacing w:after="0"/>
            </w:pPr>
            <w:r>
              <w:rPr>
                <w:sz w:val="17"/>
                <w:szCs w:val="17"/>
              </w:rPr>
              <w:t xml:space="preserve">$5</w:t>
            </w:r>
          </w:p>
        </w:tc>
        <w:tc>
          <w:tcPr>
            <w:tcW w:type="dxa" w:w="906"/>
            <w:shd w:fill="FFFFFF" w:color="auto" w:val="clear"/>
            <w:tcMar>
              <w:top w:type="dxa" w:w="40"/>
              <w:left w:type="dxa" w:w="70"/>
              <w:bottom w:type="dxa" w:w="40"/>
              <w:right w:type="dxa" w:w="70"/>
            </w:tcMar>
          </w:tcPr>
          <w:p>
            <w:pPr>
              <w:spacing w:after="0"/>
            </w:pPr>
            <w:r>
              <w:rPr>
                <w:sz w:val="17"/>
                <w:szCs w:val="17"/>
              </w:rPr>
              <w:t xml:space="preserve">pass</w:t>
            </w:r>
          </w:p>
        </w:tc>
      </w:tr>
      <w:tr>
        <w:tc>
          <w:tcPr>
            <w:tcW w:type="dxa" w:w="453"/>
            <w:shd w:fill="F2F5F9" w:color="auto" w:val="clear"/>
            <w:tcMar>
              <w:top w:type="dxa" w:w="40"/>
              <w:left w:type="dxa" w:w="70"/>
              <w:bottom w:type="dxa" w:w="40"/>
              <w:right w:type="dxa" w:w="70"/>
            </w:tcMar>
          </w:tcPr>
          <w:p>
            <w:pPr>
              <w:spacing w:after="0"/>
            </w:pPr>
            <w:r>
              <w:rPr>
                <w:sz w:val="17"/>
                <w:szCs w:val="17"/>
              </w:rPr>
              <w:t xml:space="preserve">462</w:t>
            </w:r>
          </w:p>
        </w:tc>
        <w:tc>
          <w:tcPr>
            <w:tcW w:type="dxa" w:w="2367"/>
            <w:shd w:fill="F2F5F9" w:color="auto" w:val="clear"/>
            <w:tcMar>
              <w:top w:type="dxa" w:w="40"/>
              <w:left w:type="dxa" w:w="70"/>
              <w:bottom w:type="dxa" w:w="40"/>
              <w:right w:type="dxa" w:w="70"/>
            </w:tcMar>
          </w:tcPr>
          <w:p>
            <w:pPr>
              <w:spacing w:after="0"/>
            </w:pPr>
            <w:r>
              <w:rPr>
                <w:sz w:val="17"/>
                <w:szCs w:val="17"/>
              </w:rPr>
              <w:t xml:space="preserve">Bamboo Cal King Sheets (VLSV) · bamboo cal king sheets</w:t>
            </w:r>
          </w:p>
        </w:tc>
        <w:tc>
          <w:tcPr>
            <w:tcW w:type="dxa" w:w="907"/>
            <w:shd w:fill="F2F5F9" w:color="auto" w:val="clear"/>
            <w:tcMar>
              <w:top w:type="dxa" w:w="40"/>
              <w:left w:type="dxa" w:w="70"/>
              <w:bottom w:type="dxa" w:w="40"/>
              <w:right w:type="dxa" w:w="70"/>
            </w:tcMar>
          </w:tcPr>
          <w:p>
            <w:pPr>
              <w:spacing w:after="0"/>
            </w:pPr>
            <w:r>
              <w:rPr>
                <w:sz w:val="17"/>
                <w:szCs w:val="17"/>
              </w:rPr>
              <w:t xml:space="preserve">unranked</w:t>
            </w:r>
          </w:p>
        </w:tc>
        <w:tc>
          <w:tcPr>
            <w:tcW w:type="dxa" w:w="806"/>
            <w:shd w:fill="F2F5F9" w:color="auto" w:val="clear"/>
            <w:tcMar>
              <w:top w:type="dxa" w:w="40"/>
              <w:left w:type="dxa" w:w="70"/>
              <w:bottom w:type="dxa" w:w="40"/>
              <w:right w:type="dxa" w:w="70"/>
            </w:tcMar>
          </w:tcPr>
          <w:p>
            <w:pPr>
              <w:spacing w:after="0"/>
            </w:pPr>
            <w:r>
              <w:rPr>
                <w:sz w:val="17"/>
                <w:szCs w:val="17"/>
              </w:rPr>
              <w:t xml:space="preserve">4 / 0</w:t>
            </w:r>
          </w:p>
        </w:tc>
        <w:tc>
          <w:tcPr>
            <w:tcW w:type="dxa" w:w="705"/>
            <w:shd w:fill="F2F5F9" w:color="auto" w:val="clear"/>
            <w:tcMar>
              <w:top w:type="dxa" w:w="40"/>
              <w:left w:type="dxa" w:w="70"/>
              <w:bottom w:type="dxa" w:w="40"/>
              <w:right w:type="dxa" w:w="70"/>
            </w:tcMar>
          </w:tcPr>
          <w:p>
            <w:pPr>
              <w:spacing w:after="0"/>
            </w:pPr>
            <w:r>
              <w:rPr>
                <w:sz w:val="17"/>
                <w:szCs w:val="17"/>
              </w:rPr>
              <w:t xml:space="preserve">$14</w:t>
            </w:r>
          </w:p>
        </w:tc>
        <w:tc>
          <w:tcPr>
            <w:tcW w:type="dxa" w:w="1511"/>
            <w:shd w:fill="F2F5F9" w:color="auto" w:val="clear"/>
            <w:tcMar>
              <w:top w:type="dxa" w:w="40"/>
              <w:left w:type="dxa" w:w="70"/>
              <w:bottom w:type="dxa" w:w="40"/>
              <w:right w:type="dxa" w:w="70"/>
            </w:tcMar>
          </w:tcPr>
          <w:p>
            <w:pPr>
              <w:spacing w:after="0"/>
            </w:pPr>
            <w:r>
              <w:rPr>
                <w:sz w:val="17"/>
                <w:szCs w:val="17"/>
              </w:rPr>
              <w:t xml:space="preserve">$4.82 → $6.03 (+25%; 509% modifier)</w:t>
            </w:r>
          </w:p>
        </w:tc>
        <w:tc>
          <w:tcPr>
            <w:tcW w:type="dxa" w:w="806"/>
            <w:shd w:fill="F2F5F9" w:color="auto" w:val="clear"/>
            <w:tcMar>
              <w:top w:type="dxa" w:w="40"/>
              <w:left w:type="dxa" w:w="70"/>
              <w:bottom w:type="dxa" w:w="40"/>
              <w:right w:type="dxa" w:w="70"/>
            </w:tcMar>
          </w:tcPr>
          <w:p>
            <w:pPr>
              <w:spacing w:after="0"/>
            </w:pPr>
            <w:r>
              <w:rPr>
                <w:sz w:val="17"/>
                <w:szCs w:val="17"/>
              </w:rPr>
              <w:t xml:space="preserve">$44</w:t>
            </w:r>
          </w:p>
        </w:tc>
        <w:tc>
          <w:tcPr>
            <w:tcW w:type="dxa" w:w="1511"/>
            <w:shd w:fill="F2F5F9" w:color="auto" w:val="clear"/>
            <w:tcMar>
              <w:top w:type="dxa" w:w="40"/>
              <w:left w:type="dxa" w:w="70"/>
              <w:bottom w:type="dxa" w:w="40"/>
              <w:right w:type="dxa" w:w="70"/>
            </w:tcMar>
          </w:tcPr>
          <w:p>
            <w:pPr>
              <w:spacing w:after="0"/>
            </w:pPr>
            <w:r>
              <w:rPr>
                <w:sz w:val="17"/>
                <w:szCs w:val="17"/>
              </w:rPr>
              <w:t xml:space="preserve">$5</w:t>
            </w:r>
          </w:p>
        </w:tc>
        <w:tc>
          <w:tcPr>
            <w:tcW w:type="dxa" w:w="906"/>
            <w:shd w:fill="F2F5F9" w:color="auto" w:val="clear"/>
            <w:tcMar>
              <w:top w:type="dxa" w:w="40"/>
              <w:left w:type="dxa" w:w="70"/>
              <w:bottom w:type="dxa" w:w="40"/>
              <w:right w:type="dxa" w:w="70"/>
            </w:tcMar>
          </w:tcPr>
          <w:p>
            <w:pPr>
              <w:spacing w:after="0"/>
            </w:pPr>
            <w:r>
              <w:rPr>
                <w:sz w:val="17"/>
                <w:szCs w:val="17"/>
              </w:rPr>
              <w:t xml:space="preserve">pass</w:t>
            </w:r>
          </w:p>
        </w:tc>
      </w:tr>
      <w:tr>
        <w:tc>
          <w:tcPr>
            <w:tcW w:type="dxa" w:w="453"/>
            <w:shd w:fill="FFFFFF" w:color="auto" w:val="clear"/>
            <w:tcMar>
              <w:top w:type="dxa" w:w="40"/>
              <w:left w:type="dxa" w:w="70"/>
              <w:bottom w:type="dxa" w:w="40"/>
              <w:right w:type="dxa" w:w="70"/>
            </w:tcMar>
          </w:tcPr>
          <w:p>
            <w:pPr>
              <w:spacing w:after="0"/>
            </w:pPr>
            <w:r>
              <w:rPr>
                <w:sz w:val="17"/>
                <w:szCs w:val="17"/>
              </w:rPr>
              <w:t xml:space="preserve">526</w:t>
            </w:r>
          </w:p>
        </w:tc>
        <w:tc>
          <w:tcPr>
            <w:tcW w:type="dxa" w:w="2367"/>
            <w:shd w:fill="FFFFFF" w:color="auto" w:val="clear"/>
            <w:tcMar>
              <w:top w:type="dxa" w:w="40"/>
              <w:left w:type="dxa" w:w="70"/>
              <w:bottom w:type="dxa" w:w="40"/>
              <w:right w:type="dxa" w:w="70"/>
            </w:tcMar>
          </w:tcPr>
          <w:p>
            <w:pPr>
              <w:spacing w:after="0"/>
            </w:pPr>
            <w:r>
              <w:rPr>
                <w:sz w:val="17"/>
                <w:szCs w:val="17"/>
              </w:rPr>
              <w:t xml:space="preserve">Bamboo California King Sheets (LSV) · bamboo california king sheets</w:t>
            </w:r>
          </w:p>
        </w:tc>
        <w:tc>
          <w:tcPr>
            <w:tcW w:type="dxa" w:w="907"/>
            <w:shd w:fill="FFFFFF" w:color="auto" w:val="clear"/>
            <w:tcMar>
              <w:top w:type="dxa" w:w="40"/>
              <w:left w:type="dxa" w:w="70"/>
              <w:bottom w:type="dxa" w:w="40"/>
              <w:right w:type="dxa" w:w="70"/>
            </w:tcMar>
          </w:tcPr>
          <w:p>
            <w:pPr>
              <w:spacing w:after="0"/>
            </w:pPr>
            <w:r>
              <w:rPr>
                <w:sz w:val="17"/>
                <w:szCs w:val="17"/>
              </w:rPr>
              <w:t xml:space="preserve">14 (12; 5 in window)</w:t>
            </w:r>
          </w:p>
        </w:tc>
        <w:tc>
          <w:tcPr>
            <w:tcW w:type="dxa" w:w="806"/>
            <w:shd w:fill="FFFFFF" w:color="auto" w:val="clear"/>
            <w:tcMar>
              <w:top w:type="dxa" w:w="40"/>
              <w:left w:type="dxa" w:w="70"/>
              <w:bottom w:type="dxa" w:w="40"/>
              <w:right w:type="dxa" w:w="70"/>
            </w:tcMar>
          </w:tcPr>
          <w:p>
            <w:pPr>
              <w:spacing w:after="0"/>
            </w:pPr>
            <w:r>
              <w:rPr>
                <w:sz w:val="17"/>
                <w:szCs w:val="17"/>
              </w:rPr>
              <w:t xml:space="preserve">27 / 1</w:t>
            </w:r>
          </w:p>
        </w:tc>
        <w:tc>
          <w:tcPr>
            <w:tcW w:type="dxa" w:w="705"/>
            <w:shd w:fill="FFFFFF" w:color="auto" w:val="clear"/>
            <w:tcMar>
              <w:top w:type="dxa" w:w="40"/>
              <w:left w:type="dxa" w:w="70"/>
              <w:bottom w:type="dxa" w:w="40"/>
              <w:right w:type="dxa" w:w="70"/>
            </w:tcMar>
          </w:tcPr>
          <w:p>
            <w:pPr>
              <w:spacing w:after="0"/>
            </w:pPr>
            <w:r>
              <w:rPr>
                <w:sz w:val="17"/>
                <w:szCs w:val="17"/>
              </w:rPr>
              <w:t xml:space="preserve">$14</w:t>
            </w:r>
          </w:p>
        </w:tc>
        <w:tc>
          <w:tcPr>
            <w:tcW w:type="dxa" w:w="1511"/>
            <w:shd w:fill="FFFFFF" w:color="auto" w:val="clear"/>
            <w:tcMar>
              <w:top w:type="dxa" w:w="40"/>
              <w:left w:type="dxa" w:w="70"/>
              <w:bottom w:type="dxa" w:w="40"/>
              <w:right w:type="dxa" w:w="70"/>
            </w:tcMar>
          </w:tcPr>
          <w:p>
            <w:pPr>
              <w:spacing w:after="0"/>
            </w:pPr>
            <w:r>
              <w:rPr>
                <w:sz w:val="17"/>
                <w:szCs w:val="17"/>
              </w:rPr>
              <w:t xml:space="preserve">$4.80 → $5.32 (+11%)</w:t>
            </w:r>
          </w:p>
        </w:tc>
        <w:tc>
          <w:tcPr>
            <w:tcW w:type="dxa" w:w="806"/>
            <w:shd w:fill="FFFFFF" w:color="auto" w:val="clear"/>
            <w:tcMar>
              <w:top w:type="dxa" w:w="40"/>
              <w:left w:type="dxa" w:w="70"/>
              <w:bottom w:type="dxa" w:w="40"/>
              <w:right w:type="dxa" w:w="70"/>
            </w:tcMar>
          </w:tcPr>
          <w:p>
            <w:pPr>
              <w:spacing w:after="0"/>
            </w:pPr>
            <w:r>
              <w:rPr>
                <w:sz w:val="17"/>
                <w:szCs w:val="17"/>
              </w:rPr>
              <w:t xml:space="preserve">$39</w:t>
            </w:r>
          </w:p>
        </w:tc>
        <w:tc>
          <w:tcPr>
            <w:tcW w:type="dxa" w:w="1511"/>
            <w:shd w:fill="FFFFFF" w:color="auto" w:val="clear"/>
            <w:tcMar>
              <w:top w:type="dxa" w:w="40"/>
              <w:left w:type="dxa" w:w="70"/>
              <w:bottom w:type="dxa" w:w="40"/>
              <w:right w:type="dxa" w:w="70"/>
            </w:tcMar>
          </w:tcPr>
          <w:p>
            <w:pPr>
              <w:spacing w:after="0"/>
            </w:pPr>
            <w:r>
              <w:rPr>
                <w:sz w:val="17"/>
                <w:szCs w:val="17"/>
              </w:rPr>
              <w:t xml:space="preserve">$10</w:t>
            </w:r>
          </w:p>
        </w:tc>
        <w:tc>
          <w:tcPr>
            <w:tcW w:type="dxa" w:w="906"/>
            <w:shd w:fill="FFFFFF" w:color="auto" w:val="clear"/>
            <w:tcMar>
              <w:top w:type="dxa" w:w="40"/>
              <w:left w:type="dxa" w:w="70"/>
              <w:bottom w:type="dxa" w:w="40"/>
              <w:right w:type="dxa" w:w="70"/>
            </w:tcMar>
          </w:tcPr>
          <w:p>
            <w:pPr>
              <w:spacing w:after="0"/>
            </w:pPr>
            <w:r>
              <w:rPr>
                <w:sz w:val="17"/>
                <w:szCs w:val="17"/>
              </w:rPr>
              <w:t xml:space="preserve">pass</w:t>
            </w:r>
          </w:p>
        </w:tc>
      </w:tr>
      <w:tr>
        <w:tc>
          <w:tcPr>
            <w:tcW w:type="dxa" w:w="453"/>
            <w:shd w:fill="F2F5F9" w:color="auto" w:val="clear"/>
            <w:tcMar>
              <w:top w:type="dxa" w:w="40"/>
              <w:left w:type="dxa" w:w="70"/>
              <w:bottom w:type="dxa" w:w="40"/>
              <w:right w:type="dxa" w:w="70"/>
            </w:tcMar>
          </w:tcPr>
          <w:p>
            <w:pPr>
              <w:spacing w:after="0"/>
            </w:pPr>
            <w:r>
              <w:rPr>
                <w:sz w:val="17"/>
                <w:szCs w:val="17"/>
              </w:rPr>
              <w:t xml:space="preserve">571</w:t>
            </w:r>
          </w:p>
        </w:tc>
        <w:tc>
          <w:tcPr>
            <w:tcW w:type="dxa" w:w="2367"/>
            <w:shd w:fill="F2F5F9" w:color="auto" w:val="clear"/>
            <w:tcMar>
              <w:top w:type="dxa" w:w="40"/>
              <w:left w:type="dxa" w:w="70"/>
              <w:bottom w:type="dxa" w:w="40"/>
              <w:right w:type="dxa" w:w="70"/>
            </w:tcMar>
          </w:tcPr>
          <w:p>
            <w:pPr>
              <w:spacing w:after="0"/>
            </w:pPr>
            <w:r>
              <w:rPr>
                <w:sz w:val="17"/>
                <w:szCs w:val="17"/>
              </w:rPr>
              <w:t xml:space="preserve">California King Sheets Bamboo (VLSV) · california king sheets bamboo</w:t>
            </w:r>
          </w:p>
        </w:tc>
        <w:tc>
          <w:tcPr>
            <w:tcW w:type="dxa" w:w="907"/>
            <w:shd w:fill="F2F5F9" w:color="auto" w:val="clear"/>
            <w:tcMar>
              <w:top w:type="dxa" w:w="40"/>
              <w:left w:type="dxa" w:w="70"/>
              <w:bottom w:type="dxa" w:w="40"/>
              <w:right w:type="dxa" w:w="70"/>
            </w:tcMar>
          </w:tcPr>
          <w:p>
            <w:pPr>
              <w:spacing w:after="0"/>
            </w:pPr>
            <w:r>
              <w:rPr>
                <w:sz w:val="17"/>
                <w:szCs w:val="17"/>
              </w:rPr>
              <w:t xml:space="preserve">23 (a 26 June reading)</w:t>
            </w:r>
          </w:p>
        </w:tc>
        <w:tc>
          <w:tcPr>
            <w:tcW w:type="dxa" w:w="806"/>
            <w:shd w:fill="F2F5F9" w:color="auto" w:val="clear"/>
            <w:tcMar>
              <w:top w:type="dxa" w:w="40"/>
              <w:left w:type="dxa" w:w="70"/>
              <w:bottom w:type="dxa" w:w="40"/>
              <w:right w:type="dxa" w:w="70"/>
            </w:tcMar>
          </w:tcPr>
          <w:p>
            <w:pPr>
              <w:spacing w:after="0"/>
            </w:pPr>
            <w:r>
              <w:rPr>
                <w:sz w:val="17"/>
                <w:szCs w:val="17"/>
              </w:rPr>
              <w:t xml:space="preserve">9 / 2</w:t>
            </w:r>
          </w:p>
        </w:tc>
        <w:tc>
          <w:tcPr>
            <w:tcW w:type="dxa" w:w="705"/>
            <w:shd w:fill="F2F5F9" w:color="auto" w:val="clear"/>
            <w:tcMar>
              <w:top w:type="dxa" w:w="40"/>
              <w:left w:type="dxa" w:w="70"/>
              <w:bottom w:type="dxa" w:w="40"/>
              <w:right w:type="dxa" w:w="70"/>
            </w:tcMar>
          </w:tcPr>
          <w:p>
            <w:pPr>
              <w:spacing w:after="0"/>
            </w:pPr>
            <w:r>
              <w:rPr>
                <w:sz w:val="17"/>
                <w:szCs w:val="17"/>
              </w:rPr>
              <w:t xml:space="preserve">$7</w:t>
            </w:r>
          </w:p>
        </w:tc>
        <w:tc>
          <w:tcPr>
            <w:tcW w:type="dxa" w:w="1511"/>
            <w:shd w:fill="F2F5F9" w:color="auto" w:val="clear"/>
            <w:tcMar>
              <w:top w:type="dxa" w:w="40"/>
              <w:left w:type="dxa" w:w="70"/>
              <w:bottom w:type="dxa" w:w="40"/>
              <w:right w:type="dxa" w:w="70"/>
            </w:tcMar>
          </w:tcPr>
          <w:p>
            <w:pPr>
              <w:spacing w:after="0"/>
            </w:pPr>
            <w:r>
              <w:rPr>
                <w:sz w:val="17"/>
                <w:szCs w:val="17"/>
              </w:rPr>
              <w:t xml:space="preserve">$4.75 → $5.95 (+25%)</w:t>
            </w:r>
          </w:p>
        </w:tc>
        <w:tc>
          <w:tcPr>
            <w:tcW w:type="dxa" w:w="806"/>
            <w:shd w:fill="F2F5F9" w:color="auto" w:val="clear"/>
            <w:tcMar>
              <w:top w:type="dxa" w:w="40"/>
              <w:left w:type="dxa" w:w="70"/>
              <w:bottom w:type="dxa" w:w="40"/>
              <w:right w:type="dxa" w:w="70"/>
            </w:tcMar>
          </w:tcPr>
          <w:p>
            <w:pPr>
              <w:spacing w:after="0"/>
            </w:pPr>
            <w:r>
              <w:rPr>
                <w:sz w:val="17"/>
                <w:szCs w:val="17"/>
              </w:rPr>
              <w:t xml:space="preserve">$43</w:t>
            </w:r>
          </w:p>
        </w:tc>
        <w:tc>
          <w:tcPr>
            <w:tcW w:type="dxa" w:w="1511"/>
            <w:shd w:fill="F2F5F9" w:color="auto" w:val="clear"/>
            <w:tcMar>
              <w:top w:type="dxa" w:w="40"/>
              <w:left w:type="dxa" w:w="70"/>
              <w:bottom w:type="dxa" w:w="40"/>
              <w:right w:type="dxa" w:w="70"/>
            </w:tcMar>
          </w:tcPr>
          <w:p>
            <w:pPr>
              <w:spacing w:after="0"/>
            </w:pPr>
            <w:r>
              <w:rPr>
                <w:sz w:val="17"/>
                <w:szCs w:val="17"/>
              </w:rPr>
              <w:t xml:space="preserve">$5</w:t>
            </w:r>
          </w:p>
        </w:tc>
        <w:tc>
          <w:tcPr>
            <w:tcW w:type="dxa" w:w="906"/>
            <w:shd w:fill="F2F5F9" w:color="auto" w:val="clear"/>
            <w:tcMar>
              <w:top w:type="dxa" w:w="40"/>
              <w:left w:type="dxa" w:w="70"/>
              <w:bottom w:type="dxa" w:w="40"/>
              <w:right w:type="dxa" w:w="70"/>
            </w:tcMar>
          </w:tcPr>
          <w:p>
            <w:pPr>
              <w:spacing w:after="0"/>
            </w:pPr>
            <w:r>
              <w:rPr>
                <w:sz w:val="17"/>
                <w:szCs w:val="17"/>
              </w:rPr>
              <w:t xml:space="preserve">pass</w:t>
            </w:r>
          </w:p>
        </w:tc>
      </w:tr>
      <w:tr>
        <w:tc>
          <w:tcPr>
            <w:tcW w:type="dxa" w:w="453"/>
            <w:shd w:fill="FFFFFF" w:color="auto" w:val="clear"/>
            <w:tcMar>
              <w:top w:type="dxa" w:w="40"/>
              <w:left w:type="dxa" w:w="70"/>
              <w:bottom w:type="dxa" w:w="40"/>
              <w:right w:type="dxa" w:w="70"/>
            </w:tcMar>
          </w:tcPr>
          <w:p>
            <w:pPr>
              <w:spacing w:after="0"/>
            </w:pPr>
            <w:r>
              <w:rPr>
                <w:sz w:val="17"/>
                <w:szCs w:val="17"/>
              </w:rPr>
              <w:t xml:space="preserve">293</w:t>
            </w:r>
          </w:p>
        </w:tc>
        <w:tc>
          <w:tcPr>
            <w:tcW w:type="dxa" w:w="2367"/>
            <w:shd w:fill="FFFFFF" w:color="auto" w:val="clear"/>
            <w:tcMar>
              <w:top w:type="dxa" w:w="40"/>
              <w:left w:type="dxa" w:w="70"/>
              <w:bottom w:type="dxa" w:w="40"/>
              <w:right w:type="dxa" w:w="70"/>
            </w:tcMar>
          </w:tcPr>
          <w:p>
            <w:pPr>
              <w:spacing w:after="0"/>
            </w:pPr>
            <w:r>
              <w:rPr>
                <w:sz w:val="17"/>
                <w:szCs w:val="17"/>
              </w:rPr>
              <w:t xml:space="preserve">Cal King Bamboo Sheets (VLSV) · california king bamboo sheets</w:t>
            </w:r>
          </w:p>
        </w:tc>
        <w:tc>
          <w:tcPr>
            <w:tcW w:type="dxa" w:w="907"/>
            <w:shd w:fill="FFFFFF" w:color="auto" w:val="clear"/>
            <w:tcMar>
              <w:top w:type="dxa" w:w="40"/>
              <w:left w:type="dxa" w:w="70"/>
              <w:bottom w:type="dxa" w:w="40"/>
              <w:right w:type="dxa" w:w="70"/>
            </w:tcMar>
          </w:tcPr>
          <w:p>
            <w:pPr>
              <w:spacing w:after="0"/>
            </w:pPr>
            <w:r>
              <w:rPr>
                <w:sz w:val="17"/>
                <w:szCs w:val="17"/>
              </w:rPr>
              <w:t xml:space="preserve">10 (7)</w:t>
            </w:r>
          </w:p>
        </w:tc>
        <w:tc>
          <w:tcPr>
            <w:tcW w:type="dxa" w:w="806"/>
            <w:shd w:fill="FFFFFF" w:color="auto" w:val="clear"/>
            <w:tcMar>
              <w:top w:type="dxa" w:w="40"/>
              <w:left w:type="dxa" w:w="70"/>
              <w:bottom w:type="dxa" w:w="40"/>
              <w:right w:type="dxa" w:w="70"/>
            </w:tcMar>
          </w:tcPr>
          <w:p>
            <w:pPr>
              <w:spacing w:after="0"/>
            </w:pPr>
            <w:r>
              <w:rPr>
                <w:sz w:val="17"/>
                <w:szCs w:val="17"/>
              </w:rPr>
              <w:t xml:space="preserve">58 / 7</w:t>
            </w:r>
          </w:p>
        </w:tc>
        <w:tc>
          <w:tcPr>
            <w:tcW w:type="dxa" w:w="705"/>
            <w:shd w:fill="FFFFFF" w:color="auto" w:val="clear"/>
            <w:tcMar>
              <w:top w:type="dxa" w:w="40"/>
              <w:left w:type="dxa" w:w="70"/>
              <w:bottom w:type="dxa" w:w="40"/>
              <w:right w:type="dxa" w:w="70"/>
            </w:tcMar>
          </w:tcPr>
          <w:p>
            <w:pPr>
              <w:spacing w:after="0"/>
            </w:pPr>
            <w:r>
              <w:rPr>
                <w:sz w:val="17"/>
                <w:szCs w:val="17"/>
              </w:rPr>
              <w:t xml:space="preserve">$0</w:t>
            </w:r>
          </w:p>
        </w:tc>
        <w:tc>
          <w:tcPr>
            <w:tcW w:type="dxa" w:w="1511"/>
            <w:shd w:fill="FFFFFF" w:color="auto" w:val="clear"/>
            <w:tcMar>
              <w:top w:type="dxa" w:w="40"/>
              <w:left w:type="dxa" w:w="70"/>
              <w:bottom w:type="dxa" w:w="40"/>
              <w:right w:type="dxa" w:w="70"/>
            </w:tcMar>
          </w:tcPr>
          <w:p>
            <w:pPr>
              <w:spacing w:after="0"/>
            </w:pPr>
            <w:r>
              <w:rPr>
                <w:sz w:val="17"/>
                <w:szCs w:val="17"/>
              </w:rPr>
              <w:t xml:space="preserve">$3.84 → $4.79 (+25%)</w:t>
            </w:r>
          </w:p>
        </w:tc>
        <w:tc>
          <w:tcPr>
            <w:tcW w:type="dxa" w:w="806"/>
            <w:shd w:fill="FFFFFF" w:color="auto" w:val="clear"/>
            <w:tcMar>
              <w:top w:type="dxa" w:w="40"/>
              <w:left w:type="dxa" w:w="70"/>
              <w:bottom w:type="dxa" w:w="40"/>
              <w:right w:type="dxa" w:w="70"/>
            </w:tcMar>
          </w:tcPr>
          <w:p>
            <w:pPr>
              <w:spacing w:after="0"/>
            </w:pPr>
            <w:r>
              <w:rPr>
                <w:sz w:val="17"/>
                <w:szCs w:val="17"/>
              </w:rPr>
              <w:t xml:space="preserve">$35</w:t>
            </w:r>
          </w:p>
        </w:tc>
        <w:tc>
          <w:tcPr>
            <w:tcW w:type="dxa" w:w="1511"/>
            <w:shd w:fill="FFFFFF" w:color="auto" w:val="clear"/>
            <w:tcMar>
              <w:top w:type="dxa" w:w="40"/>
              <w:left w:type="dxa" w:w="70"/>
              <w:bottom w:type="dxa" w:w="40"/>
              <w:right w:type="dxa" w:w="70"/>
            </w:tcMar>
          </w:tcPr>
          <w:p>
            <w:pPr>
              <w:spacing w:after="0"/>
            </w:pPr>
            <w:r>
              <w:rPr>
                <w:sz w:val="17"/>
                <w:szCs w:val="17"/>
              </w:rPr>
              <w:t xml:space="preserve">$8.23</w:t>
            </w:r>
          </w:p>
        </w:tc>
        <w:tc>
          <w:tcPr>
            <w:tcW w:type="dxa" w:w="906"/>
            <w:shd w:fill="FFFFFF" w:color="auto" w:val="clear"/>
            <w:tcMar>
              <w:top w:type="dxa" w:w="40"/>
              <w:left w:type="dxa" w:w="70"/>
              <w:bottom w:type="dxa" w:w="40"/>
              <w:right w:type="dxa" w:w="70"/>
            </w:tcMar>
          </w:tcPr>
          <w:p>
            <w:pPr>
              <w:spacing w:after="0"/>
            </w:pPr>
            <w:r>
              <w:rPr>
                <w:sz w:val="17"/>
                <w:szCs w:val="17"/>
              </w:rPr>
              <w:t xml:space="preserve">corrected: hold $3.84</w:t>
            </w:r>
          </w:p>
        </w:tc>
      </w:tr>
      <w:tr>
        <w:tc>
          <w:tcPr>
            <w:tcW w:type="dxa" w:w="453"/>
            <w:shd w:fill="F2F5F9" w:color="auto" w:val="clear"/>
            <w:tcMar>
              <w:top w:type="dxa" w:w="40"/>
              <w:left w:type="dxa" w:w="70"/>
              <w:bottom w:type="dxa" w:w="40"/>
              <w:right w:type="dxa" w:w="70"/>
            </w:tcMar>
          </w:tcPr>
          <w:p>
            <w:pPr>
              <w:spacing w:after="0"/>
            </w:pPr>
            <w:r>
              <w:rPr>
                <w:sz w:val="17"/>
                <w:szCs w:val="17"/>
              </w:rPr>
              <w:t xml:space="preserve">687</w:t>
            </w:r>
          </w:p>
        </w:tc>
        <w:tc>
          <w:tcPr>
            <w:tcW w:type="dxa" w:w="2367"/>
            <w:shd w:fill="F2F5F9" w:color="auto" w:val="clear"/>
            <w:tcMar>
              <w:top w:type="dxa" w:w="40"/>
              <w:left w:type="dxa" w:w="70"/>
              <w:bottom w:type="dxa" w:w="40"/>
              <w:right w:type="dxa" w:w="70"/>
            </w:tcMar>
          </w:tcPr>
          <w:p>
            <w:pPr>
              <w:spacing w:after="0"/>
            </w:pPr>
            <w:r>
              <w:rPr>
                <w:sz w:val="17"/>
                <w:szCs w:val="17"/>
              </w:rPr>
              <w:t xml:space="preserve">Bamboo Cooling Sheets King Size (LSV) · bamboo cooling sheets king</w:t>
            </w:r>
          </w:p>
        </w:tc>
        <w:tc>
          <w:tcPr>
            <w:tcW w:type="dxa" w:w="907"/>
            <w:shd w:fill="F2F5F9" w:color="auto" w:val="clear"/>
            <w:tcMar>
              <w:top w:type="dxa" w:w="40"/>
              <w:left w:type="dxa" w:w="70"/>
              <w:bottom w:type="dxa" w:w="40"/>
              <w:right w:type="dxa" w:w="70"/>
            </w:tcMar>
          </w:tcPr>
          <w:p>
            <w:pPr>
              <w:spacing w:after="0"/>
            </w:pPr>
            <w:r>
              <w:rPr>
                <w:sz w:val="17"/>
                <w:szCs w:val="17"/>
              </w:rPr>
              <w:t xml:space="preserve">27 (37; 12 in window)</w:t>
            </w:r>
          </w:p>
        </w:tc>
        <w:tc>
          <w:tcPr>
            <w:tcW w:type="dxa" w:w="806"/>
            <w:shd w:fill="F2F5F9" w:color="auto" w:val="clear"/>
            <w:tcMar>
              <w:top w:type="dxa" w:w="40"/>
              <w:left w:type="dxa" w:w="70"/>
              <w:bottom w:type="dxa" w:w="40"/>
              <w:right w:type="dxa" w:w="70"/>
            </w:tcMar>
          </w:tcPr>
          <w:p>
            <w:pPr>
              <w:spacing w:after="0"/>
            </w:pPr>
            <w:r>
              <w:rPr>
                <w:sz w:val="17"/>
                <w:szCs w:val="17"/>
              </w:rPr>
              <w:t xml:space="preserve">238 / 29</w:t>
            </w:r>
          </w:p>
        </w:tc>
        <w:tc>
          <w:tcPr>
            <w:tcW w:type="dxa" w:w="705"/>
            <w:shd w:fill="F2F5F9" w:color="auto" w:val="clear"/>
            <w:tcMar>
              <w:top w:type="dxa" w:w="40"/>
              <w:left w:type="dxa" w:w="70"/>
              <w:bottom w:type="dxa" w:w="40"/>
              <w:right w:type="dxa" w:w="70"/>
            </w:tcMar>
          </w:tcPr>
          <w:p>
            <w:pPr>
              <w:spacing w:after="0"/>
            </w:pPr>
            <w:r>
              <w:rPr>
                <w:sz w:val="17"/>
                <w:szCs w:val="17"/>
              </w:rPr>
              <w:t xml:space="preserve">$0</w:t>
            </w:r>
          </w:p>
        </w:tc>
        <w:tc>
          <w:tcPr>
            <w:tcW w:type="dxa" w:w="1511"/>
            <w:shd w:fill="F2F5F9" w:color="auto" w:val="clear"/>
            <w:tcMar>
              <w:top w:type="dxa" w:w="40"/>
              <w:left w:type="dxa" w:w="70"/>
              <w:bottom w:type="dxa" w:w="40"/>
              <w:right w:type="dxa" w:w="70"/>
            </w:tcMar>
          </w:tcPr>
          <w:p>
            <w:pPr>
              <w:spacing w:after="0"/>
            </w:pPr>
            <w:r>
              <w:rPr>
                <w:sz w:val="17"/>
                <w:szCs w:val="17"/>
              </w:rPr>
              <w:t xml:space="preserve">$2.55 → $3.19 (+25%)</w:t>
            </w:r>
          </w:p>
        </w:tc>
        <w:tc>
          <w:tcPr>
            <w:tcW w:type="dxa" w:w="806"/>
            <w:shd w:fill="F2F5F9" w:color="auto" w:val="clear"/>
            <w:tcMar>
              <w:top w:type="dxa" w:w="40"/>
              <w:left w:type="dxa" w:w="70"/>
              <w:bottom w:type="dxa" w:w="40"/>
              <w:right w:type="dxa" w:w="70"/>
            </w:tcMar>
          </w:tcPr>
          <w:p>
            <w:pPr>
              <w:spacing w:after="0"/>
            </w:pPr>
            <w:r>
              <w:rPr>
                <w:sz w:val="17"/>
                <w:szCs w:val="17"/>
              </w:rPr>
              <w:t xml:space="preserve">$23</w:t>
            </w:r>
          </w:p>
        </w:tc>
        <w:tc>
          <w:tcPr>
            <w:tcW w:type="dxa" w:w="1511"/>
            <w:shd w:fill="F2F5F9" w:color="auto" w:val="clear"/>
            <w:tcMar>
              <w:top w:type="dxa" w:w="40"/>
              <w:left w:type="dxa" w:w="70"/>
              <w:bottom w:type="dxa" w:w="40"/>
              <w:right w:type="dxa" w:w="70"/>
            </w:tcMar>
          </w:tcPr>
          <w:p>
            <w:pPr>
              <w:spacing w:after="0"/>
            </w:pPr>
            <w:r>
              <w:rPr>
                <w:sz w:val="17"/>
                <w:szCs w:val="17"/>
              </w:rPr>
              <w:t xml:space="preserve">$5 → $6.51 (code-held)</w:t>
            </w:r>
          </w:p>
        </w:tc>
        <w:tc>
          <w:tcPr>
            <w:tcW w:type="dxa" w:w="906"/>
            <w:shd w:fill="F2F5F9" w:color="auto" w:val="clear"/>
            <w:tcMar>
              <w:top w:type="dxa" w:w="40"/>
              <w:left w:type="dxa" w:w="70"/>
              <w:bottom w:type="dxa" w:w="40"/>
              <w:right w:type="dxa" w:w="70"/>
            </w:tcMar>
          </w:tcPr>
          <w:p>
            <w:pPr>
              <w:spacing w:after="0"/>
            </w:pPr>
            <w:r>
              <w:rPr>
                <w:sz w:val="17"/>
                <w:szCs w:val="17"/>
              </w:rPr>
              <w:t xml:space="preserve">pass</w:t>
            </w:r>
          </w:p>
        </w:tc>
      </w:tr>
      <w:tr>
        <w:tc>
          <w:tcPr>
            <w:tcW w:type="dxa" w:w="453"/>
            <w:shd w:fill="FFFFFF" w:color="auto" w:val="clear"/>
            <w:tcMar>
              <w:top w:type="dxa" w:w="40"/>
              <w:left w:type="dxa" w:w="70"/>
              <w:bottom w:type="dxa" w:w="40"/>
              <w:right w:type="dxa" w:w="70"/>
            </w:tcMar>
          </w:tcPr>
          <w:p>
            <w:pPr>
              <w:spacing w:after="0"/>
            </w:pPr>
            <w:r>
              <w:rPr>
                <w:sz w:val="17"/>
                <w:szCs w:val="17"/>
              </w:rPr>
              <w:t xml:space="preserve">1002</w:t>
            </w:r>
          </w:p>
        </w:tc>
        <w:tc>
          <w:tcPr>
            <w:tcW w:type="dxa" w:w="2367"/>
            <w:shd w:fill="FFFFFF" w:color="auto" w:val="clear"/>
            <w:tcMar>
              <w:top w:type="dxa" w:w="40"/>
              <w:left w:type="dxa" w:w="70"/>
              <w:bottom w:type="dxa" w:w="40"/>
              <w:right w:type="dxa" w:w="70"/>
            </w:tcMar>
          </w:tcPr>
          <w:p>
            <w:pPr>
              <w:spacing w:after="0"/>
            </w:pPr>
            <w:r>
              <w:rPr>
                <w:sz w:val="17"/>
                <w:szCs w:val="17"/>
              </w:rPr>
              <w:t xml:space="preserve">Cooling Bamboo Sheets Queen Size (LSV) · cooling bamboo sheets queen size</w:t>
            </w:r>
          </w:p>
        </w:tc>
        <w:tc>
          <w:tcPr>
            <w:tcW w:type="dxa" w:w="907"/>
            <w:shd w:fill="FFFFFF" w:color="auto" w:val="clear"/>
            <w:tcMar>
              <w:top w:type="dxa" w:w="40"/>
              <w:left w:type="dxa" w:w="70"/>
              <w:bottom w:type="dxa" w:w="40"/>
              <w:right w:type="dxa" w:w="70"/>
            </w:tcMar>
          </w:tcPr>
          <w:p>
            <w:pPr>
              <w:spacing w:after="0"/>
            </w:pPr>
            <w:r>
              <w:rPr>
                <w:sz w:val="17"/>
                <w:szCs w:val="17"/>
              </w:rPr>
              <w:t xml:space="preserve">55 (43; 11 in window)</w:t>
            </w:r>
          </w:p>
        </w:tc>
        <w:tc>
          <w:tcPr>
            <w:tcW w:type="dxa" w:w="806"/>
            <w:shd w:fill="FFFFFF" w:color="auto" w:val="clear"/>
            <w:tcMar>
              <w:top w:type="dxa" w:w="40"/>
              <w:left w:type="dxa" w:w="70"/>
              <w:bottom w:type="dxa" w:w="40"/>
              <w:right w:type="dxa" w:w="70"/>
            </w:tcMar>
          </w:tcPr>
          <w:p>
            <w:pPr>
              <w:spacing w:after="0"/>
            </w:pPr>
            <w:r>
              <w:rPr>
                <w:sz w:val="17"/>
                <w:szCs w:val="17"/>
              </w:rPr>
              <w:t xml:space="preserve">54 / 7</w:t>
            </w:r>
          </w:p>
        </w:tc>
        <w:tc>
          <w:tcPr>
            <w:tcW w:type="dxa" w:w="705"/>
            <w:shd w:fill="FFFFFF" w:color="auto" w:val="clear"/>
            <w:tcMar>
              <w:top w:type="dxa" w:w="40"/>
              <w:left w:type="dxa" w:w="70"/>
              <w:bottom w:type="dxa" w:w="40"/>
              <w:right w:type="dxa" w:w="70"/>
            </w:tcMar>
          </w:tcPr>
          <w:p>
            <w:pPr>
              <w:spacing w:after="0"/>
            </w:pPr>
            <w:r>
              <w:rPr>
                <w:sz w:val="17"/>
                <w:szCs w:val="17"/>
              </w:rPr>
              <w:t xml:space="preserve">$0</w:t>
            </w:r>
          </w:p>
        </w:tc>
        <w:tc>
          <w:tcPr>
            <w:tcW w:type="dxa" w:w="1511"/>
            <w:shd w:fill="FFFFFF" w:color="auto" w:val="clear"/>
            <w:tcMar>
              <w:top w:type="dxa" w:w="40"/>
              <w:left w:type="dxa" w:w="70"/>
              <w:bottom w:type="dxa" w:w="40"/>
              <w:right w:type="dxa" w:w="70"/>
            </w:tcMar>
          </w:tcPr>
          <w:p>
            <w:pPr>
              <w:spacing w:after="0"/>
            </w:pPr>
            <w:r>
              <w:rPr>
                <w:sz w:val="17"/>
                <w:szCs w:val="17"/>
              </w:rPr>
              <w:t xml:space="preserve">$1.67 → $2.17 (+30%)</w:t>
            </w:r>
          </w:p>
        </w:tc>
        <w:tc>
          <w:tcPr>
            <w:tcW w:type="dxa" w:w="806"/>
            <w:shd w:fill="FFFFFF" w:color="auto" w:val="clear"/>
            <w:tcMar>
              <w:top w:type="dxa" w:w="40"/>
              <w:left w:type="dxa" w:w="70"/>
              <w:bottom w:type="dxa" w:w="40"/>
              <w:right w:type="dxa" w:w="70"/>
            </w:tcMar>
          </w:tcPr>
          <w:p>
            <w:pPr>
              <w:spacing w:after="0"/>
            </w:pPr>
            <w:r>
              <w:rPr>
                <w:sz w:val="17"/>
                <w:szCs w:val="17"/>
              </w:rPr>
              <w:t xml:space="preserve">$16</w:t>
            </w:r>
          </w:p>
        </w:tc>
        <w:tc>
          <w:tcPr>
            <w:tcW w:type="dxa" w:w="1511"/>
            <w:shd w:fill="FFFFFF" w:color="auto" w:val="clear"/>
            <w:tcMar>
              <w:top w:type="dxa" w:w="40"/>
              <w:left w:type="dxa" w:w="70"/>
              <w:bottom w:type="dxa" w:w="40"/>
              <w:right w:type="dxa" w:w="70"/>
            </w:tcMar>
          </w:tcPr>
          <w:p>
            <w:pPr>
              <w:spacing w:after="0"/>
            </w:pPr>
            <w:r>
              <w:rPr>
                <w:sz w:val="17"/>
                <w:szCs w:val="17"/>
              </w:rPr>
              <w:t xml:space="preserve">$9.94</w:t>
            </w:r>
          </w:p>
        </w:tc>
        <w:tc>
          <w:tcPr>
            <w:tcW w:type="dxa" w:w="906"/>
            <w:shd w:fill="FFFFFF" w:color="auto" w:val="clear"/>
            <w:tcMar>
              <w:top w:type="dxa" w:w="40"/>
              <w:left w:type="dxa" w:w="70"/>
              <w:bottom w:type="dxa" w:w="40"/>
              <w:right w:type="dxa" w:w="70"/>
            </w:tcMar>
          </w:tcPr>
          <w:p>
            <w:pPr>
              <w:spacing w:after="0"/>
            </w:pPr>
            <w:r>
              <w:rPr>
                <w:sz w:val="17"/>
                <w:szCs w:val="17"/>
              </w:rPr>
              <w:t xml:space="preserve">pass</w:t>
            </w:r>
          </w:p>
        </w:tc>
      </w:tr>
    </w:tbl>
    <w:p>
      <w:pPr>
        <w:spacing w:after="120"/>
      </w:pPr>
      <w:r>
        <w:rPr>
          <w:i/>
          <w:iCs/>
          <w:color w:val="555555"/>
          <w:sz w:val="17"/>
          <w:szCs w:val="17"/>
        </w:rPr>
        <w:t xml:space="preserve">TOS price = the plan keyword’s bid × (1 + top-of-search modifier), recomputed from the export. Cost per top-of-search order = price ÷ 13.7%, the engine’s lane prior (none of these campaigns has 15 top-of-search clicks of its own). “In window” is the best rank the term held in the last 30 days.</w:t>
      </w:r>
    </w:p>
    <w:p>
      <w:pPr>
        <w:spacing w:after="100"/>
      </w:pPr>
      <w:r>
        <w:t xml:space="preserve">The market bound is $6.62 on the California King rows and $5.74 on Bamboo|Cooling. All three dose rows are written past it ($8.04, $12.07, $8.04), and each says “no cap bound this write”. The logic (§8) requires the binding bound to be named on the row with the loss per order it implies. 369 was already above its bound before the write ($6.90 against $5.74). Every in-focus row is on down-only bidding (LEGACY_FOR_SALES), and none is delivering, so the §10 suppression check applies to all of them. Their ceilings are the engine’s “lane” figures ($3.51 and $3.77: a 13.7% lane conversion and a $25.57 lane contribution), not the serving child’s, which is what §2, §3 and §8 require. The four budget halves were not held on judgement. Their prediction reads “no claim — budget-follows-price”, which the prediction check cannot parse, so the code held them. The export itself calls a failed check an engine bug. The price halves shipped without them.</w:t>
      </w:r>
    </w:p>
    <w:p>
      <w:pPr>
        <w:pStyle w:val="Heading1"/>
      </w:pPr>
      <w:r>
        <w:t xml:space="preserve">A2. Three dose pushes at +75%: past the market bound, with no rank prediction, on terms with no orders</w:t>
      </w:r>
    </w:p>
    <w:p>
      <w:pPr>
        <w:spacing w:after="100"/>
      </w:pPr>
      <w:r>
        <w:rPr>
          <w:b/>
          <w:bCs/>
          <w:color w:val="1F3A5F"/>
        </w:rPr>
        <w:t xml:space="preserve">The rule (the logic, §4, §6, §8, §11). </w:t>
      </w:r>
      <w:r>
        <w:t xml:space="preserve">Price toward the target the gap sets, held to the market bound, in steps of at most 20–30% of the current price. The binding bound is named on the row with its loss per order. A push carries a rank prediction; without one it is priced at the ceiling. A wide gap is funded only when the four conditions are all present: sales velocity in the window, click-through above the market, conversion above the market, and stock to sustain it.</w:t>
      </w:r>
    </w:p>
    <w:p>
      <w:pPr>
        <w:spacing w:after="100"/>
      </w:pPr>
      <w:r>
        <w:rPr>
          <w:b/>
          <w:bCs/>
          <w:color w:val="1F3A5F"/>
        </w:rPr>
        <w:t xml:space="preserve">What the audit did. </w:t>
      </w:r>
      <w:r>
        <w:t xml:space="preserve">Raised all three by +75% (288, 369, 398) under a “dose push” rule that sets aside the climb cap and the market bound. None carries a rank prediction (“UNGRADEABLE — no rank claim until it lands”), so under §11 none is a push. The budget halves were held by the code check, and the review passed all three.</w:t>
      </w:r>
    </w:p>
    <w:p>
      <w:pPr>
        <w:spacing w:after="100"/>
      </w:pPr>
      <w:r>
        <w:rPr>
          <w:b/>
          <w:bCs/>
        </w:rPr>
        <w:t xml:space="preserve">Bamboo Cooling Sheets King Size-[Bamboo|Cooling]-(LSV)-Exact-(Ranking)-DO-BAMBOO-KING-WHITE</w:t>
      </w:r>
      <w:r>
        <w:t xml:space="preserve"> — “bamboo cooling sheets king size” rank 31 (35 thirty days ago). It held 7 earlier in the window, so 24 positions have been lost. 90 days: 7 clicks, 0 orders; 3 top-of-search clicks on 141 impressions, top-of-search impression share 0.51%. The audit writes modifier 200% → 425%: top of search $6.90 → $12.07, about $88 a top-of-search order at 13.7%. The logic’s arithmetic: gap 31 ÷ 7 = 4.4, lift 1.71, so the target is $3.51 × 2.71 = $9.53. The Bamboo|Cooling market bound of $5.74 binds, which puts the target below today’s $6.90. The row’s own BASE WRITE says the same thing (“held to 200%” by the market bound), and its TIMELINE says “not pushed this audit”. Correction: a descent to a named point (§9): top of search $5.74, modifier 150% on the $2.30 base, about $42 an order. The current $11.42 budget already buys 14 clicks a week at that price, so drop the raise to $22.91 (368). Name the cause of the fall from 7 to 31 before any climb (§12).</w:t>
      </w:r>
    </w:p>
    <w:p>
      <w:pPr>
        <w:spacing w:after="100"/>
      </w:pPr>
      <w:r>
        <w:rPr>
          <w:b/>
          <w:bCs/>
        </w:rPr>
        <w:t xml:space="preserve">Bamboo Sheets California King-(LSV)-Exact-(Ranking)-DO-BAMBOO-CALIFKING-WHITE</w:t>
      </w:r>
      <w:r>
        <w:t xml:space="preserve"> — “bamboo sheets california king” rank 16, from 4 thirty days ago (12 positions lost). 90 days: 9 clicks, 0 orders; top-of-search impression share 2.82%, and the budget is not capping ($27 in 14 days on $10 a day), so price is the lever (§6). The audit writes 238% → 491%: $4.60 → $8.04 (+75%), about $59 an order. The logic’s arithmetic: gap 16 ÷ 6 = 2.67, lift 0.83, so the target is $3.51 × 1.83 = $6.43, inside the $6.62 bound. The 30% cap binds this write. The same row’s “certain-win press” section holds this term because “the child that serves the term has no stock room”, and it prices the prize at about 0.4 orders a week ($4.83 a day in sales). Row 2161 moves this campaign’s ad to BAMBOO-CALIFKING-BURGUNDY-NEW while the rank target is read on BAMBOO-CALIFKING-WHITE (A4). Correction: $5.98, modifier 340% on the $1.36 base, about $44 an order. The budget is 16 required clicks a week × $5.98, about $13.70 a day, so load the row’s $13.98. Write the rank prediction the row omits (16 → a dated target), and confirm the tracked child before the re-point.</w:t>
      </w:r>
    </w:p>
    <w:p>
      <w:pPr>
        <w:spacing w:after="100"/>
      </w:pPr>
      <w:r>
        <w:rPr>
          <w:b/>
          <w:bCs/>
        </w:rPr>
        <w:t xml:space="preserve">Cooling Bamboo Sheets-[Bamboo|Cooling]-(MSV)-Exact-(Ranking)-DO-BAMBOO-KING-WHITE</w:t>
      </w:r>
      <w:r>
        <w:t xml:space="preserve"> — “cooling bamboo sheets” rank 12, climbing from 30. 90 days: 7 clicks, 0 orders; top-of-search impression share 1.27%. The audit writes 130% → 302%: $4.60 → $8.04. The row’s own prose says “the run had written 187%”, and its PRICES line still quotes $5.32 a click. The logic’s arithmetic: gap 12 ÷ 5 = 2.4, lift 0.70, so the target is $5.97, and the $5.74 bound binds. 187% is exactly the bound: $2.00 × 2.87 = $5.74. Correction: $5.74, modifier 187%, written with the bound named. The budget at the plan’s 40 clicks a week is $32.80 a day against the $14.21 written. Under §11 that is an $18.59-a-day shortfall, stated as such: fund it or hold it with the number named. It is not a funded push at $14.21.</w:t>
      </w:r>
    </w:p>
    <w:p>
      <w:pPr>
        <w:spacing w:after="100"/>
      </w:pPr>
      <w:r>
        <w:rPr>
          <w:b/>
          <w:bCs/>
          <w:color w:val="1F3A5F"/>
        </w:rPr>
        <w:t xml:space="preserve">Correction. </w:t>
      </w:r>
      <w:r>
        <w:t xml:space="preserve">Write 288 at 340% ($5.98), 369 down to 150% ($5.74) and 398 at 187% ($5.74), each with its bound, its loss per order and a rank prediction. Two of the four §6 conditions are not yet shown on these terms. Conversion is unread (0 orders on 7–9 clicks), and there is no sales-velocity window until the 10-26 Lightning Deal. So these steps are tests that earn the conversion read, not a funded climb. Read them at 10-05, and size the funded push for the 10-26 window with §7’s budget.</w:t>
      </w:r>
    </w:p>
    <w:p>
      <w:pPr>
        <w:pStyle w:val="Heading1"/>
      </w:pPr>
      <w:r>
        <w:t xml:space="preserve">A3. Three in-focus campaigns with a real record took no clicks in the deal: check down-only suppression before the price rises again</w:t>
      </w:r>
    </w:p>
    <w:p>
      <w:pPr>
        <w:spacing w:after="100"/>
      </w:pPr>
      <w:r>
        <w:rPr>
          <w:b/>
          <w:bCs/>
          <w:color w:val="1F3A5F"/>
        </w:rPr>
        <w:t xml:space="preserve">The rule (the logic, §10, §12). </w:t>
      </w:r>
      <w:r>
        <w:t xml:space="preserve">Campaign on, no clicks arriving: hold the base and push the modifier only, because cutting the base of a row that isn’t delivering makes delivery worse. Down-only bidding can quietly lower the price at the placement being funded, so a push that is not delivering is checked for suppression before its price is raised again. If it is suppressed, the next move is fixed bidding, stated as a trade. A budget is raised only when it is running out (§6).</w:t>
      </w:r>
    </w:p>
    <w:p>
      <w:pPr>
        <w:spacing w:after="100"/>
      </w:pPr>
      <w:r>
        <w:rPr>
          <w:b/>
          <w:bCs/>
          <w:color w:val="1F3A5F"/>
        </w:rPr>
        <w:t xml:space="preserve">What the audit did. </w:t>
      </w:r>
      <w:r>
        <w:t xml:space="preserve">Raised the modifier on all three, by +25% to +30%, with the base held on two (687, 1002) and cut on the third (293). All three are down-only (LEGACY_FOR_SALES) and spent $0.00 in the last 14 days. The review corrected 293 to hold the price but kept its base cut, and passed the other two.</w:t>
      </w:r>
    </w:p>
    <w:p>
      <w:pPr>
        <w:spacing w:after="100"/>
      </w:pPr>
      <w:r>
        <w:rPr>
          <w:b/>
          <w:bCs/>
        </w:rPr>
        <w:t xml:space="preserve">Bamboo Cooling Sheets King Size-(LSV)-Exact-(Ranking)-DO-BAMBOO-KING-WHITE</w:t>
      </w:r>
      <w:r>
        <w:t xml:space="preserve"> — “bamboo cooling sheets king” rank 27 (37; it held 12 earlier in the window). 90 days: 238 clicks, 29 orders, the best record in the focus. Last 14 days: $0.00. The modifier-only step ($2.55 → $3.19, +25%, inside the $5.74 bound) is the move §12 prescribes. What is missing is §10’s check: a down-only campaign that went from 29 orders to zero spend may be suppressed, not under-priced. The row also says “BUDGET CAPPED … the budget goes first”, but a campaign that spent nothing is not capping, so the budget raise (686) has nothing to fix. Correction: check suppression, the ad and the child (BAMBOO-KING-WHITE) first. If they are clear, load the +25%. If it is suppressed, switch to fixed bids at today’s $2.55, stated as a trade. Drop 686.</w:t>
      </w:r>
    </w:p>
    <w:p>
      <w:pPr>
        <w:spacing w:after="100"/>
      </w:pPr>
      <w:r>
        <w:rPr>
          <w:b/>
          <w:bCs/>
        </w:rPr>
        <w:t xml:space="preserve">Cal King Bamboo Sheets-[Bamboo|California King]-(VLSV)-Exact-(Ranking)-DO-BAMBOO-CALIFKING-WHITE</w:t>
      </w:r>
      <w:r>
        <w:t xml:space="preserve"> — “california king bamboo sheets” rank 10 (7). 90 days: 58 clicks, 7 orders, 91% of them on product pages; last 14 days $0.00. The audit cuts the base $1.02 → $0.92 and writes 421% (+25%). The review corrected it to 317%, holding $3.84, which is a distribution fix. The logic reads it the other way: with no clicks arriving there is no distribution to fix (§10: “none arriving means there is no distribution to fix — hold the base and move the modifier only”). The 91% is a 90-day mix of clicks that have stopped. Correction: hold the $1.02 base and drop 296 and 297. Run the §10 suppression check, then take a modifier-only step toward the $6.62 bound if it clears.</w:t>
      </w:r>
    </w:p>
    <w:p>
      <w:pPr>
        <w:spacing w:after="100"/>
      </w:pPr>
      <w:r>
        <w:rPr>
          <w:b/>
          <w:bCs/>
        </w:rPr>
        <w:t xml:space="preserve">Cooling Bamboo Sheets Queen Size-[Bamboo|Cooling]-(LSV)-Exact-(Ranking)-DO-BAMBOO-QUEEN-WHITE</w:t>
      </w:r>
      <w:r>
        <w:t xml:space="preserve"> — “cooling bamboo sheets queen size” rank 55 (43; 11 earlier in the window). 90 days: 54 clicks, 7 orders, but no top-of-search impressions at all, and $0.00 in the last 14 days. The modifier-only step (69% → 119%, $1.67 → $2.17) fits §12. The prediction does not: 0 → 32 top-of-search clicks a week, priced in the outcome at $35.22 a day on a $9.94 budget, with a rank claim of 55 → 11 in two weeks, while the Rank tab lists the term as “not pushed”. It also advertises BAMBOO-QUEEN-WHITE, the Queen hero the audit pivots off, and is not among the 33 Queen re-points. Correction: suppression check first, then the step. Re-point it to BAMBOO-QUEEN-OLIVE, re-derive the base from Olive (§8, bound 1), and cut the claim to what the book buys on a +30% step (about ×2.6 of today’s near-zero).</w:t>
      </w:r>
    </w:p>
    <w:p>
      <w:pPr>
        <w:spacing w:after="100"/>
      </w:pPr>
      <w:r>
        <w:rPr>
          <w:b/>
          <w:bCs/>
          <w:color w:val="1F3A5F"/>
        </w:rPr>
        <w:t xml:space="preserve">Correction. </w:t>
      </w:r>
      <w:r>
        <w:t xml:space="preserve">Run the §10 check on all three before loading. 526 (Bamboo California King Sheets) is serving but has the same forecasting fault: it predicts 0.23 → 32 top-of-search clicks a week from an +11% step and is priced at $21.79 a day on a $10 budget. Keep its step and cut its claim to under one click a week.</w:t>
      </w:r>
    </w:p>
    <w:p>
      <w:pPr>
        <w:pStyle w:val="Heading1"/>
      </w:pPr>
      <w:r>
        <w:t xml:space="preserve">A4. California King: the push goes on the size with the least stock, re-pointed to a child the tracker may not read</w:t>
      </w:r>
    </w:p>
    <w:p>
      <w:pPr>
        <w:spacing w:after="100"/>
      </w:pPr>
      <w:r>
        <w:rPr>
          <w:b/>
          <w:bCs/>
          <w:color w:val="1F3A5F"/>
        </w:rPr>
        <w:t xml:space="preserve">The rule. </w:t>
      </w:r>
      <w:r>
        <w:t xml:space="preserve">First check which child the rank tracker reads for each term. If the ad moves to another child, the push buys sales the tracker doesn’t watch, and the read shows a miss that is not one. A push on a child that runs out before the next arrival rents the position instead of buying it.</w:t>
      </w:r>
    </w:p>
    <w:p>
      <w:pPr>
        <w:spacing w:after="100"/>
      </w:pPr>
      <w:r>
        <w:rPr>
          <w:b/>
          <w:bCs/>
          <w:color w:val="1F3A5F"/>
        </w:rPr>
        <w:t xml:space="preserve">What the audit did. </w:t>
      </w:r>
      <w:r>
        <w:t xml:space="preserve">Re-pointed 15 California King campaigns from BAMBOO-CALIFKING-WHITE to BAMBOO-CALIFKING-BURGUNDY-NEW (2151, 2154, 2157, 2159, 2160, 2161, 2167, 2169, 2176, 2178, 2191, 2194, 2204, 2208, 2211). Every California King push row still names its rank target “on BAMBOO-CALIFKING-WHITE”.</w:t>
      </w:r>
    </w:p>
    <w:p>
      <w:pPr>
        <w:pStyle w:val="ListParagraph"/>
        <w:numPr>
          <w:ilvl w:val="0"/>
          <w:numId w:val="2"/>
        </w:numPr>
        <w:spacing w:after="60"/>
      </w:pPr>
      <w:r>
        <w:rPr>
          <w:b/>
          <w:bCs/>
        </w:rPr>
        <w:t xml:space="preserve">Stock. </w:t>
      </w:r>
      <w:r>
        <w:t xml:space="preserve">The hero, White, has 44 units: 27 days at 1.63 a day, 18 at the push pace. There is no dated arrival, and the next PO is 11-05 for 36 units. Burgundy-New has 76. The size holds 495 units across 16 colours (54 days).</w:t>
      </w:r>
    </w:p>
    <w:p>
      <w:pPr>
        <w:pStyle w:val="ListParagraph"/>
        <w:numPr>
          <w:ilvl w:val="0"/>
          <w:numId w:val="2"/>
        </w:numPr>
        <w:spacing w:after="60"/>
      </w:pPr>
      <w:r>
        <w:rPr>
          <w:b/>
          <w:bCs/>
        </w:rPr>
        <w:t xml:space="preserve">What the deal did here. </w:t>
      </w:r>
      <w:r>
        <w:t xml:space="preserve">09-15 → 09-27: $16 a day, 50 clicks, 4 orders, ACoS 67.9%, CVR 8.0% (21.4% in the 13 days before). Group rank (7-day median) went from 19 to 17.</w:t>
      </w:r>
    </w:p>
    <w:p>
      <w:pPr>
        <w:pStyle w:val="ListParagraph"/>
        <w:numPr>
          <w:ilvl w:val="0"/>
          <w:numId w:val="2"/>
        </w:numPr>
        <w:spacing w:after="60"/>
      </w:pPr>
      <w:r>
        <w:rPr>
          <w:b/>
          <w:bCs/>
        </w:rPr>
        <w:t xml:space="preserve">Keyword ranks (tracker). </w:t>
      </w:r>
      <w:r>
        <w:t xml:space="preserve">“bamboo sheets california king” 4 → 16, “bamboo sheets cal king” 23 → 39, “bamboo sheets california king size” 19 → 30, “california king bamboo sheets” 7 → 10.</w:t>
      </w:r>
    </w:p>
    <w:p>
      <w:pPr>
        <w:pStyle w:val="ListParagraph"/>
        <w:numPr>
          <w:ilvl w:val="0"/>
          <w:numId w:val="2"/>
        </w:numPr>
        <w:spacing w:after="60"/>
      </w:pPr>
      <w:r>
        <w:rPr>
          <w:b/>
          <w:bCs/>
        </w:rPr>
        <w:t xml:space="preserve">Two pushed terms have no rank on file. </w:t>
      </w:r>
      <w:r>
        <w:t xml:space="preserve">“bamboo cal king sheets” (462) is unranked, and “california king sheets bamboo” (571) has only a 26 June reading. The engine gates both to “change → HOLD” and still writes +25%. The logic (§6, fourth row of its table) says a term with no rank on file is “enabled at the ceiling with no premium” and becomes a push candidate once a rank read exists. Both sit above their ceilings today ($4.82 against $3.51, and $4.75 against $3.77) with almost no delivery. §10 allows “any size, straight to the derived price” for a row with no delivery. Correction: 462 → $3.51 (modifier 255% on $0.99); 571 → $3.77 (modifier 98% on $1.90).</w:t>
      </w:r>
    </w:p>
    <w:p>
      <w:pPr>
        <w:pStyle w:val="ListParagraph"/>
        <w:numPr>
          <w:ilvl w:val="0"/>
          <w:numId w:val="2"/>
        </w:numPr>
        <w:spacing w:after="60"/>
      </w:pPr>
      <w:r>
        <w:rPr>
          <w:b/>
          <w:bCs/>
        </w:rPr>
        <w:t xml:space="preserve">The base follows the serving child. </w:t>
      </w:r>
      <w:r>
        <w:t xml:space="preserve">The logic’s first bound is that the base is derived from the serving child, never inherited (§8). The 15 re-points change the serving child, but the rows keep bases and ceilings built on lane figures. Re-derive them from Burgundy-New’s contribution and product-page rate in the same write.</w:t>
      </w:r>
    </w:p>
    <w:p>
      <w:pPr>
        <w:pStyle w:val="ListParagraph"/>
        <w:numPr>
          <w:ilvl w:val="0"/>
          <w:numId w:val="2"/>
        </w:numPr>
        <w:spacing w:after="60"/>
      </w:pPr>
      <w:r>
        <w:rPr>
          <w:b/>
          <w:bCs/>
        </w:rPr>
        <w:t xml:space="preserve">A child that cannot ship voids the read. </w:t>
      </w:r>
      <w:r>
        <w:t xml:space="preserve">The logic (§12) says reads are void when the serving child cannot ship. White is under its horizon, which is why the size pivots, so any California King rate read on White is not a basis for pricing the Burgundy-New ads.</w:t>
      </w:r>
    </w:p>
    <w:p>
      <w:pPr>
        <w:spacing w:after="100"/>
      </w:pPr>
      <w:r>
        <w:rPr>
          <w:b/>
          <w:bCs/>
          <w:color w:val="1F3A5F"/>
        </w:rPr>
        <w:t xml:space="preserve">Correction. </w:t>
      </w:r>
      <w:r>
        <w:t xml:space="preserve">Confirm which child the tracker reads for the California King terms before the 15 re-points load. If it reads White, there are two options. Keep the pushed campaigns (288, 374, 526) on White and accept 44 units as the limit of the read. Or move them, and grade the push on Burgundy-New’s sales rather than on the White rank. Name the cause of the fall from 4 to 16 on the head California King term the same day: the rival now ahead, the child, or the listing. Part D asks whether California King belongs in the focus at all.</w:t>
      </w:r>
    </w:p>
    <w:p>
      <w:pPr>
        <w:pStyle w:val="Heading1"/>
      </w:pPr>
      <w:r>
        <w:t xml:space="preserve">A5. Focus terms the audit does not push, including the largest one</w:t>
      </w:r>
    </w:p>
    <w:p>
      <w:pPr>
        <w:spacing w:after="100"/>
      </w:pPr>
      <w:r>
        <w:rPr>
          <w:b/>
          <w:bCs/>
          <w:color w:val="1F3A5F"/>
        </w:rPr>
        <w:t xml:space="preserve">The rule. </w:t>
      </w:r>
      <w:r>
        <w:t xml:space="preserve">The focus is a group. Every term in it with a rank gap gets a capped step toward its target, or a written reason why not. A term that collapsed more than 10 positions despite delivery gets no more spend until the cause is named: the listing, then the competitor now ahead, then whether the fall is category-wide (the logic, §12).</w:t>
      </w:r>
    </w:p>
    <w:p>
      <w:pPr>
        <w:spacing w:after="100"/>
      </w:pPr>
      <w:r>
        <w:rPr>
          <w:b/>
          <w:bCs/>
          <w:color w:val="1F3A5F"/>
        </w:rPr>
        <w:t xml:space="preserve">What the audit did. </w:t>
      </w:r>
      <w:r>
        <w:t xml:space="preserve">The Rank tab marks 16 of the 27 focus terms “not pushed this audit (tapering / out of the focus)”, because their campaigns are tagged to another group. Nine focus terms lost more than 10 positions in 30 days. No row names a cause for any of them.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500"/>
        <w:gridCol w:w="4272"/>
      </w:tblGrid>
      <w:tr>
        <w:trPr>
          <w:tblHeader/>
        </w:trPr>
        <w:tc>
          <w:tcPr>
            <w:tcW w:type="dxa" w:w="3200"/>
            <w:shd w:fill="1F3A5F" w:color="auto" w:val="clear"/>
            <w:tcMar>
              <w:top w:type="dxa" w:w="40"/>
              <w:left w:type="dxa" w:w="70"/>
              <w:bottom w:type="dxa" w:w="40"/>
              <w:right w:type="dxa" w:w="70"/>
            </w:tcMar>
          </w:tcPr>
          <w:p>
            <w:pPr>
              <w:spacing w:after="0"/>
            </w:pPr>
            <w:r>
              <w:rPr>
                <w:b/>
                <w:bCs/>
                <w:color w:val="FFFFFF"/>
                <w:sz w:val="17"/>
                <w:szCs w:val="17"/>
              </w:rPr>
              <w:t xml:space="preserve">Focus term (group)</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Searches</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Rank now (30 d ago)</w:t>
            </w:r>
          </w:p>
        </w:tc>
        <w:tc>
          <w:tcPr>
            <w:tcW w:type="dxa" w:w="4272"/>
            <w:shd w:fill="1F3A5F" w:color="auto" w:val="clear"/>
            <w:tcMar>
              <w:top w:type="dxa" w:w="40"/>
              <w:left w:type="dxa" w:w="70"/>
              <w:bottom w:type="dxa" w:w="40"/>
              <w:right w:type="dxa" w:w="70"/>
            </w:tcMar>
          </w:tcPr>
          <w:p>
            <w:pPr>
              <w:spacing w:after="0"/>
            </w:pPr>
            <w:r>
              <w:rPr>
                <w:b/>
                <w:bCs/>
                <w:color w:val="FFFFFF"/>
                <w:sz w:val="17"/>
                <w:szCs w:val="17"/>
              </w:rPr>
              <w:t xml:space="preserve">What the audit does</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 cooling sheets queen (Bamboo|Cooling)</w:t>
            </w:r>
          </w:p>
        </w:tc>
        <w:tc>
          <w:tcPr>
            <w:tcW w:type="dxa" w:w="1000"/>
            <w:shd w:fill="FFFFFF" w:color="auto" w:val="clear"/>
            <w:tcMar>
              <w:top w:type="dxa" w:w="40"/>
              <w:left w:type="dxa" w:w="70"/>
              <w:bottom w:type="dxa" w:w="40"/>
              <w:right w:type="dxa" w:w="70"/>
            </w:tcMar>
          </w:tcPr>
          <w:p>
            <w:pPr>
              <w:spacing w:after="0"/>
            </w:pPr>
            <w:r>
              <w:rPr>
                <w:sz w:val="17"/>
                <w:szCs w:val="17"/>
              </w:rPr>
              <w:t xml:space="preserve">2,271</w:t>
            </w:r>
          </w:p>
        </w:tc>
        <w:tc>
          <w:tcPr>
            <w:tcW w:type="dxa" w:w="1500"/>
            <w:shd w:fill="FFFFFF" w:color="auto" w:val="clear"/>
            <w:tcMar>
              <w:top w:type="dxa" w:w="40"/>
              <w:left w:type="dxa" w:w="70"/>
              <w:bottom w:type="dxa" w:w="40"/>
              <w:right w:type="dxa" w:w="70"/>
            </w:tcMar>
          </w:tcPr>
          <w:p>
            <w:pPr>
              <w:spacing w:after="0"/>
            </w:pPr>
            <w:r>
              <w:rPr>
                <w:sz w:val="17"/>
                <w:szCs w:val="17"/>
              </w:rPr>
              <w:t xml:space="preserve">52 (23)</w:t>
            </w:r>
          </w:p>
        </w:tc>
        <w:tc>
          <w:tcPr>
            <w:tcW w:type="dxa" w:w="4272"/>
            <w:shd w:fill="FFFFFF" w:color="auto" w:val="clear"/>
            <w:tcMar>
              <w:top w:type="dxa" w:w="40"/>
              <w:left w:type="dxa" w:w="70"/>
              <w:bottom w:type="dxa" w:w="40"/>
              <w:right w:type="dxa" w:w="70"/>
            </w:tcMar>
          </w:tcPr>
          <w:p>
            <w:pPr>
              <w:spacing w:after="0"/>
            </w:pPr>
            <w:r>
              <w:rPr>
                <w:sz w:val="17"/>
                <w:szCs w:val="17"/>
              </w:rPr>
              <w:t xml:space="preserve">nothing: not pushed</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 queen bed sheets cooling (Bamboo|Cooling)</w:t>
            </w:r>
          </w:p>
        </w:tc>
        <w:tc>
          <w:tcPr>
            <w:tcW w:type="dxa" w:w="1000"/>
            <w:shd w:fill="F2F5F9" w:color="auto" w:val="clear"/>
            <w:tcMar>
              <w:top w:type="dxa" w:w="40"/>
              <w:left w:type="dxa" w:w="70"/>
              <w:bottom w:type="dxa" w:w="40"/>
              <w:right w:type="dxa" w:w="70"/>
            </w:tcMar>
          </w:tcPr>
          <w:p>
            <w:pPr>
              <w:spacing w:after="0"/>
            </w:pPr>
            <w:r>
              <w:rPr>
                <w:sz w:val="17"/>
                <w:szCs w:val="17"/>
              </w:rPr>
              <w:t xml:space="preserve">649</w:t>
            </w:r>
          </w:p>
        </w:tc>
        <w:tc>
          <w:tcPr>
            <w:tcW w:type="dxa" w:w="1500"/>
            <w:shd w:fill="F2F5F9" w:color="auto" w:val="clear"/>
            <w:tcMar>
              <w:top w:type="dxa" w:w="40"/>
              <w:left w:type="dxa" w:w="70"/>
              <w:bottom w:type="dxa" w:w="40"/>
              <w:right w:type="dxa" w:w="70"/>
            </w:tcMar>
          </w:tcPr>
          <w:p>
            <w:pPr>
              <w:spacing w:after="0"/>
            </w:pPr>
            <w:r>
              <w:rPr>
                <w:sz w:val="17"/>
                <w:szCs w:val="17"/>
              </w:rPr>
              <w:t xml:space="preserve">61 (42)</w:t>
            </w:r>
          </w:p>
        </w:tc>
        <w:tc>
          <w:tcPr>
            <w:tcW w:type="dxa" w:w="4272"/>
            <w:shd w:fill="F2F5F9" w:color="auto" w:val="clear"/>
            <w:tcMar>
              <w:top w:type="dxa" w:w="40"/>
              <w:left w:type="dxa" w:w="70"/>
              <w:bottom w:type="dxa" w:w="40"/>
              <w:right w:type="dxa" w:w="70"/>
            </w:tcMar>
          </w:tcPr>
          <w:p>
            <w:pPr>
              <w:spacing w:after="0"/>
            </w:pPr>
            <w:r>
              <w:rPr>
                <w:sz w:val="17"/>
                <w:szCs w:val="17"/>
              </w:rPr>
              <w:t xml:space="preserve">retag sweep 2252: +9% modifier, +25% base</w:t>
            </w:r>
          </w:p>
        </w:tc>
      </w:tr>
      <w:tr>
        <w:tc>
          <w:tcPr>
            <w:tcW w:type="dxa" w:w="3200"/>
            <w:shd w:fill="FFFFFF" w:color="auto" w:val="clear"/>
            <w:tcMar>
              <w:top w:type="dxa" w:w="40"/>
              <w:left w:type="dxa" w:w="70"/>
              <w:bottom w:type="dxa" w:w="40"/>
              <w:right w:type="dxa" w:w="70"/>
            </w:tcMar>
          </w:tcPr>
          <w:p>
            <w:pPr>
              <w:spacing w:after="0"/>
            </w:pPr>
            <w:r>
              <w:rPr>
                <w:sz w:val="17"/>
                <w:szCs w:val="17"/>
              </w:rPr>
              <w:t xml:space="preserve">cooling sheets bamboo (Bamboo|Cooling)</w:t>
            </w:r>
          </w:p>
        </w:tc>
        <w:tc>
          <w:tcPr>
            <w:tcW w:type="dxa" w:w="1000"/>
            <w:shd w:fill="FFFFFF" w:color="auto" w:val="clear"/>
            <w:tcMar>
              <w:top w:type="dxa" w:w="40"/>
              <w:left w:type="dxa" w:w="70"/>
              <w:bottom w:type="dxa" w:w="40"/>
              <w:right w:type="dxa" w:w="70"/>
            </w:tcMar>
          </w:tcPr>
          <w:p>
            <w:pPr>
              <w:spacing w:after="0"/>
            </w:pPr>
            <w:r>
              <w:rPr>
                <w:sz w:val="17"/>
                <w:szCs w:val="17"/>
              </w:rPr>
              <w:t xml:space="preserve">580</w:t>
            </w:r>
          </w:p>
        </w:tc>
        <w:tc>
          <w:tcPr>
            <w:tcW w:type="dxa" w:w="1500"/>
            <w:shd w:fill="FFFFFF" w:color="auto" w:val="clear"/>
            <w:tcMar>
              <w:top w:type="dxa" w:w="40"/>
              <w:left w:type="dxa" w:w="70"/>
              <w:bottom w:type="dxa" w:w="40"/>
              <w:right w:type="dxa" w:w="70"/>
            </w:tcMar>
          </w:tcPr>
          <w:p>
            <w:pPr>
              <w:spacing w:after="0"/>
            </w:pPr>
            <w:r>
              <w:rPr>
                <w:sz w:val="17"/>
                <w:szCs w:val="17"/>
              </w:rPr>
              <w:t xml:space="preserve">45 (28)</w:t>
            </w:r>
          </w:p>
        </w:tc>
        <w:tc>
          <w:tcPr>
            <w:tcW w:type="dxa" w:w="4272"/>
            <w:shd w:fill="FFFFFF" w:color="auto" w:val="clear"/>
            <w:tcMar>
              <w:top w:type="dxa" w:w="40"/>
              <w:left w:type="dxa" w:w="70"/>
              <w:bottom w:type="dxa" w:w="40"/>
              <w:right w:type="dxa" w:w="70"/>
            </w:tcMar>
          </w:tcPr>
          <w:p>
            <w:pPr>
              <w:spacing w:after="0"/>
            </w:pPr>
            <w:r>
              <w:rPr>
                <w:sz w:val="17"/>
                <w:szCs w:val="17"/>
              </w:rPr>
              <w:t xml:space="preserve">retag sweep 2243: +9% modifier, +25% base</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 sheets cal king (Cal King)</w:t>
            </w:r>
          </w:p>
        </w:tc>
        <w:tc>
          <w:tcPr>
            <w:tcW w:type="dxa" w:w="1000"/>
            <w:shd w:fill="F2F5F9" w:color="auto" w:val="clear"/>
            <w:tcMar>
              <w:top w:type="dxa" w:w="40"/>
              <w:left w:type="dxa" w:w="70"/>
              <w:bottom w:type="dxa" w:w="40"/>
              <w:right w:type="dxa" w:w="70"/>
            </w:tcMar>
          </w:tcPr>
          <w:p>
            <w:pPr>
              <w:spacing w:after="0"/>
            </w:pPr>
            <w:r>
              <w:rPr>
                <w:sz w:val="17"/>
                <w:szCs w:val="17"/>
              </w:rPr>
              <w:t xml:space="preserve">529</w:t>
            </w:r>
          </w:p>
        </w:tc>
        <w:tc>
          <w:tcPr>
            <w:tcW w:type="dxa" w:w="1500"/>
            <w:shd w:fill="F2F5F9" w:color="auto" w:val="clear"/>
            <w:tcMar>
              <w:top w:type="dxa" w:w="40"/>
              <w:left w:type="dxa" w:w="70"/>
              <w:bottom w:type="dxa" w:w="40"/>
              <w:right w:type="dxa" w:w="70"/>
            </w:tcMar>
          </w:tcPr>
          <w:p>
            <w:pPr>
              <w:spacing w:after="0"/>
            </w:pPr>
            <w:r>
              <w:rPr>
                <w:sz w:val="17"/>
                <w:szCs w:val="17"/>
              </w:rPr>
              <w:t xml:space="preserve">39 (23)</w:t>
            </w:r>
          </w:p>
        </w:tc>
        <w:tc>
          <w:tcPr>
            <w:tcW w:type="dxa" w:w="4272"/>
            <w:shd w:fill="F2F5F9" w:color="auto" w:val="clear"/>
            <w:tcMar>
              <w:top w:type="dxa" w:w="40"/>
              <w:left w:type="dxa" w:w="70"/>
              <w:bottom w:type="dxa" w:w="40"/>
              <w:right w:type="dxa" w:w="70"/>
            </w:tcMar>
          </w:tcPr>
          <w:p>
            <w:pPr>
              <w:spacing w:after="0"/>
            </w:pPr>
            <w:r>
              <w:rPr>
                <w:sz w:val="17"/>
                <w:szCs w:val="17"/>
              </w:rPr>
              <w:t xml:space="preserve">Rank tab: not pushed; row 374 raises it +16%</w:t>
            </w:r>
          </w:p>
        </w:tc>
      </w:tr>
      <w:tr>
        <w:tc>
          <w:tcPr>
            <w:tcW w:type="dxa" w:w="3200"/>
            <w:shd w:fill="FFFFFF" w:color="auto" w:val="clear"/>
            <w:tcMar>
              <w:top w:type="dxa" w:w="40"/>
              <w:left w:type="dxa" w:w="70"/>
              <w:bottom w:type="dxa" w:w="40"/>
              <w:right w:type="dxa" w:w="70"/>
            </w:tcMar>
          </w:tcPr>
          <w:p>
            <w:pPr>
              <w:spacing w:after="0"/>
            </w:pPr>
            <w:r>
              <w:rPr>
                <w:sz w:val="17"/>
                <w:szCs w:val="17"/>
              </w:rPr>
              <w:t xml:space="preserve">king size bamboo sheet sets cooling (Bamboo|Cooling)</w:t>
            </w:r>
          </w:p>
        </w:tc>
        <w:tc>
          <w:tcPr>
            <w:tcW w:type="dxa" w:w="1000"/>
            <w:shd w:fill="FFFFFF" w:color="auto" w:val="clear"/>
            <w:tcMar>
              <w:top w:type="dxa" w:w="40"/>
              <w:left w:type="dxa" w:w="70"/>
              <w:bottom w:type="dxa" w:w="40"/>
              <w:right w:type="dxa" w:w="70"/>
            </w:tcMar>
          </w:tcPr>
          <w:p>
            <w:pPr>
              <w:spacing w:after="0"/>
            </w:pPr>
            <w:r>
              <w:rPr>
                <w:sz w:val="17"/>
                <w:szCs w:val="17"/>
              </w:rPr>
              <w:t xml:space="preserve">311</w:t>
            </w:r>
          </w:p>
        </w:tc>
        <w:tc>
          <w:tcPr>
            <w:tcW w:type="dxa" w:w="1500"/>
            <w:shd w:fill="FFFFFF" w:color="auto" w:val="clear"/>
            <w:tcMar>
              <w:top w:type="dxa" w:w="40"/>
              <w:left w:type="dxa" w:w="70"/>
              <w:bottom w:type="dxa" w:w="40"/>
              <w:right w:type="dxa" w:w="70"/>
            </w:tcMar>
          </w:tcPr>
          <w:p>
            <w:pPr>
              <w:spacing w:after="0"/>
            </w:pPr>
            <w:r>
              <w:rPr>
                <w:sz w:val="17"/>
                <w:szCs w:val="17"/>
              </w:rPr>
              <w:t xml:space="preserve">41 (27)</w:t>
            </w:r>
          </w:p>
        </w:tc>
        <w:tc>
          <w:tcPr>
            <w:tcW w:type="dxa" w:w="4272"/>
            <w:shd w:fill="FFFFFF" w:color="auto" w:val="clear"/>
            <w:tcMar>
              <w:top w:type="dxa" w:w="40"/>
              <w:left w:type="dxa" w:w="70"/>
              <w:bottom w:type="dxa" w:w="40"/>
              <w:right w:type="dxa" w:w="70"/>
            </w:tcMar>
          </w:tcPr>
          <w:p>
            <w:pPr>
              <w:spacing w:after="0"/>
            </w:pPr>
            <w:r>
              <w:rPr>
                <w:sz w:val="17"/>
                <w:szCs w:val="17"/>
              </w:rPr>
              <w:t xml:space="preserve">nothing: not pushed</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 sheets california king (Cal King)</w:t>
            </w:r>
          </w:p>
        </w:tc>
        <w:tc>
          <w:tcPr>
            <w:tcW w:type="dxa" w:w="1000"/>
            <w:shd w:fill="F2F5F9" w:color="auto" w:val="clear"/>
            <w:tcMar>
              <w:top w:type="dxa" w:w="40"/>
              <w:left w:type="dxa" w:w="70"/>
              <w:bottom w:type="dxa" w:w="40"/>
              <w:right w:type="dxa" w:w="70"/>
            </w:tcMar>
          </w:tcPr>
          <w:p>
            <w:pPr>
              <w:spacing w:after="0"/>
            </w:pPr>
            <w:r>
              <w:rPr>
                <w:sz w:val="17"/>
                <w:szCs w:val="17"/>
              </w:rPr>
              <w:t xml:space="preserve">1,671</w:t>
            </w:r>
          </w:p>
        </w:tc>
        <w:tc>
          <w:tcPr>
            <w:tcW w:type="dxa" w:w="1500"/>
            <w:shd w:fill="F2F5F9" w:color="auto" w:val="clear"/>
            <w:tcMar>
              <w:top w:type="dxa" w:w="40"/>
              <w:left w:type="dxa" w:w="70"/>
              <w:bottom w:type="dxa" w:w="40"/>
              <w:right w:type="dxa" w:w="70"/>
            </w:tcMar>
          </w:tcPr>
          <w:p>
            <w:pPr>
              <w:spacing w:after="0"/>
            </w:pPr>
            <w:r>
              <w:rPr>
                <w:sz w:val="17"/>
                <w:szCs w:val="17"/>
              </w:rPr>
              <w:t xml:space="preserve">16 (4)</w:t>
            </w:r>
          </w:p>
        </w:tc>
        <w:tc>
          <w:tcPr>
            <w:tcW w:type="dxa" w:w="4272"/>
            <w:shd w:fill="F2F5F9" w:color="auto" w:val="clear"/>
            <w:tcMar>
              <w:top w:type="dxa" w:w="40"/>
              <w:left w:type="dxa" w:w="70"/>
              <w:bottom w:type="dxa" w:w="40"/>
              <w:right w:type="dxa" w:w="70"/>
            </w:tcMar>
          </w:tcPr>
          <w:p>
            <w:pPr>
              <w:spacing w:after="0"/>
            </w:pPr>
            <w:r>
              <w:rPr>
                <w:sz w:val="17"/>
                <w:szCs w:val="17"/>
              </w:rPr>
              <w:t xml:space="preserve">dose 288 (A2)</w:t>
            </w:r>
          </w:p>
        </w:tc>
      </w:tr>
      <w:tr>
        <w:tc>
          <w:tcPr>
            <w:tcW w:type="dxa" w:w="3200"/>
            <w:shd w:fill="FFFFFF" w:color="auto" w:val="clear"/>
            <w:tcMar>
              <w:top w:type="dxa" w:w="40"/>
              <w:left w:type="dxa" w:w="70"/>
              <w:bottom w:type="dxa" w:w="40"/>
              <w:right w:type="dxa" w:w="70"/>
            </w:tcMar>
          </w:tcPr>
          <w:p>
            <w:pPr>
              <w:spacing w:after="0"/>
            </w:pPr>
            <w:r>
              <w:rPr>
                <w:sz w:val="17"/>
                <w:szCs w:val="17"/>
              </w:rPr>
              <w:t xml:space="preserve">cooling bamboo sheets queen size (Bamboo|Cooling)</w:t>
            </w:r>
          </w:p>
        </w:tc>
        <w:tc>
          <w:tcPr>
            <w:tcW w:type="dxa" w:w="1000"/>
            <w:shd w:fill="FFFFFF" w:color="auto" w:val="clear"/>
            <w:tcMar>
              <w:top w:type="dxa" w:w="40"/>
              <w:left w:type="dxa" w:w="70"/>
              <w:bottom w:type="dxa" w:w="40"/>
              <w:right w:type="dxa" w:w="70"/>
            </w:tcMar>
          </w:tcPr>
          <w:p>
            <w:pPr>
              <w:spacing w:after="0"/>
            </w:pPr>
            <w:r>
              <w:rPr>
                <w:sz w:val="17"/>
                <w:szCs w:val="17"/>
              </w:rPr>
              <w:t xml:space="preserve">1,216</w:t>
            </w:r>
          </w:p>
        </w:tc>
        <w:tc>
          <w:tcPr>
            <w:tcW w:type="dxa" w:w="1500"/>
            <w:shd w:fill="FFFFFF" w:color="auto" w:val="clear"/>
            <w:tcMar>
              <w:top w:type="dxa" w:w="40"/>
              <w:left w:type="dxa" w:w="70"/>
              <w:bottom w:type="dxa" w:w="40"/>
              <w:right w:type="dxa" w:w="70"/>
            </w:tcMar>
          </w:tcPr>
          <w:p>
            <w:pPr>
              <w:spacing w:after="0"/>
            </w:pPr>
            <w:r>
              <w:rPr>
                <w:sz w:val="17"/>
                <w:szCs w:val="17"/>
              </w:rPr>
              <w:t xml:space="preserve">55 (43)</w:t>
            </w:r>
          </w:p>
        </w:tc>
        <w:tc>
          <w:tcPr>
            <w:tcW w:type="dxa" w:w="4272"/>
            <w:shd w:fill="FFFFFF" w:color="auto" w:val="clear"/>
            <w:tcMar>
              <w:top w:type="dxa" w:w="40"/>
              <w:left w:type="dxa" w:w="70"/>
              <w:bottom w:type="dxa" w:w="40"/>
              <w:right w:type="dxa" w:w="70"/>
            </w:tcMar>
          </w:tcPr>
          <w:p>
            <w:pPr>
              <w:spacing w:after="0"/>
            </w:pPr>
            <w:r>
              <w:rPr>
                <w:sz w:val="17"/>
                <w:szCs w:val="17"/>
              </w:rPr>
              <w:t xml:space="preserve">Rank tab: not pushed; row 1002 raises it (A3)</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 sheets california king size (Cal King)</w:t>
            </w:r>
          </w:p>
        </w:tc>
        <w:tc>
          <w:tcPr>
            <w:tcW w:type="dxa" w:w="1000"/>
            <w:shd w:fill="F2F5F9" w:color="auto" w:val="clear"/>
            <w:tcMar>
              <w:top w:type="dxa" w:w="40"/>
              <w:left w:type="dxa" w:w="70"/>
              <w:bottom w:type="dxa" w:w="40"/>
              <w:right w:type="dxa" w:w="70"/>
            </w:tcMar>
          </w:tcPr>
          <w:p>
            <w:pPr>
              <w:spacing w:after="0"/>
            </w:pPr>
            <w:r>
              <w:rPr>
                <w:sz w:val="17"/>
                <w:szCs w:val="17"/>
              </w:rPr>
              <w:t xml:space="preserve">491</w:t>
            </w:r>
          </w:p>
        </w:tc>
        <w:tc>
          <w:tcPr>
            <w:tcW w:type="dxa" w:w="1500"/>
            <w:shd w:fill="F2F5F9" w:color="auto" w:val="clear"/>
            <w:tcMar>
              <w:top w:type="dxa" w:w="40"/>
              <w:left w:type="dxa" w:w="70"/>
              <w:bottom w:type="dxa" w:w="40"/>
              <w:right w:type="dxa" w:w="70"/>
            </w:tcMar>
          </w:tcPr>
          <w:p>
            <w:pPr>
              <w:spacing w:after="0"/>
            </w:pPr>
            <w:r>
              <w:rPr>
                <w:sz w:val="17"/>
                <w:szCs w:val="17"/>
              </w:rPr>
              <w:t xml:space="preserve">30 (19)</w:t>
            </w:r>
          </w:p>
        </w:tc>
        <w:tc>
          <w:tcPr>
            <w:tcW w:type="dxa" w:w="4272"/>
            <w:shd w:fill="F2F5F9" w:color="auto" w:val="clear"/>
            <w:tcMar>
              <w:top w:type="dxa" w:w="40"/>
              <w:left w:type="dxa" w:w="70"/>
              <w:bottom w:type="dxa" w:w="40"/>
              <w:right w:type="dxa" w:w="70"/>
            </w:tcMar>
          </w:tcPr>
          <w:p>
            <w:pPr>
              <w:spacing w:after="0"/>
            </w:pPr>
            <w:r>
              <w:rPr>
                <w:sz w:val="17"/>
                <w:szCs w:val="17"/>
              </w:rPr>
              <w:t xml:space="preserve">nothing: not pushed</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 cooling queen sheets (Bamboo|Cooling)</w:t>
            </w:r>
          </w:p>
        </w:tc>
        <w:tc>
          <w:tcPr>
            <w:tcW w:type="dxa" w:w="1000"/>
            <w:shd w:fill="FFFFFF" w:color="auto" w:val="clear"/>
            <w:tcMar>
              <w:top w:type="dxa" w:w="40"/>
              <w:left w:type="dxa" w:w="70"/>
              <w:bottom w:type="dxa" w:w="40"/>
              <w:right w:type="dxa" w:w="70"/>
            </w:tcMar>
          </w:tcPr>
          <w:p>
            <w:pPr>
              <w:spacing w:after="0"/>
            </w:pPr>
            <w:r>
              <w:rPr>
                <w:sz w:val="17"/>
                <w:szCs w:val="17"/>
              </w:rPr>
              <w:t xml:space="preserve">522</w:t>
            </w:r>
          </w:p>
        </w:tc>
        <w:tc>
          <w:tcPr>
            <w:tcW w:type="dxa" w:w="1500"/>
            <w:shd w:fill="FFFFFF" w:color="auto" w:val="clear"/>
            <w:tcMar>
              <w:top w:type="dxa" w:w="40"/>
              <w:left w:type="dxa" w:w="70"/>
              <w:bottom w:type="dxa" w:w="40"/>
              <w:right w:type="dxa" w:w="70"/>
            </w:tcMar>
          </w:tcPr>
          <w:p>
            <w:pPr>
              <w:spacing w:after="0"/>
            </w:pPr>
            <w:r>
              <w:rPr>
                <w:sz w:val="17"/>
                <w:szCs w:val="17"/>
              </w:rPr>
              <w:t xml:space="preserve">56 (45)</w:t>
            </w:r>
          </w:p>
        </w:tc>
        <w:tc>
          <w:tcPr>
            <w:tcW w:type="dxa" w:w="4272"/>
            <w:shd w:fill="FFFFFF" w:color="auto" w:val="clear"/>
            <w:tcMar>
              <w:top w:type="dxa" w:w="40"/>
              <w:left w:type="dxa" w:w="70"/>
              <w:bottom w:type="dxa" w:w="40"/>
              <w:right w:type="dxa" w:w="70"/>
            </w:tcMar>
          </w:tcPr>
          <w:p>
            <w:pPr>
              <w:spacing w:after="0"/>
            </w:pPr>
            <w:r>
              <w:rPr>
                <w:sz w:val="17"/>
                <w:szCs w:val="17"/>
              </w:rPr>
              <w:t xml:space="preserve">nothing: not pushed</w:t>
            </w:r>
          </w:p>
        </w:tc>
      </w:tr>
    </w:tbl>
    <w:p>
      <w:pPr>
        <w:spacing w:after="40"/>
      </w:pPr>
    </w:p>
    <w:p>
      <w:pPr>
        <w:spacing w:after="100"/>
      </w:pPr>
      <w:r>
        <w:rPr>
          <w:b/>
          <w:bCs/>
        </w:rPr>
        <w:t xml:space="preserve">Bamboo Cooling Sheets-(MSV)-Exact-(Ranking)-DO-BAMBOO-QUEEN-WHITE</w:t>
      </w:r>
      <w:r>
        <w:t xml:space="preserve"> — the only campaign on “bamboo cooling sheets”, the largest focus term (8,166 searches, rank 30 from 36). 90 days: 418 clicks, 42 orders; $415 in the last 14 days on a $40 budget. The audit raises the modifier 718% → 818% (31) and trims the base (34). The review held both on open record 2150, which is behind on rank with its traffic delivered. We agree with the hold. It leaves the focus’s head term with no move this audit, and the campaign keeps advertising BAMBOO-QUEEN-WHITE for a term that names no size. It is not among the Queen re-points.</w:t>
      </w:r>
    </w:p>
    <w:p>
      <w:pPr>
        <w:spacing w:after="100"/>
      </w:pPr>
      <w:r>
        <w:rPr>
          <w:b/>
          <w:bCs/>
          <w:color w:val="1F3A5F"/>
        </w:rPr>
        <w:t xml:space="preserve">Correction. </w:t>
      </w:r>
      <w:r>
        <w:t xml:space="preserve">Write the focus term list with each term’s owning campaign. Give each short term a capped step toward its gap-set target inside its bound, or write down why not, and name the causes of the nine falls. Re-point 31’s ad to a serving child with room (the review’s choice for this term’s brand ads is BAMBOO-KING-CREME), and read record 2150 at the 10-02 checkpoint before re-proposing its price.</w:t>
      </w:r>
    </w:p>
    <w:p>
      <w:pPr>
        <w:pStyle w:val="Heading1"/>
      </w:pPr>
      <w:r>
        <w:t xml:space="preserve">Part B — Out of focus: the taper</w:t>
      </w:r>
    </w:p>
    <w:p>
      <w:pPr>
        <w:pStyle w:val="Heading1"/>
      </w:pPr>
      <w:r>
        <w:t xml:space="preserve">B1. The flagship “Bamboo Sheets” campaign: the hold is right, but it is not written as the funding decision it is</w:t>
      </w:r>
    </w:p>
    <w:p>
      <w:pPr>
        <w:spacing w:after="100"/>
      </w:pPr>
      <w:r>
        <w:rPr>
          <w:b/>
          <w:bCs/>
          <w:color w:val="1F3A5F"/>
        </w:rPr>
        <w:t xml:space="preserve">The rule (the logic, §6, §11, §14). </w:t>
      </w:r>
      <w:r>
        <w:t xml:space="preserve">A push is not cut back until it has delivered 70% of its required top-of-search clicks a day with product pages under 20%. Below that there are three verdicts only: continue, fix delivery, or stop on the dated loss ceiling. When delivery is short and the budget is running out, the budget is the cause, not the price. A push that cannot be funded is stated with its shortfall and becomes a decision: fund it, or hold it with the number named.</w:t>
      </w:r>
    </w:p>
    <w:p>
      <w:pPr>
        <w:spacing w:after="100"/>
      </w:pPr>
      <w:r>
        <w:rPr>
          <w:b/>
          <w:bCs/>
          <w:color w:val="1F3A5F"/>
        </w:rPr>
        <w:t xml:space="preserve">What the audit did. </w:t>
      </w:r>
      <w:r>
        <w:t xml:space="preserve">Holds the budget at $340 and the modifier at 299% (considered rows 0 and 1): “the step down is HELD and the money decision is surfaced: release this spend to the focus … or keep the campaign and lift its share. A human decides.” No decision row carries that choice. It is one of 1,988 holds, and the review read none of the engine’s holds (engine_holds_read = 0).</w:t>
      </w:r>
    </w:p>
    <w:p>
      <w:pPr>
        <w:spacing w:after="100"/>
      </w:pPr>
      <w:r>
        <w:rPr>
          <w:b/>
          <w:bCs/>
        </w:rPr>
        <w:t xml:space="preserve">Bamboo Sheets-(VHSV)-Exact-(Ranking)-DO-BAMBOO-KING-WHITE</w:t>
      </w:r>
      <w:r>
        <w:t xml:space="preserve"> — “bamboo sheets”, the product’s largest term (490 plan clicks a week, target 10). $4,463 in the last 14 days, or $319 a day and 29% of the engine’s spend baseline. 90 days on the target: 1,155 clicks, 131 orders. The audit reads delivery as 79 top-of-search clicks a week, which is a 90-day average; in the deal it took about 330 a week, 47 a day (Command Center). Top-of-search impression share is 3.3%. The Bamboo group in the deal: $937 a day, ACoS 50.3% (33.8% before), CVR 10.7% (13.1%), orders 25.9 a day (17.6), rank 35 → 33. The brief has no current rank for “bamboo sheets” (null), while the campaign’s claim uses 36.</w:t>
      </w:r>
    </w:p>
    <w:p>
      <w:pPr>
        <w:spacing w:after="100"/>
      </w:pPr>
      <w:r>
        <w:rPr>
          <w:b/>
          <w:bCs/>
        </w:rPr>
        <w:t xml:space="preserve">Bamboo Sheets King Size-(HSV)-Exact-(Ranking)-DO-BAMBOO-KING-WHITE</w:t>
      </w:r>
      <w:r>
        <w:t xml:space="preserve"> — “bamboo sheets king size”, 21,541 searches, rank 35 (24 thirty days ago: 11 positions lost). Top-of-search impression share 0.97%. This audit reshapes it: base −16% on four targets, modifier 210% → 268%, price held at $4.96. No row names why it fell.</w:t>
      </w:r>
    </w:p>
    <w:p>
      <w:pPr>
        <w:spacing w:after="100"/>
      </w:pPr>
      <w:r>
        <w:rPr>
          <w:b/>
          <w:bCs/>
          <w:color w:val="1F3A5F"/>
        </w:rPr>
        <w:t xml:space="preserve">Correction. </w:t>
      </w:r>
      <w:r>
        <w:t xml:space="preserve">The engine’s hold is what §14 requires. The campaign delivered about 67% of 490 in the deal and 16% on its 90-day read, so the audit’s own −10% taper would cut a push that never received its clicks. What is missing is §11. At today’s $7.42, 490 clicks a week is 70 a day, or $519 a day, against a $340 budget that is already spending $319 (94%): a $179-a-day shortfall, and budget is the first cause §6 names. At the 10–12.5% top-of-search conversion it ran in the deal (about 11%, Command Center), each order costs about $67 against $24.49 contribution, so funding it fully is roughly $330 a day of deliberate loss. Write it as one decision row for the owner by 09-30 (Part D): fund it at $519 a day at today’s price with no climb, or stop it on a dated loss ceiling. For “bamboo sheets king size”, name the cause of the 11-position fall before the reshape loads (§12: a collapse of more than 10 positions is never answered with spend).</w:t>
      </w:r>
    </w:p>
    <w:p>
      <w:pPr>
        <w:pStyle w:val="Heading1"/>
      </w:pPr>
      <w:r>
        <w:t xml:space="preserve">B2. Reshapes that ship the modifier without its base half</w:t>
      </w:r>
    </w:p>
    <w:p>
      <w:pPr>
        <w:spacing w:after="100"/>
      </w:pPr>
      <w:r>
        <w:rPr>
          <w:b/>
          <w:bCs/>
          <w:color w:val="1F3A5F"/>
        </w:rPr>
        <w:t xml:space="preserve">The rule. </w:t>
      </w:r>
      <w:r>
        <w:t xml:space="preserve">A reshape moves the base down and re-solves the modifier so the top-of-search price holds to the cent. Out of focus, the price does not climb.</w:t>
      </w:r>
    </w:p>
    <w:p>
      <w:pPr>
        <w:spacing w:after="100"/>
      </w:pPr>
      <w:r>
        <w:rPr>
          <w:b/>
          <w:bCs/>
          <w:color w:val="1F3A5F"/>
        </w:rPr>
        <w:t xml:space="preserve">What the audit did. </w:t>
      </w:r>
      <w:r>
        <w:t xml:space="preserve">Recomputed from the export, 13 out-of-focus reshapes hold the price to the cent and six step it down as the taper intends. Four climb instead: 7 ($6.69 → $8.37, +25%, a modifier that doesn’t match the base the row describes), 257 ($5.87 → $6.51), 413 ($4.99 → $5.54) and 493 ($2.67 → $2.96). Each of the last three ships its modifier while the base half is held. 293, in focus, is the same fault. The review caught all five.</w:t>
      </w:r>
    </w:p>
    <w:p>
      <w:pPr>
        <w:spacing w:after="100"/>
      </w:pPr>
      <w:r>
        <w:rPr>
          <w:b/>
          <w:bCs/>
          <w:color w:val="1F3A5F"/>
        </w:rPr>
        <w:t xml:space="preserve">Correction. </w:t>
      </w:r>
      <w:r>
        <w:t xml:space="preserve">Agree with the review. The fault sits in the loader: the modifier row and its base rows load independently, so any held base row turns a price-neutral reshape into a climb. Bind the pair so it loads together or not at all (C8).</w:t>
      </w:r>
    </w:p>
    <w:p>
      <w:pPr>
        <w:pStyle w:val="Heading1"/>
      </w:pPr>
      <w:r>
        <w:t xml:space="preserve">B3. Taper rows on paused campaigns, duplicate rows, and rows the engine marks HOLD</w:t>
      </w:r>
    </w:p>
    <w:p>
      <w:pPr>
        <w:spacing w:after="100"/>
      </w:pPr>
      <w:r>
        <w:rPr>
          <w:b/>
          <w:bCs/>
          <w:color w:val="1F3A5F"/>
        </w:rPr>
        <w:t xml:space="preserve">The rule. </w:t>
      </w:r>
      <w:r>
        <w:t xml:space="preserve">A row loads only if it changes something live, once, and its own gate lets it through.</w:t>
      </w:r>
    </w:p>
    <w:p>
      <w:pPr>
        <w:spacing w:after="100"/>
      </w:pPr>
      <w:r>
        <w:rPr>
          <w:b/>
          <w:bCs/>
          <w:color w:val="1F3A5F"/>
        </w:rPr>
        <w:t xml:space="preserve">What the audit did. </w:t>
      </w:r>
      <w:r>
        <w:t xml:space="preserve">Exports 40 rows whose rank claim reads “change → HOLD” (the engine’s own gate: no gradeable rank claim) as changes, and the review passed 39 of them. It also writes 17 rows on three paused campaigns and 11 duplicate bid rows.</w:t>
      </w:r>
    </w:p>
    <w:p>
      <w:pPr>
        <w:spacing w:after="100"/>
      </w:pPr>
      <w:r>
        <w:rPr>
          <w:b/>
          <w:bCs/>
        </w:rPr>
        <w:t xml:space="preserve">B0CH885XPG-(PAT)-Targeting-(Ranking)-DO-BAMBOO-KING-WHITE</w:t>
      </w:r>
      <w:r>
        <w:t xml:space="preserve"> — 759 clicks, 76 orders in 90 days. Taper rows 71–77 cut six ASIN bids $1.98 → $1.78 and rest of search 40% → 0%. Every row’s claim reads “UNGRADEABLE — no rank observation … change → HOLD”.</w:t>
      </w:r>
    </w:p>
    <w:p>
      <w:pPr>
        <w:spacing w:after="100"/>
      </w:pPr>
      <w:r>
        <w:rPr>
          <w:b/>
          <w:bCs/>
        </w:rPr>
        <w:t xml:space="preserve">Bamboo King Size Sheet-(VLSV)-Exact-(Conversion)-DO-BAMBOO-KING-WHITE</w:t>
      </w:r>
      <w:r>
        <w:t xml:space="preserve"> — PAUSED. Six bid rows (2127–2132) move three keywords $3.00 → $1.73, each twice, plus a modifier cut (2215). The outcome counts the saving.</w:t>
      </w:r>
    </w:p>
    <w:p>
      <w:pPr>
        <w:spacing w:after="100"/>
      </w:pPr>
      <w:r>
        <w:rPr>
          <w:b/>
          <w:bCs/>
        </w:rPr>
        <w:t xml:space="preserve">Extra Deep 20-24 Inch Pocket King Size Bamboo Sheets-[Bamboo|King]-(LSV)-Exact-(Conversion)</w:t>
      </w:r>
      <w:r>
        <w:t xml:space="preserve"> — 2116 and 2117 move the same keyword $3.17 → $1.59, and the outcome counts −$5.72 a day twice: once by target id, once by keyword.</w:t>
      </w:r>
    </w:p>
    <w:p>
      <w:pPr>
        <w:spacing w:after="100"/>
      </w:pPr>
      <w:r>
        <w:rPr>
          <w:b/>
          <w:bCs/>
          <w:color w:val="1F3A5F"/>
        </w:rPr>
        <w:t xml:space="preserve">Correction. </w:t>
      </w:r>
      <w:r>
        <w:t xml:space="preserve">Pull the 40 “change → HOLD” rows (listed in C7), the 17 paused-campaign rows (Bamboo Sheets King Deep Pocket 86–94, Twin Bamboo Sheets Set 156–160, Bamboo King Size Sheet 2127–2132 and 2215), and the second copy of each duplicate (2112–2115, 2117, 2119, 2130–2132, 2134, 2136).</w:t>
      </w:r>
    </w:p>
    <w:p>
      <w:pPr>
        <w:pStyle w:val="Heading1"/>
      </w:pPr>
      <w:r>
        <w:t xml:space="preserve">B4. Rank collapses: frozen correctly, but for some the cause is already known</w:t>
      </w:r>
    </w:p>
    <w:p>
      <w:pPr>
        <w:spacing w:after="100"/>
      </w:pPr>
      <w:r>
        <w:rPr>
          <w:b/>
          <w:bCs/>
          <w:color w:val="1F3A5F"/>
        </w:rPr>
        <w:t xml:space="preserve">The rule. </w:t>
      </w:r>
      <w:r>
        <w:t xml:space="preserve">A collapse has a cause: the listing, a stock-out on the child, a rival’s entry or a suppressed offer. Name it before any lever moves (SOP-24).</w:t>
      </w:r>
    </w:p>
    <w:p>
      <w:pPr>
        <w:spacing w:after="100"/>
      </w:pPr>
      <w:r>
        <w:rPr>
          <w:b/>
          <w:bCs/>
          <w:color w:val="1F3A5F"/>
        </w:rPr>
        <w:t xml:space="preserve">What the audit did. </w:t>
      </w:r>
      <w:r>
        <w:t xml:space="preserve">Froze seven campaigns with losses of 31–87 positions (2399–2405). “0 rows held”, because no lever was proposed on them. Two carry child swaps anyway: 2155 (Bamboo Sheets Twin → BAMBOO-TWIN-BURGUNDY-NEW) and 2209 (Sheets Queen Cooling → BAMBOO-QUEEN-OLIVE).</w:t>
      </w:r>
    </w:p>
    <w:p>
      <w:pPr>
        <w:pStyle w:val="ListParagraph"/>
        <w:numPr>
          <w:ilvl w:val="0"/>
          <w:numId w:val="2"/>
        </w:numPr>
        <w:spacing w:after="60"/>
      </w:pPr>
      <w:r>
        <w:rPr>
          <w:b/>
          <w:bCs/>
        </w:rPr>
        <w:t xml:space="preserve">“bamboo sheets twin” 21 → 52. </w:t>
      </w:r>
      <w:r>
        <w:t xml:space="preserve">The Twin hero BAMBOO-TWIN-WHITE is at 0 units (RED). That is the cause, and 2155 is the fix: load it first.</w:t>
      </w:r>
    </w:p>
    <w:p>
      <w:pPr>
        <w:pStyle w:val="ListParagraph"/>
        <w:numPr>
          <w:ilvl w:val="0"/>
          <w:numId w:val="2"/>
        </w:numPr>
        <w:spacing w:after="60"/>
      </w:pPr>
      <w:r>
        <w:rPr>
          <w:b/>
          <w:bCs/>
        </w:rPr>
        <w:t xml:space="preserve">“cooling full size sheets” 47 → 127 and “full bed sheets cooling” 48 → 135 </w:t>
      </w:r>
      <w:r>
        <w:t xml:space="preserve">(Full Light Blue campaigns). The Full hero is also at 0 units; check whether the Light Blue child ran short in the same weeks.</w:t>
      </w:r>
    </w:p>
    <w:p>
      <w:pPr>
        <w:pStyle w:val="ListParagraph"/>
        <w:numPr>
          <w:ilvl w:val="0"/>
          <w:numId w:val="2"/>
        </w:numPr>
        <w:spacing w:after="60"/>
      </w:pPr>
      <w:r>
        <w:rPr>
          <w:b/>
          <w:bCs/>
        </w:rPr>
        <w:t xml:space="preserve">“bed sheets cooling” 64 → 136, “sheets queen cooling” 37 → 85, “cooling fitted sheet full” 84 → 115, “cooling sheets for hot sleepers” 99 → 130. </w:t>
      </w:r>
      <w:r>
        <w:t xml:space="preserve">No stock cause in the brief. Check the listing and the rival now ahead, and hold 2209 until the cause is named.</w:t>
      </w:r>
    </w:p>
    <w:p>
      <w:pPr>
        <w:spacing w:after="100"/>
      </w:pPr>
      <w:r>
        <w:rPr>
          <w:b/>
          <w:bCs/>
          <w:color w:val="1F3A5F"/>
        </w:rPr>
        <w:t xml:space="preserve">Correction. </w:t>
      </w:r>
      <w:r>
        <w:t xml:space="preserve">Name the cause on each and load the Twin swap first. The freeze starts at 30 positions, while the logic’s collapse line is 10 (§12). Out of focus, “bamboo sheets king size” (24 → 35) and “cooling bed sheets” (21 → 35, 12,715 searches) are reshaped or held without a named cause.</w:t>
      </w:r>
    </w:p>
    <w:p>
      <w:pPr>
        <w:pStyle w:val="Heading1"/>
      </w:pPr>
      <w:r>
        <w:t xml:space="preserve">Part C — Across the audit</w:t>
      </w:r>
    </w:p>
    <w:p>
      <w:pPr>
        <w:pStyle w:val="Heading1"/>
      </w:pPr>
      <w:r>
        <w:t xml:space="preserve">C1. What the deal did: the data behind the audit</w:t>
      </w:r>
    </w:p>
    <w:p>
      <w:pPr>
        <w:spacing w:after="100"/>
      </w:pPr>
      <w:r>
        <w:rPr>
          <w:b/>
          <w:bCs/>
          <w:color w:val="1F3A5F"/>
        </w:rPr>
        <w:t xml:space="preserve">The rule. </w:t>
      </w:r>
      <w:r>
        <w:t xml:space="preserve">Every write is a test. Read what it did before sizing the next one.</w:t>
      </w:r>
    </w:p>
    <w:p>
      <w:pPr>
        <w:spacing w:after="100"/>
      </w:pPr>
      <w:r>
        <w:t xml:space="preserve">The effective top-of-search bid rose once, at the start of the deal (about $4.40 → $5.50 on 15–16 September), and top-of-search clicks went from 94 to about 150 a day. Nothing moved after that. The second week had the same bid ($5.40) and slightly fewer top-of-search clicks, and product pages grew to match top of search. The account today carries the flagship at 299%, “Bamboo Sheets King Size” at 210% and “Cal King Bamboo Sheets” at 276%, and “Bamboo Sheets Queen Size” is on dynamic up-and-down bidding.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1350"/>
        <w:gridCol w:w="1350"/>
        <w:gridCol w:w="1350"/>
        <w:gridCol w:w="1372"/>
      </w:tblGrid>
      <w:tr>
        <w:trPr>
          <w:tblHeader/>
        </w:trPr>
        <w:tc>
          <w:tcPr>
            <w:tcW w:type="dxa" w:w="3200"/>
            <w:shd w:fill="1F3A5F" w:color="auto" w:val="clear"/>
            <w:tcMar>
              <w:top w:type="dxa" w:w="40"/>
              <w:left w:type="dxa" w:w="70"/>
              <w:bottom w:type="dxa" w:w="40"/>
              <w:right w:type="dxa" w:w="70"/>
            </w:tcMar>
          </w:tcPr>
          <w:p>
            <w:pPr>
              <w:spacing w:after="0"/>
            </w:pPr>
            <w:r>
              <w:rPr>
                <w:b/>
                <w:bCs/>
                <w:color w:val="FFFFFF"/>
                <w:sz w:val="17"/>
                <w:szCs w:val="17"/>
              </w:rPr>
              <w:t xml:space="preserve">Group (7-day median organic rank)</w:t>
            </w:r>
          </w:p>
        </w:tc>
        <w:tc>
          <w:tcPr>
            <w:tcW w:type="dxa" w:w="1350"/>
            <w:shd w:fill="1F3A5F" w:color="auto" w:val="clear"/>
            <w:tcMar>
              <w:top w:type="dxa" w:w="40"/>
              <w:left w:type="dxa" w:w="70"/>
              <w:bottom w:type="dxa" w:w="40"/>
              <w:right w:type="dxa" w:w="70"/>
            </w:tcMar>
          </w:tcPr>
          <w:p>
            <w:pPr>
              <w:spacing w:after="0"/>
            </w:pPr>
            <w:r>
              <w:rPr>
                <w:b/>
                <w:bCs/>
                <w:color w:val="FFFFFF"/>
                <w:sz w:val="17"/>
                <w:szCs w:val="17"/>
              </w:rPr>
              <w:t xml:space="preserve">30 Aug</w:t>
            </w:r>
          </w:p>
        </w:tc>
        <w:tc>
          <w:tcPr>
            <w:tcW w:type="dxa" w:w="1350"/>
            <w:shd w:fill="1F3A5F" w:color="auto" w:val="clear"/>
            <w:tcMar>
              <w:top w:type="dxa" w:w="40"/>
              <w:left w:type="dxa" w:w="70"/>
              <w:bottom w:type="dxa" w:w="40"/>
              <w:right w:type="dxa" w:w="70"/>
            </w:tcMar>
          </w:tcPr>
          <w:p>
            <w:pPr>
              <w:spacing w:after="0"/>
            </w:pPr>
            <w:r>
              <w:rPr>
                <w:b/>
                <w:bCs/>
                <w:color w:val="FFFFFF"/>
                <w:sz w:val="17"/>
                <w:szCs w:val="17"/>
              </w:rPr>
              <w:t xml:space="preserve">14 Sep (deal start)</w:t>
            </w:r>
          </w:p>
        </w:tc>
        <w:tc>
          <w:tcPr>
            <w:tcW w:type="dxa" w:w="1350"/>
            <w:shd w:fill="1F3A5F" w:color="auto" w:val="clear"/>
            <w:tcMar>
              <w:top w:type="dxa" w:w="40"/>
              <w:left w:type="dxa" w:w="70"/>
              <w:bottom w:type="dxa" w:w="40"/>
              <w:right w:type="dxa" w:w="70"/>
            </w:tcMar>
          </w:tcPr>
          <w:p>
            <w:pPr>
              <w:spacing w:after="0"/>
            </w:pPr>
            <w:r>
              <w:rPr>
                <w:b/>
                <w:bCs/>
                <w:color w:val="FFFFFF"/>
                <w:sz w:val="17"/>
                <w:szCs w:val="17"/>
              </w:rPr>
              <w:t xml:space="preserve">21 Sep</w:t>
            </w:r>
          </w:p>
        </w:tc>
        <w:tc>
          <w:tcPr>
            <w:tcW w:type="dxa" w:w="1350"/>
            <w:shd w:fill="1F3A5F" w:color="auto" w:val="clear"/>
            <w:tcMar>
              <w:top w:type="dxa" w:w="40"/>
              <w:left w:type="dxa" w:w="70"/>
              <w:bottom w:type="dxa" w:w="40"/>
              <w:right w:type="dxa" w:w="70"/>
            </w:tcMar>
          </w:tcPr>
          <w:p>
            <w:pPr>
              <w:spacing w:after="0"/>
            </w:pPr>
            <w:r>
              <w:rPr>
                <w:b/>
                <w:bCs/>
                <w:color w:val="FFFFFF"/>
                <w:sz w:val="17"/>
                <w:szCs w:val="17"/>
              </w:rPr>
              <w:t xml:space="preserve">28 Sep (deal end)</w:t>
            </w:r>
          </w:p>
        </w:tc>
        <w:tc>
          <w:tcPr>
            <w:tcW w:type="dxa" w:w="1372"/>
            <w:shd w:fill="1F3A5F" w:color="auto" w:val="clear"/>
            <w:tcMar>
              <w:top w:type="dxa" w:w="40"/>
              <w:left w:type="dxa" w:w="70"/>
              <w:bottom w:type="dxa" w:w="40"/>
              <w:right w:type="dxa" w:w="70"/>
            </w:tcMar>
          </w:tcPr>
          <w:p>
            <w:pPr>
              <w:spacing w:after="0"/>
            </w:pPr>
            <w:r>
              <w:rPr>
                <w:b/>
                <w:bCs/>
                <w:color w:val="FFFFFF"/>
                <w:sz w:val="17"/>
                <w:szCs w:val="17"/>
              </w:rPr>
              <w:t xml:space="preserve">Deal move</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w:t>
            </w:r>
          </w:p>
        </w:tc>
        <w:tc>
          <w:tcPr>
            <w:tcW w:type="dxa" w:w="1350"/>
            <w:shd w:fill="FFFFFF" w:color="auto" w:val="clear"/>
            <w:tcMar>
              <w:top w:type="dxa" w:w="40"/>
              <w:left w:type="dxa" w:w="70"/>
              <w:bottom w:type="dxa" w:w="40"/>
              <w:right w:type="dxa" w:w="70"/>
            </w:tcMar>
          </w:tcPr>
          <w:p>
            <w:pPr>
              <w:spacing w:after="0"/>
            </w:pPr>
            <w:r>
              <w:rPr>
                <w:sz w:val="17"/>
                <w:szCs w:val="17"/>
              </w:rPr>
              <w:t xml:space="preserve">31</w:t>
            </w:r>
          </w:p>
        </w:tc>
        <w:tc>
          <w:tcPr>
            <w:tcW w:type="dxa" w:w="1350"/>
            <w:shd w:fill="FFFFFF" w:color="auto" w:val="clear"/>
            <w:tcMar>
              <w:top w:type="dxa" w:w="40"/>
              <w:left w:type="dxa" w:w="70"/>
              <w:bottom w:type="dxa" w:w="40"/>
              <w:right w:type="dxa" w:w="70"/>
            </w:tcMar>
          </w:tcPr>
          <w:p>
            <w:pPr>
              <w:spacing w:after="0"/>
            </w:pPr>
            <w:r>
              <w:rPr>
                <w:sz w:val="17"/>
                <w:szCs w:val="17"/>
              </w:rPr>
              <w:t xml:space="preserve">35</w:t>
            </w:r>
          </w:p>
        </w:tc>
        <w:tc>
          <w:tcPr>
            <w:tcW w:type="dxa" w:w="1350"/>
            <w:shd w:fill="FFFFFF" w:color="auto" w:val="clear"/>
            <w:tcMar>
              <w:top w:type="dxa" w:w="40"/>
              <w:left w:type="dxa" w:w="70"/>
              <w:bottom w:type="dxa" w:w="40"/>
              <w:right w:type="dxa" w:w="70"/>
            </w:tcMar>
          </w:tcPr>
          <w:p>
            <w:pPr>
              <w:spacing w:after="0"/>
            </w:pPr>
            <w:r>
              <w:rPr>
                <w:sz w:val="17"/>
                <w:szCs w:val="17"/>
              </w:rPr>
              <w:t xml:space="preserve">34</w:t>
            </w:r>
          </w:p>
        </w:tc>
        <w:tc>
          <w:tcPr>
            <w:tcW w:type="dxa" w:w="1350"/>
            <w:shd w:fill="FFFFFF" w:color="auto" w:val="clear"/>
            <w:tcMar>
              <w:top w:type="dxa" w:w="40"/>
              <w:left w:type="dxa" w:w="70"/>
              <w:bottom w:type="dxa" w:w="40"/>
              <w:right w:type="dxa" w:w="70"/>
            </w:tcMar>
          </w:tcPr>
          <w:p>
            <w:pPr>
              <w:spacing w:after="0"/>
            </w:pPr>
            <w:r>
              <w:rPr>
                <w:sz w:val="17"/>
                <w:szCs w:val="17"/>
              </w:rPr>
              <w:t xml:space="preserve">33</w:t>
            </w:r>
          </w:p>
        </w:tc>
        <w:tc>
          <w:tcPr>
            <w:tcW w:type="dxa" w:w="1372"/>
            <w:shd w:fill="FFFFFF" w:color="auto" w:val="clear"/>
            <w:tcMar>
              <w:top w:type="dxa" w:w="40"/>
              <w:left w:type="dxa" w:w="70"/>
              <w:bottom w:type="dxa" w:w="40"/>
              <w:right w:type="dxa" w:w="70"/>
            </w:tcMar>
          </w:tcPr>
          <w:p>
            <w:pPr>
              <w:spacing w:after="0"/>
            </w:pPr>
            <w:r>
              <w:rPr>
                <w:sz w:val="17"/>
                <w:szCs w:val="17"/>
              </w:rPr>
              <w:t xml:space="preserve">+2</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Bamboo|Queen</w:t>
            </w:r>
          </w:p>
        </w:tc>
        <w:tc>
          <w:tcPr>
            <w:tcW w:type="dxa" w:w="1350"/>
            <w:shd w:fill="F2F5F9" w:color="auto" w:val="clear"/>
            <w:tcMar>
              <w:top w:type="dxa" w:w="40"/>
              <w:left w:type="dxa" w:w="70"/>
              <w:bottom w:type="dxa" w:w="40"/>
              <w:right w:type="dxa" w:w="70"/>
            </w:tcMar>
          </w:tcPr>
          <w:p>
            <w:pPr>
              <w:spacing w:after="0"/>
            </w:pPr>
            <w:r>
              <w:rPr>
                <w:sz w:val="17"/>
                <w:szCs w:val="17"/>
              </w:rPr>
              <w:t xml:space="preserve">39</w:t>
            </w:r>
          </w:p>
        </w:tc>
        <w:tc>
          <w:tcPr>
            <w:tcW w:type="dxa" w:w="1350"/>
            <w:shd w:fill="F2F5F9" w:color="auto" w:val="clear"/>
            <w:tcMar>
              <w:top w:type="dxa" w:w="40"/>
              <w:left w:type="dxa" w:w="70"/>
              <w:bottom w:type="dxa" w:w="40"/>
              <w:right w:type="dxa" w:w="70"/>
            </w:tcMar>
          </w:tcPr>
          <w:p>
            <w:pPr>
              <w:spacing w:after="0"/>
            </w:pPr>
            <w:r>
              <w:rPr>
                <w:sz w:val="17"/>
                <w:szCs w:val="17"/>
              </w:rPr>
              <w:t xml:space="preserve">44</w:t>
            </w:r>
          </w:p>
        </w:tc>
        <w:tc>
          <w:tcPr>
            <w:tcW w:type="dxa" w:w="1350"/>
            <w:shd w:fill="F2F5F9" w:color="auto" w:val="clear"/>
            <w:tcMar>
              <w:top w:type="dxa" w:w="40"/>
              <w:left w:type="dxa" w:w="70"/>
              <w:bottom w:type="dxa" w:w="40"/>
              <w:right w:type="dxa" w:w="70"/>
            </w:tcMar>
          </w:tcPr>
          <w:p>
            <w:pPr>
              <w:spacing w:after="0"/>
            </w:pPr>
            <w:r>
              <w:rPr>
                <w:sz w:val="17"/>
                <w:szCs w:val="17"/>
              </w:rPr>
              <w:t xml:space="preserve">43</w:t>
            </w:r>
          </w:p>
        </w:tc>
        <w:tc>
          <w:tcPr>
            <w:tcW w:type="dxa" w:w="1350"/>
            <w:shd w:fill="F2F5F9" w:color="auto" w:val="clear"/>
            <w:tcMar>
              <w:top w:type="dxa" w:w="40"/>
              <w:left w:type="dxa" w:w="70"/>
              <w:bottom w:type="dxa" w:w="40"/>
              <w:right w:type="dxa" w:w="70"/>
            </w:tcMar>
          </w:tcPr>
          <w:p>
            <w:pPr>
              <w:spacing w:after="0"/>
            </w:pPr>
            <w:r>
              <w:rPr>
                <w:sz w:val="17"/>
                <w:szCs w:val="17"/>
              </w:rPr>
              <w:t xml:space="preserve">43</w:t>
            </w:r>
          </w:p>
        </w:tc>
        <w:tc>
          <w:tcPr>
            <w:tcW w:type="dxa" w:w="1372"/>
            <w:shd w:fill="F2F5F9" w:color="auto" w:val="clear"/>
            <w:tcMar>
              <w:top w:type="dxa" w:w="40"/>
              <w:left w:type="dxa" w:w="70"/>
              <w:bottom w:type="dxa" w:w="40"/>
              <w:right w:type="dxa" w:w="70"/>
            </w:tcMar>
          </w:tcPr>
          <w:p>
            <w:pPr>
              <w:spacing w:after="0"/>
            </w:pPr>
            <w:r>
              <w:rPr>
                <w:sz w:val="17"/>
                <w:szCs w:val="17"/>
              </w:rPr>
              <w:t xml:space="preserve">+1</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Bamboo|King</w:t>
            </w:r>
          </w:p>
        </w:tc>
        <w:tc>
          <w:tcPr>
            <w:tcW w:type="dxa" w:w="1350"/>
            <w:shd w:fill="FFFFFF" w:color="auto" w:val="clear"/>
            <w:tcMar>
              <w:top w:type="dxa" w:w="40"/>
              <w:left w:type="dxa" w:w="70"/>
              <w:bottom w:type="dxa" w:w="40"/>
              <w:right w:type="dxa" w:w="70"/>
            </w:tcMar>
          </w:tcPr>
          <w:p>
            <w:pPr>
              <w:spacing w:after="0"/>
            </w:pPr>
            <w:r>
              <w:rPr>
                <w:sz w:val="17"/>
                <w:szCs w:val="17"/>
              </w:rPr>
              <w:t xml:space="preserve">29</w:t>
            </w:r>
          </w:p>
        </w:tc>
        <w:tc>
          <w:tcPr>
            <w:tcW w:type="dxa" w:w="1350"/>
            <w:shd w:fill="FFFFFF" w:color="auto" w:val="clear"/>
            <w:tcMar>
              <w:top w:type="dxa" w:w="40"/>
              <w:left w:type="dxa" w:w="70"/>
              <w:bottom w:type="dxa" w:w="40"/>
              <w:right w:type="dxa" w:w="70"/>
            </w:tcMar>
          </w:tcPr>
          <w:p>
            <w:pPr>
              <w:spacing w:after="0"/>
            </w:pPr>
            <w:r>
              <w:rPr>
                <w:sz w:val="17"/>
                <w:szCs w:val="17"/>
              </w:rPr>
              <w:t xml:space="preserve">31</w:t>
            </w:r>
          </w:p>
        </w:tc>
        <w:tc>
          <w:tcPr>
            <w:tcW w:type="dxa" w:w="1350"/>
            <w:shd w:fill="FFFFFF" w:color="auto" w:val="clear"/>
            <w:tcMar>
              <w:top w:type="dxa" w:w="40"/>
              <w:left w:type="dxa" w:w="70"/>
              <w:bottom w:type="dxa" w:w="40"/>
              <w:right w:type="dxa" w:w="70"/>
            </w:tcMar>
          </w:tcPr>
          <w:p>
            <w:pPr>
              <w:spacing w:after="0"/>
            </w:pPr>
            <w:r>
              <w:rPr>
                <w:sz w:val="17"/>
                <w:szCs w:val="17"/>
              </w:rPr>
              <w:t xml:space="preserve">26</w:t>
            </w:r>
          </w:p>
        </w:tc>
        <w:tc>
          <w:tcPr>
            <w:tcW w:type="dxa" w:w="1350"/>
            <w:shd w:fill="FFFFFF" w:color="auto" w:val="clear"/>
            <w:tcMar>
              <w:top w:type="dxa" w:w="40"/>
              <w:left w:type="dxa" w:w="70"/>
              <w:bottom w:type="dxa" w:w="40"/>
              <w:right w:type="dxa" w:w="70"/>
            </w:tcMar>
          </w:tcPr>
          <w:p>
            <w:pPr>
              <w:spacing w:after="0"/>
            </w:pPr>
            <w:r>
              <w:rPr>
                <w:sz w:val="17"/>
                <w:szCs w:val="17"/>
              </w:rPr>
              <w:t xml:space="preserve">27</w:t>
            </w:r>
          </w:p>
        </w:tc>
        <w:tc>
          <w:tcPr>
            <w:tcW w:type="dxa" w:w="1372"/>
            <w:shd w:fill="FFFFFF" w:color="auto" w:val="clear"/>
            <w:tcMar>
              <w:top w:type="dxa" w:w="40"/>
              <w:left w:type="dxa" w:w="70"/>
              <w:bottom w:type="dxa" w:w="40"/>
              <w:right w:type="dxa" w:w="70"/>
            </w:tcMar>
          </w:tcPr>
          <w:p>
            <w:pPr>
              <w:spacing w:after="0"/>
            </w:pPr>
            <w:r>
              <w:rPr>
                <w:sz w:val="17"/>
                <w:szCs w:val="17"/>
              </w:rPr>
              <w:t xml:space="preserve">+4</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Bamboo|Cooling (focus)</w:t>
            </w:r>
          </w:p>
        </w:tc>
        <w:tc>
          <w:tcPr>
            <w:tcW w:type="dxa" w:w="1350"/>
            <w:shd w:fill="F2F5F9" w:color="auto" w:val="clear"/>
            <w:tcMar>
              <w:top w:type="dxa" w:w="40"/>
              <w:left w:type="dxa" w:w="70"/>
              <w:bottom w:type="dxa" w:w="40"/>
              <w:right w:type="dxa" w:w="70"/>
            </w:tcMar>
          </w:tcPr>
          <w:p>
            <w:pPr>
              <w:spacing w:after="0"/>
            </w:pPr>
            <w:r>
              <w:rPr>
                <w:sz w:val="17"/>
                <w:szCs w:val="17"/>
              </w:rPr>
              <w:t xml:space="preserve">34</w:t>
            </w:r>
          </w:p>
        </w:tc>
        <w:tc>
          <w:tcPr>
            <w:tcW w:type="dxa" w:w="1350"/>
            <w:shd w:fill="F2F5F9" w:color="auto" w:val="clear"/>
            <w:tcMar>
              <w:top w:type="dxa" w:w="40"/>
              <w:left w:type="dxa" w:w="70"/>
              <w:bottom w:type="dxa" w:w="40"/>
              <w:right w:type="dxa" w:w="70"/>
            </w:tcMar>
          </w:tcPr>
          <w:p>
            <w:pPr>
              <w:spacing w:after="0"/>
            </w:pPr>
            <w:r>
              <w:rPr>
                <w:sz w:val="17"/>
                <w:szCs w:val="17"/>
              </w:rPr>
              <w:t xml:space="preserve">36</w:t>
            </w:r>
          </w:p>
        </w:tc>
        <w:tc>
          <w:tcPr>
            <w:tcW w:type="dxa" w:w="1350"/>
            <w:shd w:fill="F2F5F9" w:color="auto" w:val="clear"/>
            <w:tcMar>
              <w:top w:type="dxa" w:w="40"/>
              <w:left w:type="dxa" w:w="70"/>
              <w:bottom w:type="dxa" w:w="40"/>
              <w:right w:type="dxa" w:w="70"/>
            </w:tcMar>
          </w:tcPr>
          <w:p>
            <w:pPr>
              <w:spacing w:after="0"/>
            </w:pPr>
            <w:r>
              <w:rPr>
                <w:sz w:val="17"/>
                <w:szCs w:val="17"/>
              </w:rPr>
              <w:t xml:space="preserve">26</w:t>
            </w:r>
          </w:p>
        </w:tc>
        <w:tc>
          <w:tcPr>
            <w:tcW w:type="dxa" w:w="1350"/>
            <w:shd w:fill="F2F5F9" w:color="auto" w:val="clear"/>
            <w:tcMar>
              <w:top w:type="dxa" w:w="40"/>
              <w:left w:type="dxa" w:w="70"/>
              <w:bottom w:type="dxa" w:w="40"/>
              <w:right w:type="dxa" w:w="70"/>
            </w:tcMar>
          </w:tcPr>
          <w:p>
            <w:pPr>
              <w:spacing w:after="0"/>
            </w:pPr>
            <w:r>
              <w:rPr>
                <w:sz w:val="17"/>
                <w:szCs w:val="17"/>
              </w:rPr>
              <w:t xml:space="preserve">31</w:t>
            </w:r>
          </w:p>
        </w:tc>
        <w:tc>
          <w:tcPr>
            <w:tcW w:type="dxa" w:w="1372"/>
            <w:shd w:fill="F2F5F9" w:color="auto" w:val="clear"/>
            <w:tcMar>
              <w:top w:type="dxa" w:w="40"/>
              <w:left w:type="dxa" w:w="70"/>
              <w:bottom w:type="dxa" w:w="40"/>
              <w:right w:type="dxa" w:w="70"/>
            </w:tcMar>
          </w:tcPr>
          <w:p>
            <w:pPr>
              <w:spacing w:after="0"/>
            </w:pPr>
            <w:r>
              <w:rPr>
                <w:sz w:val="17"/>
                <w:szCs w:val="17"/>
              </w:rPr>
              <w:t xml:space="preserve">+5 (+10 mid-deal)</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Bamboo|California King (focus)</w:t>
            </w:r>
          </w:p>
        </w:tc>
        <w:tc>
          <w:tcPr>
            <w:tcW w:type="dxa" w:w="1350"/>
            <w:shd w:fill="FFFFFF" w:color="auto" w:val="clear"/>
            <w:tcMar>
              <w:top w:type="dxa" w:w="40"/>
              <w:left w:type="dxa" w:w="70"/>
              <w:bottom w:type="dxa" w:w="40"/>
              <w:right w:type="dxa" w:w="70"/>
            </w:tcMar>
          </w:tcPr>
          <w:p>
            <w:pPr>
              <w:spacing w:after="0"/>
            </w:pPr>
            <w:r>
              <w:rPr>
                <w:sz w:val="17"/>
                <w:szCs w:val="17"/>
              </w:rPr>
              <w:t xml:space="preserve">16</w:t>
            </w:r>
          </w:p>
        </w:tc>
        <w:tc>
          <w:tcPr>
            <w:tcW w:type="dxa" w:w="1350"/>
            <w:shd w:fill="FFFFFF" w:color="auto" w:val="clear"/>
            <w:tcMar>
              <w:top w:type="dxa" w:w="40"/>
              <w:left w:type="dxa" w:w="70"/>
              <w:bottom w:type="dxa" w:w="40"/>
              <w:right w:type="dxa" w:w="70"/>
            </w:tcMar>
          </w:tcPr>
          <w:p>
            <w:pPr>
              <w:spacing w:after="0"/>
            </w:pPr>
            <w:r>
              <w:rPr>
                <w:sz w:val="17"/>
                <w:szCs w:val="17"/>
              </w:rPr>
              <w:t xml:space="preserve">19</w:t>
            </w:r>
          </w:p>
        </w:tc>
        <w:tc>
          <w:tcPr>
            <w:tcW w:type="dxa" w:w="1350"/>
            <w:shd w:fill="FFFFFF" w:color="auto" w:val="clear"/>
            <w:tcMar>
              <w:top w:type="dxa" w:w="40"/>
              <w:left w:type="dxa" w:w="70"/>
              <w:bottom w:type="dxa" w:w="40"/>
              <w:right w:type="dxa" w:w="70"/>
            </w:tcMar>
          </w:tcPr>
          <w:p>
            <w:pPr>
              <w:spacing w:after="0"/>
            </w:pPr>
            <w:r>
              <w:rPr>
                <w:sz w:val="17"/>
                <w:szCs w:val="17"/>
              </w:rPr>
              <w:t xml:space="preserve">20</w:t>
            </w:r>
          </w:p>
        </w:tc>
        <w:tc>
          <w:tcPr>
            <w:tcW w:type="dxa" w:w="1350"/>
            <w:shd w:fill="FFFFFF" w:color="auto" w:val="clear"/>
            <w:tcMar>
              <w:top w:type="dxa" w:w="40"/>
              <w:left w:type="dxa" w:w="70"/>
              <w:bottom w:type="dxa" w:w="40"/>
              <w:right w:type="dxa" w:w="70"/>
            </w:tcMar>
          </w:tcPr>
          <w:p>
            <w:pPr>
              <w:spacing w:after="0"/>
            </w:pPr>
            <w:r>
              <w:rPr>
                <w:sz w:val="17"/>
                <w:szCs w:val="17"/>
              </w:rPr>
              <w:t xml:space="preserve">17</w:t>
            </w:r>
          </w:p>
        </w:tc>
        <w:tc>
          <w:tcPr>
            <w:tcW w:type="dxa" w:w="1372"/>
            <w:shd w:fill="FFFFFF" w:color="auto" w:val="clear"/>
            <w:tcMar>
              <w:top w:type="dxa" w:w="40"/>
              <w:left w:type="dxa" w:w="70"/>
              <w:bottom w:type="dxa" w:w="40"/>
              <w:right w:type="dxa" w:w="70"/>
            </w:tcMar>
          </w:tcPr>
          <w:p>
            <w:pPr>
              <w:spacing w:after="0"/>
            </w:pPr>
            <w:r>
              <w:rPr>
                <w:sz w:val="17"/>
                <w:szCs w:val="17"/>
              </w:rPr>
              <w:t xml:space="preserve">+2</w:t>
            </w:r>
          </w:p>
        </w:tc>
      </w:tr>
      <w:tr>
        <w:tc>
          <w:tcPr>
            <w:tcW w:type="dxa" w:w="3200"/>
            <w:shd w:fill="F2F5F9" w:color="auto" w:val="clear"/>
            <w:tcMar>
              <w:top w:type="dxa" w:w="40"/>
              <w:left w:type="dxa" w:w="70"/>
              <w:bottom w:type="dxa" w:w="40"/>
              <w:right w:type="dxa" w:w="70"/>
            </w:tcMar>
          </w:tcPr>
          <w:p>
            <w:pPr>
              <w:spacing w:after="0"/>
            </w:pPr>
            <w:r>
              <w:rPr>
                <w:sz w:val="17"/>
                <w:szCs w:val="17"/>
              </w:rPr>
              <w:t xml:space="preserve">Cooling</w:t>
            </w:r>
          </w:p>
        </w:tc>
        <w:tc>
          <w:tcPr>
            <w:tcW w:type="dxa" w:w="1350"/>
            <w:shd w:fill="F2F5F9" w:color="auto" w:val="clear"/>
            <w:tcMar>
              <w:top w:type="dxa" w:w="40"/>
              <w:left w:type="dxa" w:w="70"/>
              <w:bottom w:type="dxa" w:w="40"/>
              <w:right w:type="dxa" w:w="70"/>
            </w:tcMar>
          </w:tcPr>
          <w:p>
            <w:pPr>
              <w:spacing w:after="0"/>
            </w:pPr>
            <w:r>
              <w:rPr>
                <w:sz w:val="17"/>
                <w:szCs w:val="17"/>
              </w:rPr>
              <w:t xml:space="preserve">62</w:t>
            </w:r>
          </w:p>
        </w:tc>
        <w:tc>
          <w:tcPr>
            <w:tcW w:type="dxa" w:w="1350"/>
            <w:shd w:fill="F2F5F9" w:color="auto" w:val="clear"/>
            <w:tcMar>
              <w:top w:type="dxa" w:w="40"/>
              <w:left w:type="dxa" w:w="70"/>
              <w:bottom w:type="dxa" w:w="40"/>
              <w:right w:type="dxa" w:w="70"/>
            </w:tcMar>
          </w:tcPr>
          <w:p>
            <w:pPr>
              <w:spacing w:after="0"/>
            </w:pPr>
            <w:r>
              <w:rPr>
                <w:sz w:val="17"/>
                <w:szCs w:val="17"/>
              </w:rPr>
              <w:t xml:space="preserve">68</w:t>
            </w:r>
          </w:p>
        </w:tc>
        <w:tc>
          <w:tcPr>
            <w:tcW w:type="dxa" w:w="1350"/>
            <w:shd w:fill="F2F5F9" w:color="auto" w:val="clear"/>
            <w:tcMar>
              <w:top w:type="dxa" w:w="40"/>
              <w:left w:type="dxa" w:w="70"/>
              <w:bottom w:type="dxa" w:w="40"/>
              <w:right w:type="dxa" w:w="70"/>
            </w:tcMar>
          </w:tcPr>
          <w:p>
            <w:pPr>
              <w:spacing w:after="0"/>
            </w:pPr>
            <w:r>
              <w:rPr>
                <w:sz w:val="17"/>
                <w:szCs w:val="17"/>
              </w:rPr>
              <w:t xml:space="preserve">56</w:t>
            </w:r>
          </w:p>
        </w:tc>
        <w:tc>
          <w:tcPr>
            <w:tcW w:type="dxa" w:w="1350"/>
            <w:shd w:fill="F2F5F9" w:color="auto" w:val="clear"/>
            <w:tcMar>
              <w:top w:type="dxa" w:w="40"/>
              <w:left w:type="dxa" w:w="70"/>
              <w:bottom w:type="dxa" w:w="40"/>
              <w:right w:type="dxa" w:w="70"/>
            </w:tcMar>
          </w:tcPr>
          <w:p>
            <w:pPr>
              <w:spacing w:after="0"/>
            </w:pPr>
            <w:r>
              <w:rPr>
                <w:sz w:val="17"/>
                <w:szCs w:val="17"/>
              </w:rPr>
              <w:t xml:space="preserve">52</w:t>
            </w:r>
          </w:p>
        </w:tc>
        <w:tc>
          <w:tcPr>
            <w:tcW w:type="dxa" w:w="1372"/>
            <w:shd w:fill="F2F5F9" w:color="auto" w:val="clear"/>
            <w:tcMar>
              <w:top w:type="dxa" w:w="40"/>
              <w:left w:type="dxa" w:w="70"/>
              <w:bottom w:type="dxa" w:w="40"/>
              <w:right w:type="dxa" w:w="70"/>
            </w:tcMar>
          </w:tcPr>
          <w:p>
            <w:pPr>
              <w:spacing w:after="0"/>
            </w:pPr>
            <w:r>
              <w:rPr>
                <w:sz w:val="17"/>
                <w:szCs w:val="17"/>
              </w:rPr>
              <w:t xml:space="preserve">+16</w:t>
            </w:r>
          </w:p>
        </w:tc>
      </w:tr>
      <w:tr>
        <w:tc>
          <w:tcPr>
            <w:tcW w:type="dxa" w:w="3200"/>
            <w:shd w:fill="FFFFFF" w:color="auto" w:val="clear"/>
            <w:tcMar>
              <w:top w:type="dxa" w:w="40"/>
              <w:left w:type="dxa" w:w="70"/>
              <w:bottom w:type="dxa" w:w="40"/>
              <w:right w:type="dxa" w:w="70"/>
            </w:tcMar>
          </w:tcPr>
          <w:p>
            <w:pPr>
              <w:spacing w:after="0"/>
            </w:pPr>
            <w:r>
              <w:rPr>
                <w:sz w:val="17"/>
                <w:szCs w:val="17"/>
              </w:rPr>
              <w:t xml:space="preserve">Cooling|King</w:t>
            </w:r>
          </w:p>
        </w:tc>
        <w:tc>
          <w:tcPr>
            <w:tcW w:type="dxa" w:w="1350"/>
            <w:shd w:fill="FFFFFF" w:color="auto" w:val="clear"/>
            <w:tcMar>
              <w:top w:type="dxa" w:w="40"/>
              <w:left w:type="dxa" w:w="70"/>
              <w:bottom w:type="dxa" w:w="40"/>
              <w:right w:type="dxa" w:w="70"/>
            </w:tcMar>
          </w:tcPr>
          <w:p>
            <w:pPr>
              <w:spacing w:after="0"/>
            </w:pPr>
            <w:r>
              <w:rPr>
                <w:sz w:val="17"/>
                <w:szCs w:val="17"/>
              </w:rPr>
              <w:t xml:space="preserve">67</w:t>
            </w:r>
          </w:p>
        </w:tc>
        <w:tc>
          <w:tcPr>
            <w:tcW w:type="dxa" w:w="1350"/>
            <w:shd w:fill="FFFFFF" w:color="auto" w:val="clear"/>
            <w:tcMar>
              <w:top w:type="dxa" w:w="40"/>
              <w:left w:type="dxa" w:w="70"/>
              <w:bottom w:type="dxa" w:w="40"/>
              <w:right w:type="dxa" w:w="70"/>
            </w:tcMar>
          </w:tcPr>
          <w:p>
            <w:pPr>
              <w:spacing w:after="0"/>
            </w:pPr>
            <w:r>
              <w:rPr>
                <w:sz w:val="17"/>
                <w:szCs w:val="17"/>
              </w:rPr>
              <w:t xml:space="preserve">73</w:t>
            </w:r>
          </w:p>
        </w:tc>
        <w:tc>
          <w:tcPr>
            <w:tcW w:type="dxa" w:w="1350"/>
            <w:shd w:fill="FFFFFF" w:color="auto" w:val="clear"/>
            <w:tcMar>
              <w:top w:type="dxa" w:w="40"/>
              <w:left w:type="dxa" w:w="70"/>
              <w:bottom w:type="dxa" w:w="40"/>
              <w:right w:type="dxa" w:w="70"/>
            </w:tcMar>
          </w:tcPr>
          <w:p>
            <w:pPr>
              <w:spacing w:after="0"/>
            </w:pPr>
            <w:r>
              <w:rPr>
                <w:sz w:val="17"/>
                <w:szCs w:val="17"/>
              </w:rPr>
              <w:t xml:space="preserve">54</w:t>
            </w:r>
          </w:p>
        </w:tc>
        <w:tc>
          <w:tcPr>
            <w:tcW w:type="dxa" w:w="1350"/>
            <w:shd w:fill="FFFFFF" w:color="auto" w:val="clear"/>
            <w:tcMar>
              <w:top w:type="dxa" w:w="40"/>
              <w:left w:type="dxa" w:w="70"/>
              <w:bottom w:type="dxa" w:w="40"/>
              <w:right w:type="dxa" w:w="70"/>
            </w:tcMar>
          </w:tcPr>
          <w:p>
            <w:pPr>
              <w:spacing w:after="0"/>
            </w:pPr>
            <w:r>
              <w:rPr>
                <w:sz w:val="17"/>
                <w:szCs w:val="17"/>
              </w:rPr>
              <w:t xml:space="preserve">52</w:t>
            </w:r>
          </w:p>
        </w:tc>
        <w:tc>
          <w:tcPr>
            <w:tcW w:type="dxa" w:w="1372"/>
            <w:shd w:fill="FFFFFF" w:color="auto" w:val="clear"/>
            <w:tcMar>
              <w:top w:type="dxa" w:w="40"/>
              <w:left w:type="dxa" w:w="70"/>
              <w:bottom w:type="dxa" w:w="40"/>
              <w:right w:type="dxa" w:w="70"/>
            </w:tcMar>
          </w:tcPr>
          <w:p>
            <w:pPr>
              <w:spacing w:after="0"/>
            </w:pPr>
            <w:r>
              <w:rPr>
                <w:sz w:val="17"/>
                <w:szCs w:val="17"/>
              </w:rPr>
              <w:t xml:space="preserve">+21</w:t>
            </w:r>
          </w:p>
        </w:tc>
      </w:tr>
      <w:tr>
        <w:tc>
          <w:tcPr>
            <w:tcW w:type="dxa" w:w="3200"/>
            <w:shd w:fill="F2F5F9" w:color="auto" w:val="clear"/>
            <w:tcMar>
              <w:top w:type="dxa" w:w="40"/>
              <w:left w:type="dxa" w:w="70"/>
              <w:bottom w:type="dxa" w:w="40"/>
              <w:right w:type="dxa" w:w="70"/>
            </w:tcMar>
          </w:tcPr>
          <w:p>
            <w:pPr>
              <w:spacing w:after="0"/>
            </w:pPr>
            <w:r>
              <w:rPr>
                <w:sz w:val="17"/>
                <w:szCs w:val="17"/>
              </w:rPr>
              <w:t xml:space="preserve">Cooling|Queen</w:t>
            </w:r>
          </w:p>
        </w:tc>
        <w:tc>
          <w:tcPr>
            <w:tcW w:type="dxa" w:w="1350"/>
            <w:shd w:fill="F2F5F9" w:color="auto" w:val="clear"/>
            <w:tcMar>
              <w:top w:type="dxa" w:w="40"/>
              <w:left w:type="dxa" w:w="70"/>
              <w:bottom w:type="dxa" w:w="40"/>
              <w:right w:type="dxa" w:w="70"/>
            </w:tcMar>
          </w:tcPr>
          <w:p>
            <w:pPr>
              <w:spacing w:after="0"/>
            </w:pPr>
            <w:r>
              <w:rPr>
                <w:sz w:val="17"/>
                <w:szCs w:val="17"/>
              </w:rPr>
              <w:t xml:space="preserve">64</w:t>
            </w:r>
          </w:p>
        </w:tc>
        <w:tc>
          <w:tcPr>
            <w:tcW w:type="dxa" w:w="1350"/>
            <w:shd w:fill="F2F5F9" w:color="auto" w:val="clear"/>
            <w:tcMar>
              <w:top w:type="dxa" w:w="40"/>
              <w:left w:type="dxa" w:w="70"/>
              <w:bottom w:type="dxa" w:w="40"/>
              <w:right w:type="dxa" w:w="70"/>
            </w:tcMar>
          </w:tcPr>
          <w:p>
            <w:pPr>
              <w:spacing w:after="0"/>
            </w:pPr>
            <w:r>
              <w:rPr>
                <w:sz w:val="17"/>
                <w:szCs w:val="17"/>
              </w:rPr>
              <w:t xml:space="preserve">79</w:t>
            </w:r>
          </w:p>
        </w:tc>
        <w:tc>
          <w:tcPr>
            <w:tcW w:type="dxa" w:w="1350"/>
            <w:shd w:fill="F2F5F9" w:color="auto" w:val="clear"/>
            <w:tcMar>
              <w:top w:type="dxa" w:w="40"/>
              <w:left w:type="dxa" w:w="70"/>
              <w:bottom w:type="dxa" w:w="40"/>
              <w:right w:type="dxa" w:w="70"/>
            </w:tcMar>
          </w:tcPr>
          <w:p>
            <w:pPr>
              <w:spacing w:after="0"/>
            </w:pPr>
            <w:r>
              <w:rPr>
                <w:sz w:val="17"/>
                <w:szCs w:val="17"/>
              </w:rPr>
              <w:t xml:space="preserve">58</w:t>
            </w:r>
          </w:p>
        </w:tc>
        <w:tc>
          <w:tcPr>
            <w:tcW w:type="dxa" w:w="1350"/>
            <w:shd w:fill="F2F5F9" w:color="auto" w:val="clear"/>
            <w:tcMar>
              <w:top w:type="dxa" w:w="40"/>
              <w:left w:type="dxa" w:w="70"/>
              <w:bottom w:type="dxa" w:w="40"/>
              <w:right w:type="dxa" w:w="70"/>
            </w:tcMar>
          </w:tcPr>
          <w:p>
            <w:pPr>
              <w:spacing w:after="0"/>
            </w:pPr>
            <w:r>
              <w:rPr>
                <w:sz w:val="17"/>
                <w:szCs w:val="17"/>
              </w:rPr>
              <w:t xml:space="preserve">60</w:t>
            </w:r>
          </w:p>
        </w:tc>
        <w:tc>
          <w:tcPr>
            <w:tcW w:type="dxa" w:w="1372"/>
            <w:shd w:fill="F2F5F9" w:color="auto" w:val="clear"/>
            <w:tcMar>
              <w:top w:type="dxa" w:w="40"/>
              <w:left w:type="dxa" w:w="70"/>
              <w:bottom w:type="dxa" w:w="40"/>
              <w:right w:type="dxa" w:w="70"/>
            </w:tcMar>
          </w:tcPr>
          <w:p>
            <w:pPr>
              <w:spacing w:after="0"/>
            </w:pPr>
            <w:r>
              <w:rPr>
                <w:sz w:val="17"/>
                <w:szCs w:val="17"/>
              </w:rPr>
              <w:t xml:space="preserve">+19</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Bamboo|Full</w:t>
            </w:r>
          </w:p>
        </w:tc>
        <w:tc>
          <w:tcPr>
            <w:tcW w:type="dxa" w:w="1350"/>
            <w:shd w:fill="FFFFFF" w:color="auto" w:val="clear"/>
            <w:tcMar>
              <w:top w:type="dxa" w:w="40"/>
              <w:left w:type="dxa" w:w="70"/>
              <w:bottom w:type="dxa" w:w="40"/>
              <w:right w:type="dxa" w:w="70"/>
            </w:tcMar>
          </w:tcPr>
          <w:p>
            <w:pPr>
              <w:spacing w:after="0"/>
            </w:pPr>
            <w:r>
              <w:rPr>
                <w:sz w:val="17"/>
                <w:szCs w:val="17"/>
              </w:rPr>
              <w:t xml:space="preserve">32</w:t>
            </w:r>
          </w:p>
        </w:tc>
        <w:tc>
          <w:tcPr>
            <w:tcW w:type="dxa" w:w="1350"/>
            <w:shd w:fill="FFFFFF" w:color="auto" w:val="clear"/>
            <w:tcMar>
              <w:top w:type="dxa" w:w="40"/>
              <w:left w:type="dxa" w:w="70"/>
              <w:bottom w:type="dxa" w:w="40"/>
              <w:right w:type="dxa" w:w="70"/>
            </w:tcMar>
          </w:tcPr>
          <w:p>
            <w:pPr>
              <w:spacing w:after="0"/>
            </w:pPr>
            <w:r>
              <w:rPr>
                <w:sz w:val="17"/>
                <w:szCs w:val="17"/>
              </w:rPr>
              <w:t xml:space="preserve">44</w:t>
            </w:r>
          </w:p>
        </w:tc>
        <w:tc>
          <w:tcPr>
            <w:tcW w:type="dxa" w:w="1350"/>
            <w:shd w:fill="FFFFFF" w:color="auto" w:val="clear"/>
            <w:tcMar>
              <w:top w:type="dxa" w:w="40"/>
              <w:left w:type="dxa" w:w="70"/>
              <w:bottom w:type="dxa" w:w="40"/>
              <w:right w:type="dxa" w:w="70"/>
            </w:tcMar>
          </w:tcPr>
          <w:p>
            <w:pPr>
              <w:spacing w:after="0"/>
            </w:pPr>
            <w:r>
              <w:rPr>
                <w:sz w:val="17"/>
                <w:szCs w:val="17"/>
              </w:rPr>
              <w:t xml:space="preserve">53</w:t>
            </w:r>
          </w:p>
        </w:tc>
        <w:tc>
          <w:tcPr>
            <w:tcW w:type="dxa" w:w="1350"/>
            <w:shd w:fill="FFFFFF" w:color="auto" w:val="clear"/>
            <w:tcMar>
              <w:top w:type="dxa" w:w="40"/>
              <w:left w:type="dxa" w:w="70"/>
              <w:bottom w:type="dxa" w:w="40"/>
              <w:right w:type="dxa" w:w="70"/>
            </w:tcMar>
          </w:tcPr>
          <w:p>
            <w:pPr>
              <w:spacing w:after="0"/>
            </w:pPr>
            <w:r>
              <w:rPr>
                <w:sz w:val="17"/>
                <w:szCs w:val="17"/>
              </w:rPr>
              <w:t xml:space="preserve">36</w:t>
            </w:r>
          </w:p>
        </w:tc>
        <w:tc>
          <w:tcPr>
            <w:tcW w:type="dxa" w:w="1372"/>
            <w:shd w:fill="FFFFFF" w:color="auto" w:val="clear"/>
            <w:tcMar>
              <w:top w:type="dxa" w:w="40"/>
              <w:left w:type="dxa" w:w="70"/>
              <w:bottom w:type="dxa" w:w="40"/>
              <w:right w:type="dxa" w:w="70"/>
            </w:tcMar>
          </w:tcPr>
          <w:p>
            <w:pPr>
              <w:spacing w:after="0"/>
            </w:pPr>
            <w:r>
              <w:rPr>
                <w:sz w:val="17"/>
                <w:szCs w:val="17"/>
              </w:rPr>
              <w:t xml:space="preserve">+8</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Bamboo|Twin</w:t>
            </w:r>
          </w:p>
        </w:tc>
        <w:tc>
          <w:tcPr>
            <w:tcW w:type="dxa" w:w="1350"/>
            <w:shd w:fill="F2F5F9" w:color="auto" w:val="clear"/>
            <w:tcMar>
              <w:top w:type="dxa" w:w="40"/>
              <w:left w:type="dxa" w:w="70"/>
              <w:bottom w:type="dxa" w:w="40"/>
              <w:right w:type="dxa" w:w="70"/>
            </w:tcMar>
          </w:tcPr>
          <w:p>
            <w:pPr>
              <w:spacing w:after="0"/>
            </w:pPr>
            <w:r>
              <w:rPr>
                <w:sz w:val="17"/>
                <w:szCs w:val="17"/>
              </w:rPr>
              <w:t xml:space="preserve">23</w:t>
            </w:r>
          </w:p>
        </w:tc>
        <w:tc>
          <w:tcPr>
            <w:tcW w:type="dxa" w:w="1350"/>
            <w:shd w:fill="F2F5F9" w:color="auto" w:val="clear"/>
            <w:tcMar>
              <w:top w:type="dxa" w:w="40"/>
              <w:left w:type="dxa" w:w="70"/>
              <w:bottom w:type="dxa" w:w="40"/>
              <w:right w:type="dxa" w:w="70"/>
            </w:tcMar>
          </w:tcPr>
          <w:p>
            <w:pPr>
              <w:spacing w:after="0"/>
            </w:pPr>
            <w:r>
              <w:rPr>
                <w:sz w:val="17"/>
                <w:szCs w:val="17"/>
              </w:rPr>
              <w:t xml:space="preserve">23</w:t>
            </w:r>
          </w:p>
        </w:tc>
        <w:tc>
          <w:tcPr>
            <w:tcW w:type="dxa" w:w="1350"/>
            <w:shd w:fill="F2F5F9" w:color="auto" w:val="clear"/>
            <w:tcMar>
              <w:top w:type="dxa" w:w="40"/>
              <w:left w:type="dxa" w:w="70"/>
              <w:bottom w:type="dxa" w:w="40"/>
              <w:right w:type="dxa" w:w="70"/>
            </w:tcMar>
          </w:tcPr>
          <w:p>
            <w:pPr>
              <w:spacing w:after="0"/>
            </w:pPr>
            <w:r>
              <w:rPr>
                <w:sz w:val="17"/>
                <w:szCs w:val="17"/>
              </w:rPr>
              <w:t xml:space="preserve">30</w:t>
            </w:r>
          </w:p>
        </w:tc>
        <w:tc>
          <w:tcPr>
            <w:tcW w:type="dxa" w:w="1350"/>
            <w:shd w:fill="F2F5F9" w:color="auto" w:val="clear"/>
            <w:tcMar>
              <w:top w:type="dxa" w:w="40"/>
              <w:left w:type="dxa" w:w="70"/>
              <w:bottom w:type="dxa" w:w="40"/>
              <w:right w:type="dxa" w:w="70"/>
            </w:tcMar>
          </w:tcPr>
          <w:p>
            <w:pPr>
              <w:spacing w:after="0"/>
            </w:pPr>
            <w:r>
              <w:rPr>
                <w:sz w:val="17"/>
                <w:szCs w:val="17"/>
              </w:rPr>
              <w:t xml:space="preserve">40</w:t>
            </w:r>
          </w:p>
        </w:tc>
        <w:tc>
          <w:tcPr>
            <w:tcW w:type="dxa" w:w="1372"/>
            <w:shd w:fill="F2F5F9" w:color="auto" w:val="clear"/>
            <w:tcMar>
              <w:top w:type="dxa" w:w="40"/>
              <w:left w:type="dxa" w:w="70"/>
              <w:bottom w:type="dxa" w:w="40"/>
              <w:right w:type="dxa" w:w="70"/>
            </w:tcMar>
          </w:tcPr>
          <w:p>
            <w:pPr>
              <w:spacing w:after="0"/>
            </w:pPr>
            <w:r>
              <w:rPr>
                <w:sz w:val="17"/>
                <w:szCs w:val="17"/>
              </w:rPr>
              <w:t xml:space="preserve">−17 (hero at 0 units)</w:t>
            </w:r>
          </w:p>
        </w:tc>
      </w:tr>
      <w:tr>
        <w:tc>
          <w:tcPr>
            <w:tcW w:type="dxa" w:w="3200"/>
            <w:shd w:fill="FFFFFF" w:color="auto" w:val="clear"/>
            <w:tcMar>
              <w:top w:type="dxa" w:w="40"/>
              <w:left w:type="dxa" w:w="70"/>
              <w:bottom w:type="dxa" w:w="40"/>
              <w:right w:type="dxa" w:w="70"/>
            </w:tcMar>
          </w:tcPr>
          <w:p>
            <w:pPr>
              <w:spacing w:after="0"/>
            </w:pPr>
            <w:r>
              <w:rPr>
                <w:sz w:val="17"/>
                <w:szCs w:val="17"/>
              </w:rPr>
              <w:t xml:space="preserve">Cooling|Full</w:t>
            </w:r>
          </w:p>
        </w:tc>
        <w:tc>
          <w:tcPr>
            <w:tcW w:type="dxa" w:w="1350"/>
            <w:shd w:fill="FFFFFF" w:color="auto" w:val="clear"/>
            <w:tcMar>
              <w:top w:type="dxa" w:w="40"/>
              <w:left w:type="dxa" w:w="70"/>
              <w:bottom w:type="dxa" w:w="40"/>
              <w:right w:type="dxa" w:w="70"/>
            </w:tcMar>
          </w:tcPr>
          <w:p>
            <w:pPr>
              <w:spacing w:after="0"/>
            </w:pPr>
            <w:r>
              <w:rPr>
                <w:sz w:val="17"/>
                <w:szCs w:val="17"/>
              </w:rPr>
              <w:t xml:space="preserve">69</w:t>
            </w:r>
          </w:p>
        </w:tc>
        <w:tc>
          <w:tcPr>
            <w:tcW w:type="dxa" w:w="1350"/>
            <w:shd w:fill="FFFFFF" w:color="auto" w:val="clear"/>
            <w:tcMar>
              <w:top w:type="dxa" w:w="40"/>
              <w:left w:type="dxa" w:w="70"/>
              <w:bottom w:type="dxa" w:w="40"/>
              <w:right w:type="dxa" w:w="70"/>
            </w:tcMar>
          </w:tcPr>
          <w:p>
            <w:pPr>
              <w:spacing w:after="0"/>
            </w:pPr>
            <w:r>
              <w:rPr>
                <w:sz w:val="17"/>
                <w:szCs w:val="17"/>
              </w:rPr>
              <w:t xml:space="preserve">89</w:t>
            </w:r>
          </w:p>
        </w:tc>
        <w:tc>
          <w:tcPr>
            <w:tcW w:type="dxa" w:w="1350"/>
            <w:shd w:fill="FFFFFF" w:color="auto" w:val="clear"/>
            <w:tcMar>
              <w:top w:type="dxa" w:w="40"/>
              <w:left w:type="dxa" w:w="70"/>
              <w:bottom w:type="dxa" w:w="40"/>
              <w:right w:type="dxa" w:w="70"/>
            </w:tcMar>
          </w:tcPr>
          <w:p>
            <w:pPr>
              <w:spacing w:after="0"/>
            </w:pPr>
            <w:r>
              <w:rPr>
                <w:sz w:val="17"/>
                <w:szCs w:val="17"/>
              </w:rPr>
              <w:t xml:space="preserve">117</w:t>
            </w:r>
          </w:p>
        </w:tc>
        <w:tc>
          <w:tcPr>
            <w:tcW w:type="dxa" w:w="1350"/>
            <w:shd w:fill="FFFFFF" w:color="auto" w:val="clear"/>
            <w:tcMar>
              <w:top w:type="dxa" w:w="40"/>
              <w:left w:type="dxa" w:w="70"/>
              <w:bottom w:type="dxa" w:w="40"/>
              <w:right w:type="dxa" w:w="70"/>
            </w:tcMar>
          </w:tcPr>
          <w:p>
            <w:pPr>
              <w:spacing w:after="0"/>
            </w:pPr>
            <w:r>
              <w:rPr>
                <w:sz w:val="17"/>
                <w:szCs w:val="17"/>
              </w:rPr>
              <w:t xml:space="preserve">101</w:t>
            </w:r>
          </w:p>
        </w:tc>
        <w:tc>
          <w:tcPr>
            <w:tcW w:type="dxa" w:w="1372"/>
            <w:shd w:fill="FFFFFF" w:color="auto" w:val="clear"/>
            <w:tcMar>
              <w:top w:type="dxa" w:w="40"/>
              <w:left w:type="dxa" w:w="70"/>
              <w:bottom w:type="dxa" w:w="40"/>
              <w:right w:type="dxa" w:w="70"/>
            </w:tcMar>
          </w:tcPr>
          <w:p>
            <w:pPr>
              <w:spacing w:after="0"/>
            </w:pPr>
            <w:r>
              <w:rPr>
                <w:sz w:val="17"/>
                <w:szCs w:val="17"/>
              </w:rPr>
              <w:t xml:space="preserve">−12</w:t>
            </w:r>
          </w:p>
        </w:tc>
      </w:tr>
      <w:tr>
        <w:tc>
          <w:tcPr>
            <w:tcW w:type="dxa" w:w="3200"/>
            <w:shd w:fill="F2F5F9" w:color="auto" w:val="clear"/>
            <w:tcMar>
              <w:top w:type="dxa" w:w="40"/>
              <w:left w:type="dxa" w:w="70"/>
              <w:bottom w:type="dxa" w:w="40"/>
              <w:right w:type="dxa" w:w="70"/>
            </w:tcMar>
          </w:tcPr>
          <w:p>
            <w:pPr>
              <w:spacing w:after="0"/>
            </w:pPr>
            <w:r>
              <w:rPr>
                <w:sz w:val="17"/>
                <w:szCs w:val="17"/>
              </w:rPr>
              <w:t xml:space="preserve">Cooling|Twin</w:t>
            </w:r>
          </w:p>
        </w:tc>
        <w:tc>
          <w:tcPr>
            <w:tcW w:type="dxa" w:w="1350"/>
            <w:shd w:fill="F2F5F9" w:color="auto" w:val="clear"/>
            <w:tcMar>
              <w:top w:type="dxa" w:w="40"/>
              <w:left w:type="dxa" w:w="70"/>
              <w:bottom w:type="dxa" w:w="40"/>
              <w:right w:type="dxa" w:w="70"/>
            </w:tcMar>
          </w:tcPr>
          <w:p>
            <w:pPr>
              <w:spacing w:after="0"/>
            </w:pPr>
            <w:r>
              <w:rPr>
                <w:sz w:val="17"/>
                <w:szCs w:val="17"/>
              </w:rPr>
              <w:t xml:space="preserve">55</w:t>
            </w:r>
          </w:p>
        </w:tc>
        <w:tc>
          <w:tcPr>
            <w:tcW w:type="dxa" w:w="1350"/>
            <w:shd w:fill="F2F5F9" w:color="auto" w:val="clear"/>
            <w:tcMar>
              <w:top w:type="dxa" w:w="40"/>
              <w:left w:type="dxa" w:w="70"/>
              <w:bottom w:type="dxa" w:w="40"/>
              <w:right w:type="dxa" w:w="70"/>
            </w:tcMar>
          </w:tcPr>
          <w:p>
            <w:pPr>
              <w:spacing w:after="0"/>
            </w:pPr>
            <w:r>
              <w:rPr>
                <w:sz w:val="17"/>
                <w:szCs w:val="17"/>
              </w:rPr>
              <w:t xml:space="preserve">51</w:t>
            </w:r>
          </w:p>
        </w:tc>
        <w:tc>
          <w:tcPr>
            <w:tcW w:type="dxa" w:w="1350"/>
            <w:shd w:fill="F2F5F9" w:color="auto" w:val="clear"/>
            <w:tcMar>
              <w:top w:type="dxa" w:w="40"/>
              <w:left w:type="dxa" w:w="70"/>
              <w:bottom w:type="dxa" w:w="40"/>
              <w:right w:type="dxa" w:w="70"/>
            </w:tcMar>
          </w:tcPr>
          <w:p>
            <w:pPr>
              <w:spacing w:after="0"/>
            </w:pPr>
            <w:r>
              <w:rPr>
                <w:sz w:val="17"/>
                <w:szCs w:val="17"/>
              </w:rPr>
              <w:t xml:space="preserve">46</w:t>
            </w:r>
          </w:p>
        </w:tc>
        <w:tc>
          <w:tcPr>
            <w:tcW w:type="dxa" w:w="1350"/>
            <w:shd w:fill="F2F5F9" w:color="auto" w:val="clear"/>
            <w:tcMar>
              <w:top w:type="dxa" w:w="40"/>
              <w:left w:type="dxa" w:w="70"/>
              <w:bottom w:type="dxa" w:w="40"/>
              <w:right w:type="dxa" w:w="70"/>
            </w:tcMar>
          </w:tcPr>
          <w:p>
            <w:pPr>
              <w:spacing w:after="0"/>
            </w:pPr>
            <w:r>
              <w:rPr>
                <w:sz w:val="17"/>
                <w:szCs w:val="17"/>
              </w:rPr>
              <w:t xml:space="preserve">46</w:t>
            </w:r>
          </w:p>
        </w:tc>
        <w:tc>
          <w:tcPr>
            <w:tcW w:type="dxa" w:w="1372"/>
            <w:shd w:fill="F2F5F9" w:color="auto" w:val="clear"/>
            <w:tcMar>
              <w:top w:type="dxa" w:w="40"/>
              <w:left w:type="dxa" w:w="70"/>
              <w:bottom w:type="dxa" w:w="40"/>
              <w:right w:type="dxa" w:w="70"/>
            </w:tcMar>
          </w:tcPr>
          <w:p>
            <w:pPr>
              <w:spacing w:after="0"/>
            </w:pPr>
            <w:r>
              <w:rPr>
                <w:sz w:val="17"/>
                <w:szCs w:val="17"/>
              </w:rPr>
              <w:t xml:space="preserve">+5</w:t>
            </w:r>
          </w:p>
        </w:tc>
      </w:tr>
      <w:tr>
        <w:tc>
          <w:tcPr>
            <w:tcW w:type="dxa" w:w="3200"/>
            <w:shd w:fill="FFFFFF" w:color="auto" w:val="clear"/>
            <w:tcMar>
              <w:top w:type="dxa" w:w="40"/>
              <w:left w:type="dxa" w:w="70"/>
              <w:bottom w:type="dxa" w:w="40"/>
              <w:right w:type="dxa" w:w="70"/>
            </w:tcMar>
          </w:tcPr>
          <w:p>
            <w:pPr>
              <w:spacing w:after="0"/>
            </w:pPr>
            <w:r>
              <w:rPr>
                <w:sz w:val="17"/>
                <w:szCs w:val="17"/>
              </w:rPr>
              <w:t xml:space="preserve">Cooling|California King</w:t>
            </w:r>
          </w:p>
        </w:tc>
        <w:tc>
          <w:tcPr>
            <w:tcW w:type="dxa" w:w="1350"/>
            <w:shd w:fill="FFFFFF" w:color="auto" w:val="clear"/>
            <w:tcMar>
              <w:top w:type="dxa" w:w="40"/>
              <w:left w:type="dxa" w:w="70"/>
              <w:bottom w:type="dxa" w:w="40"/>
              <w:right w:type="dxa" w:w="70"/>
            </w:tcMar>
          </w:tcPr>
          <w:p>
            <w:pPr>
              <w:spacing w:after="0"/>
            </w:pPr>
            <w:r>
              <w:rPr>
                <w:sz w:val="17"/>
                <w:szCs w:val="17"/>
              </w:rPr>
              <w:t xml:space="preserve">39</w:t>
            </w:r>
          </w:p>
        </w:tc>
        <w:tc>
          <w:tcPr>
            <w:tcW w:type="dxa" w:w="1350"/>
            <w:shd w:fill="FFFFFF" w:color="auto" w:val="clear"/>
            <w:tcMar>
              <w:top w:type="dxa" w:w="40"/>
              <w:left w:type="dxa" w:w="70"/>
              <w:bottom w:type="dxa" w:w="40"/>
              <w:right w:type="dxa" w:w="70"/>
            </w:tcMar>
          </w:tcPr>
          <w:p>
            <w:pPr>
              <w:spacing w:after="0"/>
            </w:pPr>
            <w:r>
              <w:rPr>
                <w:sz w:val="17"/>
                <w:szCs w:val="17"/>
              </w:rPr>
              <w:t xml:space="preserve">38</w:t>
            </w:r>
          </w:p>
        </w:tc>
        <w:tc>
          <w:tcPr>
            <w:tcW w:type="dxa" w:w="1350"/>
            <w:shd w:fill="FFFFFF" w:color="auto" w:val="clear"/>
            <w:tcMar>
              <w:top w:type="dxa" w:w="40"/>
              <w:left w:type="dxa" w:w="70"/>
              <w:bottom w:type="dxa" w:w="40"/>
              <w:right w:type="dxa" w:w="70"/>
            </w:tcMar>
          </w:tcPr>
          <w:p>
            <w:pPr>
              <w:spacing w:after="0"/>
            </w:pPr>
            <w:r>
              <w:rPr>
                <w:sz w:val="17"/>
                <w:szCs w:val="17"/>
              </w:rPr>
              <w:t xml:space="preserve">44</w:t>
            </w:r>
          </w:p>
        </w:tc>
        <w:tc>
          <w:tcPr>
            <w:tcW w:type="dxa" w:w="1350"/>
            <w:shd w:fill="FFFFFF" w:color="auto" w:val="clear"/>
            <w:tcMar>
              <w:top w:type="dxa" w:w="40"/>
              <w:left w:type="dxa" w:w="70"/>
              <w:bottom w:type="dxa" w:w="40"/>
              <w:right w:type="dxa" w:w="70"/>
            </w:tcMar>
          </w:tcPr>
          <w:p>
            <w:pPr>
              <w:spacing w:after="0"/>
            </w:pPr>
            <w:r>
              <w:rPr>
                <w:sz w:val="17"/>
                <w:szCs w:val="17"/>
              </w:rPr>
              <w:t xml:space="preserve">45</w:t>
            </w:r>
          </w:p>
        </w:tc>
        <w:tc>
          <w:tcPr>
            <w:tcW w:type="dxa" w:w="1372"/>
            <w:shd w:fill="FFFFFF" w:color="auto" w:val="clear"/>
            <w:tcMar>
              <w:top w:type="dxa" w:w="40"/>
              <w:left w:type="dxa" w:w="70"/>
              <w:bottom w:type="dxa" w:w="40"/>
              <w:right w:type="dxa" w:w="70"/>
            </w:tcMar>
          </w:tcPr>
          <w:p>
            <w:pPr>
              <w:spacing w:after="0"/>
            </w:pPr>
            <w:r>
              <w:rPr>
                <w:sz w:val="17"/>
                <w:szCs w:val="17"/>
              </w:rPr>
              <w:t xml:space="preserve">−7</w:t>
            </w:r>
          </w:p>
        </w:tc>
      </w:tr>
    </w:tbl>
    <w:p>
      <w:pPr>
        <w:spacing w:after="120"/>
      </w:pPr>
      <w:r>
        <w:rPr>
          <w:i/>
          <w:iCs/>
          <w:color w:val="555555"/>
          <w:sz w:val="17"/>
          <w:szCs w:val="17"/>
        </w:rPr>
        <w:t xml:space="preserve">Command Center daily crawl; each cell is the median of the group’s crawled members over the 7 days ending that date. A term counts in every group it matches.</w:t>
      </w:r>
    </w:p>
    <w:p>
      <w:pPr>
        <w:spacing w:after="60"/>
        <w:jc w:val="center"/>
      </w:pPr>
      <w:r>
        <w:drawing>
          <wp:inline distT="0" distB="0" distL="0" distR="0">
            <wp:extent cx="6096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5610225"/>
                    </a:xfrm>
                    <a:prstGeom prst="rect">
                      <a:avLst/>
                    </a:prstGeom>
                  </pic:spPr>
                </pic:pic>
              </a:graphicData>
            </a:graphic>
          </wp:inline>
        </w:drawing>
      </w:r>
    </w:p>
    <w:p>
      <w:pPr>
        <w:spacing w:after="120"/>
      </w:pPr>
      <w:r>
        <w:rPr>
          <w:i/>
          <w:iCs/>
          <w:color w:val="555555"/>
          <w:sz w:val="17"/>
          <w:szCs w:val="17"/>
        </w:rPr>
        <w:t xml:space="preserve">B4, all campaigns, 01–27 September: estimated top-of-search and product-page clicks a day, the spend-weighted effective top-of-search bid, and group rank (daily median). Shaded: the Best Deal.</w:t>
      </w:r>
    </w:p>
    <w:p>
      <w:pPr>
        <w:spacing w:after="100"/>
      </w:pPr>
      <w:r>
        <w:t xml:space="preserve">Rank moved most where the least money went. The cooling groups climbed 16–21 places over the deal: Cooling 68 → 52, Cooling|King 73 → 52, Cooling|Queen 79 → 60. The Bamboo head moved 2 (35 → 33) on $937 a day, and Bamboo|Queen 1. Bamboo|Cooling reached 26 mid-deal and gave half of it back. Bamboo|Twin lost 17 with its hero at zero.</w:t>
      </w:r>
    </w:p>
    <w:p>
      <w:pPr>
        <w:spacing w:after="100"/>
      </w:pPr>
      <w:r>
        <w:rPr>
          <w:b/>
          <w:bCs/>
          <w:color w:val="1F3A5F"/>
        </w:rPr>
        <w:t xml:space="preserve">Correction. </w:t>
      </w:r>
      <w:r>
        <w:t xml:space="preserve">Grade each of this audit’s writes against its own campaign on clean post-deal days, before the next write on that campaign.</w:t>
      </w:r>
    </w:p>
    <w:p>
      <w:pPr>
        <w:pStyle w:val="Heading1"/>
      </w:pPr>
      <w:r>
        <w:t xml:space="preserve">C1b. Every 14-day read in this audit is a deal read</w:t>
      </w:r>
    </w:p>
    <w:p>
      <w:pPr>
        <w:spacing w:after="100"/>
      </w:pPr>
      <w:r>
        <w:rPr>
          <w:b/>
          <w:bCs/>
          <w:color w:val="1F3A5F"/>
        </w:rPr>
        <w:t xml:space="preserve">The rule (the logic, §12). </w:t>
      </w:r>
      <w:r>
        <w:t xml:space="preserve">“Two conditions void every read above. The serving child cannot ship, or a deal week sits inside the window and contaminates every rate. Resolve those first.”</w:t>
      </w:r>
    </w:p>
    <w:p>
      <w:pPr>
        <w:spacing w:after="100"/>
      </w:pPr>
      <w:r>
        <w:rPr>
          <w:b/>
          <w:bCs/>
          <w:color w:val="1F3A5F"/>
        </w:rPr>
        <w:t xml:space="preserve">What the audit did. </w:t>
      </w:r>
      <w:r>
        <w:t xml:space="preserve">Read its 14-day window (09-14 → 09-27), 13 of whose 14 days are deal days. That window feeds the outcome baseline, budget use, placement mix, the dose rows’ “last two weeks” of clicks and the sweep’s ACoS reads. The 90-day figures carry the same 13 deal days. The second void condition is live too: the Full and Twin heroes are at zero, and the Queen and California King heroes are under their horizon.</w:t>
      </w:r>
    </w:p>
    <w:p>
      <w:pPr>
        <w:spacing w:after="100"/>
      </w:pPr>
      <w:r>
        <w:rPr>
          <w:b/>
          <w:bCs/>
          <w:color w:val="1F3A5F"/>
        </w:rPr>
        <w:t xml:space="preserve">Correction. </w:t>
      </w:r>
      <w:r>
        <w:t xml:space="preserve">Treat every row sized on a 14-day read as provisional. Load the stock and hygiene rows now: re-points to serving children, pauses, walls, and renames that match the child. Re-read the price rows on the first seven post-deal days as they settle (09-29 → 10-05, attribution complete by 10-12). The capped steps in A2 go ahead because they are tests of a condition, not reads of one.</w:t>
      </w:r>
    </w:p>
    <w:p>
      <w:pPr>
        <w:pStyle w:val="Heading1"/>
      </w:pPr>
      <w:r>
        <w:t xml:space="preserve">C1c. Where the audit already follows the logic</w:t>
      </w:r>
    </w:p>
    <w:p>
      <w:pPr>
        <w:pStyle w:val="ListParagraph"/>
        <w:numPr>
          <w:ilvl w:val="0"/>
          <w:numId w:val="2"/>
        </w:numPr>
        <w:spacing w:after="60"/>
      </w:pPr>
      <w:r>
        <w:t xml:space="preserve">Reshapes hold the top-of-search price to the cent while the base comes down: 13 of the out-of-focus reshapes (§9: the price never falls as a residue of a base cut).</w:t>
      </w:r>
    </w:p>
    <w:p>
      <w:pPr>
        <w:pStyle w:val="ListParagraph"/>
        <w:numPr>
          <w:ilvl w:val="0"/>
          <w:numId w:val="2"/>
        </w:numPr>
        <w:spacing w:after="60"/>
      </w:pPr>
      <w:r>
        <w:t xml:space="preserve">Rest-of-search modifiers go to 0% on seven campaigns (71, 88, 371, 382, 522, 913, 1195), per §8: rest of search sits at zero until it earns a lift.</w:t>
      </w:r>
    </w:p>
    <w:p>
      <w:pPr>
        <w:pStyle w:val="ListParagraph"/>
        <w:numPr>
          <w:ilvl w:val="0"/>
          <w:numId w:val="2"/>
        </w:numPr>
        <w:spacing w:after="60"/>
      </w:pPr>
      <w:r>
        <w:t xml:space="preserve">Rows with no clicks arriving keep their base and move the modifier only (687, 1002, 526; §12).</w:t>
      </w:r>
    </w:p>
    <w:p>
      <w:pPr>
        <w:pStyle w:val="ListParagraph"/>
        <w:numPr>
          <w:ilvl w:val="0"/>
          <w:numId w:val="2"/>
        </w:numPr>
        <w:spacing w:after="60"/>
      </w:pPr>
      <w:r>
        <w:t xml:space="preserve">The flagship is not cut while its delivery is under 70% of requirement (§14).</w:t>
      </w:r>
    </w:p>
    <w:p>
      <w:pPr>
        <w:pStyle w:val="ListParagraph"/>
        <w:numPr>
          <w:ilvl w:val="0"/>
          <w:numId w:val="2"/>
        </w:numPr>
        <w:spacing w:after="60"/>
      </w:pPr>
      <w:r>
        <w:t xml:space="preserve">Priced rows state both prices and the ratio, for example “Top of search $5.32 against $1.36 on product pages, 3.91 to one” (§5). On the dose rows the stated prices are stale (A2).</w:t>
      </w:r>
    </w:p>
    <w:p>
      <w:pPr>
        <w:pStyle w:val="Heading1"/>
      </w:pPr>
      <w:r>
        <w:t xml:space="preserve">C2. Conversions, discovery and product-targeting campaigns: the sweep cuts the modifier on nearly all of them</w:t>
      </w:r>
    </w:p>
    <w:p>
      <w:pPr>
        <w:spacing w:after="100"/>
      </w:pPr>
      <w:r>
        <w:rPr>
          <w:b/>
          <w:bCs/>
          <w:color w:val="1F3A5F"/>
        </w:rPr>
        <w:t xml:space="preserve">The rule. </w:t>
      </w:r>
      <w:r>
        <w:t xml:space="preserve">These campaigns are priced inside their own ceiling. Under 15 clicks: hold, with no cut and no raise. Inside the ceiling: nothing moves, including a top-of-search modifier whose top of search pays. Over it: the base comes down.</w:t>
      </w:r>
    </w:p>
    <w:p>
      <w:pPr>
        <w:spacing w:after="100"/>
      </w:pPr>
      <w:r>
        <w:rPr>
          <w:b/>
          <w:bCs/>
          <w:color w:val="1F3A5F"/>
        </w:rPr>
        <w:t xml:space="preserve">What the audit did. </w:t>
      </w:r>
      <w:r>
        <w:t xml:space="preserve">Wrote 42 top-of-search rows in the sweep (2212–2253). Six raise the modifier on retagged ranking campaigns. The other 36 cut one −10% rung because “the premium buys rank”: 23 on campaigns with under 15 clicks in 90 days, 2 inside their ceiling, 5 over it, and 6 on retagged plan terms with no read.</w:t>
      </w:r>
    </w:p>
    <w:p>
      <w:pPr>
        <w:spacing w:after="100"/>
      </w:pPr>
      <w:r>
        <w:rPr>
          <w:b/>
          <w:bCs/>
        </w:rPr>
        <w:t xml:space="preserve">B08KQHRDDG-(PAT)-Targeting-(Conversion)-DO-BAMBOO-KING-WHITE</w:t>
      </w:r>
      <w:r>
        <w:t xml:space="preserve"> — ACoS 9.7% on 586 clicks and 142 orders in 90 days; $481 in the last 14 days. The audit cuts the modifier 32% → 29% (2212). Correction: hold.</w:t>
      </w:r>
    </w:p>
    <w:p>
      <w:pPr>
        <w:spacing w:after="100"/>
      </w:pPr>
      <w:r>
        <w:rPr>
          <w:b/>
          <w:bCs/>
        </w:rPr>
        <w:t xml:space="preserve">Bamboo Sheets-(VHSV)-Broad-(DISC)-DO-BAMBOO-KING-WHITE</w:t>
      </w:r>
      <w:r>
        <w:t xml:space="preserve"> — 86 orders at ACoS 27.5%, inside the discovery band, and the survivor the other three discovery broads fold into (2411–2413). The audit cuts 38% → 34% (2230). Correction: hold.</w:t>
      </w:r>
    </w:p>
    <w:p>
      <w:pPr>
        <w:spacing w:after="100"/>
      </w:pPr>
      <w:r>
        <w:rPr>
          <w:b/>
          <w:bCs/>
        </w:rPr>
        <w:t xml:space="preserve">100% bamboo viscose sheets-[Bamboo]-(LSV)-Exact-(Ranking)-FIX-BAMBOO-KING-WHITE</w:t>
      </w:r>
      <w:r>
        <w:t xml:space="preserve"> — 7 clicks in 90 days. The audit cuts 88% → 79% (2219), retags it Conversions and renames it KING-CREME (C3). Correction: thin, so hold.</w:t>
      </w:r>
    </w:p>
    <w:p>
      <w:pPr>
        <w:spacing w:after="100"/>
      </w:pPr>
      <w:r>
        <w:rPr>
          <w:b/>
          <w:bCs/>
        </w:rPr>
        <w:t xml:space="preserve">B07YKCZHGK-(PAT)-Targeting-(Conversion)-DO-BAMBOO-KING-CREME</w:t>
      </w:r>
      <w:r>
        <w:t xml:space="preserve"> — seven ASIN bids cut to $1.50, up to −25% (2120–2126), on a 90-day ACoS of 45.9%. The sweep reads only 90 days, and it prices break-even at 34.4% where the brief says 33.3%.</w:t>
      </w:r>
    </w:p>
    <w:p>
      <w:pPr>
        <w:spacing w:after="100"/>
      </w:pPr>
      <w:r>
        <w:rPr>
          <w:b/>
          <w:bCs/>
          <w:color w:val="1F3A5F"/>
        </w:rPr>
        <w:t xml:space="preserve">Correction. </w:t>
      </w:r>
      <w:r>
        <w:t xml:space="preserve">Reverse the 25 cuts on thin or inside-ceiling campaigns (2212, 2230, 2218, 2219, 2222–2228, 2231, 2232, 2234–2237, 2239, 2241, 2245–2249, 2251). Keep the over-ceiling bid-downs (2214, 2216, 2217); 2215 is on a paused campaign. Read 14 days beside 90 before the B07YKCZHGK cut loads.</w:t>
      </w:r>
    </w:p>
    <w:p>
      <w:pPr>
        <w:pStyle w:val="Heading1"/>
      </w:pPr>
      <w:r>
        <w:t xml:space="preserve">C3. Advertised child, names and objective tags</w:t>
      </w:r>
    </w:p>
    <w:p>
      <w:pPr>
        <w:spacing w:after="100"/>
      </w:pPr>
      <w:r>
        <w:rPr>
          <w:b/>
          <w:bCs/>
          <w:color w:val="1F3A5F"/>
        </w:rPr>
        <w:t xml:space="preserve">The rule. </w:t>
      </w:r>
      <w:r>
        <w:t xml:space="preserve">Every campaign advertises its size’s hero while the hero has room, and the serving child when it doesn’t; a keyword that names a colour keeps its colour. A campaign’s name says the child it actually advertises.</w:t>
      </w:r>
    </w:p>
    <w:p>
      <w:pPr>
        <w:spacing w:after="100"/>
      </w:pPr>
      <w:r>
        <w:rPr>
          <w:b/>
          <w:bCs/>
          <w:color w:val="1F3A5F"/>
        </w:rPr>
        <w:t xml:space="preserve">What the audit did. </w:t>
      </w:r>
      <w:r>
        <w:t xml:space="preserve">Wrote 64 child rows. 60 follow the size pivot: Queen White → Olive (33), California King White → Burgundy-New (15), Full White → Light Olive (11) and Twin White → Burgundy-New (1). It also wrote 22 renames and 34 objective retags.</w:t>
      </w:r>
    </w:p>
    <w:p>
      <w:pPr>
        <w:pStyle w:val="ListParagraph"/>
        <w:numPr>
          <w:ilvl w:val="0"/>
          <w:numId w:val="2"/>
        </w:numPr>
        <w:spacing w:after="60"/>
      </w:pPr>
      <w:r>
        <w:rPr>
          <w:b/>
          <w:bCs/>
        </w:rPr>
        <w:t xml:space="preserve">King is not re-pointed, and shouldn’t be. </w:t>
      </w:r>
      <w:r>
        <w:t xml:space="preserve">Engine check 1 fails on it (“26 holds on a served hero with no swap row”). But the King hero has 228 units: 24 days at today’s rate, with 606 landing 10-16, 18 days out. That covers the arrival at today’s pace. The brief’s product findings also show White as the best King converter (12.95% paid CVR on 12,562 clicks). Keep King on White, and record the check failure as a check that read push pace on a size that isn’t pushed.</w:t>
      </w:r>
    </w:p>
    <w:p>
      <w:pPr>
        <w:pStyle w:val="ListParagraph"/>
        <w:numPr>
          <w:ilvl w:val="0"/>
          <w:numId w:val="2"/>
        </w:numPr>
        <w:spacing w:after="60"/>
      </w:pPr>
      <w:r>
        <w:rPr>
          <w:b/>
          <w:bCs/>
        </w:rPr>
        <w:t xml:space="preserve">17 renames write “KING-CREME” into names whose ad stays on BAMBOO-KING-WHITE </w:t>
      </w:r>
      <w:r>
        <w:t xml:space="preserve">(2423, 2424, 2426–2429, 2431–2439, 2441, 2443; none has a child row). The audit creates the exact name-versus-child mismatch its own structure rows 2417–2422 flag. Rename with the child actually advertised, or hold the renames.</w:t>
      </w:r>
    </w:p>
    <w:p>
      <w:pPr>
        <w:pStyle w:val="ListParagraph"/>
        <w:numPr>
          <w:ilvl w:val="0"/>
          <w:numId w:val="2"/>
        </w:numPr>
        <w:spacing w:after="60"/>
      </w:pPr>
      <w:r>
        <w:rPr>
          <w:b/>
          <w:bCs/>
        </w:rPr>
        <w:t xml:space="preserve">2188 and 2164. </w:t>
      </w:r>
      <w:r>
        <w:t xml:space="preserve">“Bamboo Taupe Sheets King” moves to BAMBOO-TWIN-TAUPE, and “Purple Bamboo Sheets” (Queen) to BAMBOO-FULL-PURPLE. Both follow the operator’s colour rule, but they put a King-named and a Queen-named campaign on other sizes. Rename them in the same write, or the next structure check flags them.</w:t>
      </w:r>
    </w:p>
    <w:p>
      <w:pPr>
        <w:pStyle w:val="Heading1"/>
      </w:pPr>
      <w:r>
        <w:t xml:space="preserve">C4. New campaigns</w:t>
      </w:r>
    </w:p>
    <w:p>
      <w:pPr>
        <w:spacing w:after="100"/>
      </w:pPr>
      <w:r>
        <w:rPr>
          <w:b/>
          <w:bCs/>
          <w:color w:val="1F3A5F"/>
        </w:rPr>
        <w:t xml:space="preserve">What the audit did. </w:t>
      </w:r>
      <w:r>
        <w:t xml:space="preserve">Proposed six builds. The review held the four Sponsored Brands and Sponsored Brands Video probes (the California King hero, and the S-F3 screen on “bamboo cooling sheets”), and we agree. It passed the Sponsored Display own-page defence ($10 a day) and the conquest test.</w:t>
      </w:r>
    </w:p>
    <w:p>
      <w:pPr>
        <w:spacing w:after="100"/>
      </w:pPr>
      <w:r>
        <w:rPr>
          <w:b/>
          <w:bCs/>
        </w:rPr>
        <w:t xml:space="preserve">Conquest-(PAT)-Targeting-(Conquesting)-FIX-BAMBOO-QUEEN-WHITE-TEST</w:t>
      </w:r>
      <w:r>
        <w:t xml:space="preserve"> — $47.64 a day, the largest new line in the plan, across nine rival pages. The review passed it “as a test; build it on BAMBOO-QUEEN-OLIVE”. But a pass ships the row as written, on BAMBOO-QUEEN-WHITE, the Queen hero the audit pivots off, which is the same reason the review held the Sponsored Brands rows. Its better-offer test compares our average order value ($75.59) with each rival’s size price, and 5 of 9 pages read “price theirs”. Correction: hold until the child is BAMBOO-QUEEN-OLIVE and each target is paired by size.</w:t>
      </w:r>
    </w:p>
    <w:p>
      <w:pPr>
        <w:pStyle w:val="Heading1"/>
      </w:pPr>
      <w:r>
        <w:t xml:space="preserve">C5. Negatives and folds</w:t>
      </w:r>
    </w:p>
    <w:p>
      <w:pPr>
        <w:pStyle w:val="ListParagraph"/>
        <w:numPr>
          <w:ilvl w:val="0"/>
          <w:numId w:val="2"/>
        </w:numPr>
        <w:spacing w:after="60"/>
      </w:pPr>
      <w:r>
        <w:rPr>
          <w:b/>
          <w:bCs/>
        </w:rPr>
        <w:t xml:space="preserve">Walls. </w:t>
      </w:r>
      <w:r>
        <w:t xml:space="preserve">Eleven rows wall ranking terms out of broad and auto campaigns, which is the right rule. But some walls cover focus terms whose exact campaign barely serves. 2341 walls “bamboo sheets cal king” and “bamboo california king sheets” in the family discovery broad, and their exact campaigns took 5 and 3 clicks in 90 days. Wall a focus term only once its exact campaign takes 15 clicks in 14 days; until then the broad may be where its clicks come from.</w:t>
      </w:r>
    </w:p>
    <w:p>
      <w:pPr>
        <w:pStyle w:val="ListParagraph"/>
        <w:numPr>
          <w:ilvl w:val="0"/>
          <w:numId w:val="2"/>
        </w:numPr>
        <w:spacing w:after="60"/>
      </w:pPr>
      <w:r>
        <w:rPr>
          <w:b/>
          <w:bCs/>
        </w:rPr>
        <w:t xml:space="preserve">Folds. </w:t>
      </w:r>
      <w:r>
        <w:t xml:space="preserve">Folding the three extra discovery broads into the family survivor (2411–2413) is right. The eight bid rows (2108–2115) and the modifier cut (2213) on the “100 Bamboo” broad being folded are wasted, so pull them.</w:t>
      </w:r>
    </w:p>
    <w:p>
      <w:pPr>
        <w:pStyle w:val="Heading1"/>
      </w:pPr>
      <w:r>
        <w:t xml:space="preserve">C6. The predicted outcome</w:t>
      </w:r>
    </w:p>
    <w:p>
      <w:pPr>
        <w:spacing w:after="100"/>
      </w:pPr>
      <w:r>
        <w:t xml:space="preserve">The plan claims top-of-search clicks on the changed campaigns go from 19.8 to 221.9 a week, eleven times more. Of the 202 added clicks:</w:t>
      </w:r>
    </w:p>
    <w:p>
      <w:pPr>
        <w:pStyle w:val="ListParagraph"/>
        <w:numPr>
          <w:ilvl w:val="0"/>
          <w:numId w:val="2"/>
        </w:numPr>
        <w:spacing w:after="60"/>
      </w:pPr>
      <w:r>
        <w:t xml:space="preserve">91 come from three rows priced above their budgets: 1002 (32 a week on a campaign with no top-of-search impressions in 90 days), 526 (32 a week on $10), and 31 (27 a week, held);</w:t>
      </w:r>
    </w:p>
    <w:p>
      <w:pPr>
        <w:pStyle w:val="ListParagraph"/>
        <w:numPr>
          <w:ilvl w:val="0"/>
          <w:numId w:val="2"/>
        </w:numPr>
        <w:spacing w:after="60"/>
      </w:pPr>
      <w:r>
        <w:t xml:space="preserve">90 come from six retag rows (2233, 2243, 2244, 2250, 2252, 2253). Each moves from 0 to 15 a week on a +9% modifier and a +25% base, on campaigns with 0–2 clicks in 14 days and 9–18 impressions in 90;</w:t>
      </w:r>
    </w:p>
    <w:p>
      <w:pPr>
        <w:pStyle w:val="ListParagraph"/>
        <w:numPr>
          <w:ilvl w:val="0"/>
          <w:numId w:val="2"/>
        </w:numPr>
        <w:spacing w:after="60"/>
      </w:pPr>
      <w:r>
        <w:t xml:space="preserve">16.5 come from the three dose pushes.</w:t>
      </w:r>
    </w:p>
    <w:p>
      <w:pPr>
        <w:spacing w:after="100"/>
      </w:pPr>
      <w:r>
        <w:t xml:space="preserve">The review’s figure (192 a week) only removes held rows. Bid-cut savings are counted twice where rows repeat (B3). The spend baseline is 14 deal days.</w:t>
      </w:r>
    </w:p>
    <w:p>
      <w:pPr>
        <w:spacing w:after="100"/>
      </w:pPr>
      <w:r>
        <w:rPr>
          <w:b/>
          <w:bCs/>
          <w:color w:val="1F3A5F"/>
        </w:rPr>
        <w:t xml:space="preserve">Correction. </w:t>
      </w:r>
      <w:r>
        <w:t xml:space="preserve">Cap each row’s claim at what its budget buys at its price and at the book’s rate for the step, drop paused and duplicate rows, and rebase on post-deal days as they settle. On that basis the buyable gain is about 20–30 top-of-search clicks a week, and spend rises by far less than the plan’s $277 a day. That figure is $117 a day of new builds (the conquest and five brand and display campaigns) and $163 a day priced on rows over their budgets or on starved campaigns. The pushes themselves add about $15 a day.</w:t>
      </w:r>
    </w:p>
    <w:p>
      <w:pPr>
        <w:pStyle w:val="Heading1"/>
      </w:pPr>
      <w:r>
        <w:t xml:space="preserve">C7. Rows in the change file that should not load</w:t>
      </w:r>
    </w:p>
    <w:p>
      <w:pPr>
        <w:pStyle w:val="ListParagraph"/>
        <w:numPr>
          <w:ilvl w:val="0"/>
          <w:numId w:val="2"/>
        </w:numPr>
        <w:spacing w:after="60"/>
      </w:pPr>
      <w:r>
        <w:rPr>
          <w:b/>
          <w:bCs/>
        </w:rPr>
        <w:t xml:space="preserve">38 rows the engine itself gates to HOLD </w:t>
      </w:r>
      <w:r>
        <w:t xml:space="preserve">(“change → HOLD”; the review passed all but 493): 71–77, 86, 88–91, 93, 94, 121–123, 127, 130, 149, 156, 159, 160, 170, 173, 239, 242, 270, 273–276, 278, 403, 493, 522, 913, 1195. The two others in the same gate, 462 and 571, are corrected to the ceiling instead (A4).</w:t>
      </w:r>
    </w:p>
    <w:p>
      <w:pPr>
        <w:pStyle w:val="ListParagraph"/>
        <w:numPr>
          <w:ilvl w:val="0"/>
          <w:numId w:val="2"/>
        </w:numPr>
        <w:spacing w:after="60"/>
      </w:pPr>
      <w:r>
        <w:rPr>
          <w:b/>
          <w:bCs/>
        </w:rPr>
        <w:t xml:space="preserve">17 rows on paused campaigns: </w:t>
      </w:r>
      <w:r>
        <w:t xml:space="preserve">86–94, 156–160, 2127–2132, 2215 (10 overlap the list above).</w:t>
      </w:r>
    </w:p>
    <w:p>
      <w:pPr>
        <w:pStyle w:val="ListParagraph"/>
        <w:numPr>
          <w:ilvl w:val="0"/>
          <w:numId w:val="2"/>
        </w:numPr>
        <w:spacing w:after="60"/>
      </w:pPr>
      <w:r>
        <w:rPr>
          <w:b/>
          <w:bCs/>
        </w:rPr>
        <w:t xml:space="preserve">11 duplicate bid rows: </w:t>
      </w:r>
      <w:r>
        <w:t xml:space="preserve">2112–2115, 2117, 2119, 2130–2132, 2134, 2136. Five rows on the “100 Bamboo” broad being folded: 2108–2111, 2213.</w:t>
      </w:r>
    </w:p>
    <w:p>
      <w:pPr>
        <w:pStyle w:val="ListParagraph"/>
        <w:numPr>
          <w:ilvl w:val="0"/>
          <w:numId w:val="2"/>
        </w:numPr>
        <w:spacing w:after="60"/>
      </w:pPr>
      <w:r>
        <w:rPr>
          <w:b/>
          <w:bCs/>
        </w:rPr>
        <w:t xml:space="preserve">25 sweep modifier cuts on thin or inside-ceiling campaigns </w:t>
      </w:r>
      <w:r>
        <w:t xml:space="preserve">(C2).</w:t>
      </w:r>
    </w:p>
    <w:p>
      <w:pPr>
        <w:pStyle w:val="ListParagraph"/>
        <w:numPr>
          <w:ilvl w:val="0"/>
          <w:numId w:val="2"/>
        </w:numPr>
        <w:spacing w:after="60"/>
      </w:pPr>
      <w:r>
        <w:rPr>
          <w:b/>
          <w:bCs/>
        </w:rPr>
        <w:t xml:space="preserve">17 “KING-CREME” renames </w:t>
      </w:r>
      <w:r>
        <w:t xml:space="preserve">(C3), and the conquest build 2330 until it is re-pointed (C4).</w:t>
      </w:r>
    </w:p>
    <w:p>
      <w:pPr>
        <w:pStyle w:val="ListParagraph"/>
        <w:numPr>
          <w:ilvl w:val="0"/>
          <w:numId w:val="2"/>
        </w:numPr>
        <w:spacing w:after="60"/>
      </w:pPr>
      <w:r>
        <w:rPr>
          <w:b/>
          <w:bCs/>
        </w:rPr>
        <w:t xml:space="preserve">Four more from the logic: </w:t>
      </w:r>
      <w:r>
        <w:t xml:space="preserve">296 and 297 (base cuts on a campaign with no clicks arriving, §12); 368 (369’s budget already covers its corrected price); 686 (687 is not spending, so a budget raise has nothing to fix, §6).</w:t>
      </w:r>
    </w:p>
    <w:p>
      <w:pPr>
        <w:pStyle w:val="ListParagraph"/>
        <w:numPr>
          <w:ilvl w:val="0"/>
          <w:numId w:val="2"/>
        </w:numPr>
        <w:spacing w:after="60"/>
      </w:pPr>
      <w:r>
        <w:rPr>
          <w:b/>
          <w:bCs/>
        </w:rPr>
        <w:t xml:space="preserve">Nine to correct, not pull: </w:t>
      </w:r>
      <w:r>
        <w:t xml:space="preserve">288 → 340% ($5.98), 369 down to 150% ($5.74), 398 → 187% ($5.74) (A2); 462 → 255% ($3.51) and 571 → 98% ($3.77) (A4); 293 held at 276% on its $1.02 base, 1002 re-pointed with its claim cut, and 526’s claim (A3); 2147, a budget of $5.37 → $13.05 (+143%) whose text says “inside a single +30% step”, capped at $6.98.</w:t>
      </w:r>
    </w:p>
    <w:p>
      <w:pPr>
        <w:pStyle w:val="ListParagraph"/>
        <w:numPr>
          <w:ilvl w:val="0"/>
          <w:numId w:val="2"/>
        </w:numPr>
        <w:spacing w:after="60"/>
      </w:pPr>
      <w:r>
        <w:rPr>
          <w:b/>
          <w:bCs/>
        </w:rPr>
        <w:t xml:space="preserve">To load by hand: </w:t>
      </w:r>
      <w:r>
        <w:t xml:space="preserve">287 ($13.98) and 397 ($14.21, with 398’s $18.59-a-day shortfall stated). The code check failed on these, not the rows. The three idle pauses (2000, 2254, 2255) are harmless hygiene and can load or wait.</w:t>
      </w:r>
    </w:p>
    <w:p>
      <w:pPr>
        <w:pStyle w:val="ListParagraph"/>
        <w:numPr>
          <w:ilvl w:val="0"/>
          <w:numId w:val="2"/>
        </w:numPr>
        <w:spacing w:after="60"/>
      </w:pPr>
      <w:r>
        <w:rPr>
          <w:b/>
          <w:bCs/>
        </w:rPr>
        <w:t xml:space="preserve">The two engine checks: </w:t>
      </w:r>
      <w:r>
        <w:t xml:space="preserve">check 1 (King swap) is rejected in C3, and check 2 (R14 probes) is covered by the review’s holds.</w:t>
      </w:r>
    </w:p>
    <w:p>
      <w:pPr>
        <w:pStyle w:val="Heading1"/>
      </w:pPr>
      <w:r>
        <w:t xml:space="preserve">C8. What the engine should fix, from this audit</w:t>
      </w:r>
    </w:p>
    <w:p>
      <w:pPr>
        <w:spacing w:after="100"/>
      </w:pPr>
      <w:r>
        <w:t xml:space="preserve">Engine fixes:</w:t>
      </w:r>
    </w:p>
    <w:p>
      <w:pPr>
        <w:pStyle w:val="ListParagraph"/>
        <w:numPr>
          <w:ilvl w:val="0"/>
          <w:numId w:val="2"/>
        </w:numPr>
        <w:spacing w:after="60"/>
      </w:pPr>
      <w:r>
        <w:rPr>
          <w:b/>
          <w:bCs/>
        </w:rPr>
        <w:t xml:space="preserve">See the deal. </w:t>
      </w:r>
      <w:r>
        <w:t xml:space="preserve">engine_read is still null, and the Summary says “No deal in the window” even though the Lightning Deal on 10-26 sits inside the brief’s own 09-28 → 10-28 window. It lands one day before the Queen and Full kill dates (10-27). Deal-window reads are void under §12, and the engine should say so on every row that uses one.</w:t>
      </w:r>
    </w:p>
    <w:p>
      <w:pPr>
        <w:pStyle w:val="ListParagraph"/>
        <w:numPr>
          <w:ilvl w:val="0"/>
          <w:numId w:val="2"/>
        </w:numPr>
        <w:spacing w:after="60"/>
      </w:pPr>
      <w:r>
        <w:rPr>
          <w:b/>
          <w:bCs/>
        </w:rPr>
        <w:t xml:space="preserve">Read the right window. </w:t>
      </w:r>
      <w:r>
        <w:t xml:space="preserve">The flagship’s delivery (79 a week) is a 90-day average; in the deal it ran about 330 a week. The B07YKCZHGK cut reads only 90 days.</w:t>
      </w:r>
    </w:p>
    <w:p>
      <w:pPr>
        <w:pStyle w:val="ListParagraph"/>
        <w:numPr>
          <w:ilvl w:val="0"/>
          <w:numId w:val="2"/>
        </w:numPr>
        <w:spacing w:after="60"/>
      </w:pPr>
      <w:r>
        <w:rPr>
          <w:b/>
          <w:bCs/>
        </w:rPr>
        <w:t xml:space="preserve">One rank source. </w:t>
      </w:r>
      <w:r>
        <w:t xml:space="preserve">“bamboo sheets” and “bamboo sheets queen size” have no current rank in the brief, and the Bamboo and Bamboo|Queen groups are missing from the Rank tab, while the campaigns claim ranks. Row 571’s “today’s reading” is from 26 June.</w:t>
      </w:r>
    </w:p>
    <w:p>
      <w:pPr>
        <w:pStyle w:val="ListParagraph"/>
        <w:numPr>
          <w:ilvl w:val="0"/>
          <w:numId w:val="2"/>
        </w:numPr>
        <w:spacing w:after="60"/>
      </w:pPr>
      <w:r>
        <w:rPr>
          <w:b/>
          <w:bCs/>
        </w:rPr>
        <w:t xml:space="preserve">Budget moves with the push. </w:t>
      </w:r>
      <w:r>
        <w:t xml:space="preserve">A budget row whose prediction reads “no claim” fails the prediction check and is held automatically, while its price half ships. Fix the check, load the pair together, and size the budget as required clicks × this write’s price (§7).</w:t>
      </w:r>
    </w:p>
    <w:p>
      <w:pPr>
        <w:pStyle w:val="ListParagraph"/>
        <w:numPr>
          <w:ilvl w:val="0"/>
          <w:numId w:val="2"/>
        </w:numPr>
        <w:spacing w:after="60"/>
      </w:pPr>
      <w:r>
        <w:rPr>
          <w:b/>
          <w:bCs/>
        </w:rPr>
        <w:t xml:space="preserve">Carry the gate’s verdict into the export. </w:t>
      </w:r>
      <w:r>
        <w:t xml:space="preserve">40 “change → HOLD” rows export as changes. Drop no-op rows on paused campaigns, and de-duplicate targets that appear twice (by id and by keyword).</w:t>
      </w:r>
    </w:p>
    <w:p>
      <w:pPr>
        <w:pStyle w:val="ListParagraph"/>
        <w:numPr>
          <w:ilvl w:val="0"/>
          <w:numId w:val="2"/>
        </w:numPr>
        <w:spacing w:after="60"/>
      </w:pPr>
      <w:r>
        <w:rPr>
          <w:b/>
          <w:bCs/>
        </w:rPr>
        <w:t xml:space="preserve">Grade before writing, and cite the record. </w:t>
      </w:r>
      <w:r>
        <w:t xml:space="preserve">91 of the 172 price rows sit on 49 campaigns whose tuner records read behind, stalled or wrong-direction, and none cites its record (53%).</w:t>
      </w:r>
    </w:p>
    <w:p>
      <w:pPr>
        <w:spacing w:after="100"/>
      </w:pPr>
      <w:r>
        <w:t xml:space="preserve">From the logic:</w:t>
      </w:r>
    </w:p>
    <w:p>
      <w:pPr>
        <w:pStyle w:val="ListParagraph"/>
        <w:numPr>
          <w:ilvl w:val="0"/>
          <w:numId w:val="2"/>
        </w:numPr>
        <w:spacing w:after="60"/>
      </w:pPr>
      <w:r>
        <w:rPr>
          <w:b/>
          <w:bCs/>
        </w:rPr>
        <w:t xml:space="preserve">Nothing sets the market bound aside. </w:t>
      </w:r>
      <w:r>
        <w:t xml:space="preserve">The “dose push” overrides the climb cap and the market bound, which the logic does not allow (§6: “never a reason to pay more than the position costs”). Name the binding bound and the loss per order on every priced row (§8).</w:t>
      </w:r>
    </w:p>
    <w:p>
      <w:pPr>
        <w:pStyle w:val="ListParagraph"/>
        <w:numPr>
          <w:ilvl w:val="0"/>
          <w:numId w:val="2"/>
        </w:numPr>
        <w:spacing w:after="60"/>
      </w:pPr>
      <w:r>
        <w:rPr>
          <w:b/>
          <w:bCs/>
        </w:rPr>
        <w:t xml:space="preserve">No prediction, no push. </w:t>
      </w:r>
      <w:r>
        <w:t xml:space="preserve">A row without a rank prediction is priced at the ceiling (§11), and a term with no rank on file is ceiling only (§6).</w:t>
      </w:r>
    </w:p>
    <w:p>
      <w:pPr>
        <w:pStyle w:val="ListParagraph"/>
        <w:numPr>
          <w:ilvl w:val="0"/>
          <w:numId w:val="2"/>
        </w:numPr>
        <w:spacing w:after="60"/>
      </w:pPr>
      <w:r>
        <w:rPr>
          <w:b/>
          <w:bCs/>
        </w:rPr>
        <w:t xml:space="preserve">Ceilings from the serving child. </w:t>
      </w:r>
      <w:r>
        <w:t xml:space="preserve">Use the serving child’s contribution and rates, not lane figures, and re-derive them when the ad is re-pointed (§2, §3, §8).</w:t>
      </w:r>
    </w:p>
    <w:p>
      <w:pPr>
        <w:pStyle w:val="ListParagraph"/>
        <w:numPr>
          <w:ilvl w:val="0"/>
          <w:numId w:val="2"/>
        </w:numPr>
        <w:spacing w:after="60"/>
      </w:pPr>
      <w:r>
        <w:rPr>
          <w:b/>
          <w:bCs/>
        </w:rPr>
        <w:t xml:space="preserve">Suppression check. </w:t>
      </w:r>
      <w:r>
        <w:t xml:space="preserve">Check a down-only push that isn’t delivering for suppression before raising it again (§10). Every in-focus push here is down-only.</w:t>
      </w:r>
    </w:p>
    <w:p>
      <w:pPr>
        <w:pStyle w:val="ListParagraph"/>
        <w:numPr>
          <w:ilvl w:val="0"/>
          <w:numId w:val="2"/>
        </w:numPr>
        <w:spacing w:after="60"/>
      </w:pPr>
      <w:r>
        <w:rPr>
          <w:b/>
          <w:bCs/>
        </w:rPr>
        <w:t xml:space="preserve">Four conditions before a wide gap is funded. </w:t>
      </w:r>
      <w:r>
        <w:t xml:space="preserve">Read velocity, click-through, conversion and stock (§6), and state a push that can’t be funded as a shortfall (§11).</w:t>
      </w:r>
    </w:p>
    <w:p>
      <w:pPr>
        <w:pStyle w:val="ListParagraph"/>
        <w:numPr>
          <w:ilvl w:val="0"/>
          <w:numId w:val="2"/>
        </w:numPr>
        <w:spacing w:after="60"/>
      </w:pPr>
      <w:r>
        <w:rPr>
          <w:b/>
          <w:bCs/>
        </w:rPr>
        <w:t xml:space="preserve">Keep a row’s prose true to its column. </w:t>
      </w:r>
      <w:r>
        <w:t xml:space="preserve">369 says “held to 200%” and “not pushed” while writing 425%. 687 says “no climb” while climbing. 398 quotes a 187% version, and 2147 calls +143% “a single +30% step”.</w:t>
      </w:r>
    </w:p>
    <w:p>
      <w:pPr>
        <w:pStyle w:val="ListParagraph"/>
        <w:numPr>
          <w:ilvl w:val="0"/>
          <w:numId w:val="2"/>
        </w:numPr>
        <w:spacing w:after="60"/>
      </w:pPr>
      <w:r>
        <w:rPr>
          <w:b/>
          <w:bCs/>
        </w:rPr>
        <w:t xml:space="preserve">Bind reshape pairs. </w:t>
      </w:r>
      <w:r>
        <w:t xml:space="preserve">A modifier and its base rows load together or not at all.</w:t>
      </w:r>
    </w:p>
    <w:p>
      <w:pPr>
        <w:pStyle w:val="ListParagraph"/>
        <w:numPr>
          <w:ilvl w:val="0"/>
          <w:numId w:val="2"/>
        </w:numPr>
        <w:spacing w:after="60"/>
      </w:pPr>
      <w:r>
        <w:rPr>
          <w:b/>
          <w:bCs/>
        </w:rPr>
        <w:t xml:space="preserve">Cap predictions at what the budget buys. </w:t>
      </w:r>
      <w:r>
        <w:t xml:space="preserve">Don’t price a row above its budget in the outcome.</w:t>
      </w:r>
    </w:p>
    <w:p>
      <w:pPr>
        <w:pStyle w:val="ListParagraph"/>
        <w:numPr>
          <w:ilvl w:val="0"/>
          <w:numId w:val="2"/>
        </w:numPr>
        <w:spacing w:after="60"/>
      </w:pPr>
      <w:r>
        <w:rPr>
          <w:b/>
          <w:bCs/>
        </w:rPr>
        <w:t xml:space="preserve">A surfaced money decision needs a decision row. </w:t>
      </w:r>
      <w:r>
        <w:t xml:space="preserve">The flagship’s “a human decides” sits in a hold row no one reads.</w:t>
      </w:r>
    </w:p>
    <w:p>
      <w:pPr>
        <w:pStyle w:val="ListParagraph"/>
        <w:numPr>
          <w:ilvl w:val="0"/>
          <w:numId w:val="2"/>
        </w:numPr>
        <w:spacing w:after="60"/>
      </w:pPr>
      <w:r>
        <w:rPr>
          <w:b/>
          <w:bCs/>
        </w:rPr>
        <w:t xml:space="preserve">Names follow the child. </w:t>
      </w:r>
      <w:r>
        <w:t xml:space="preserve">Never write a child into a name that isn’t the advertised one.</w:t>
      </w:r>
    </w:p>
    <w:p>
      <w:pPr>
        <w:pStyle w:val="ListParagraph"/>
        <w:numPr>
          <w:ilvl w:val="0"/>
          <w:numId w:val="2"/>
        </w:numPr>
        <w:spacing w:after="60"/>
      </w:pPr>
      <w:r>
        <w:rPr>
          <w:b/>
          <w:bCs/>
        </w:rPr>
        <w:t xml:space="preserve">Collapse rule in focus. </w:t>
      </w:r>
      <w:r>
        <w:t xml:space="preserve">Name the cause for losses over 10 positions (§12; today the freeze starts at 30), and push the focus terms whose campaigns are tagged to another group.</w:t>
      </w:r>
    </w:p>
    <w:p>
      <w:pPr>
        <w:pStyle w:val="ListParagraph"/>
        <w:numPr>
          <w:ilvl w:val="0"/>
          <w:numId w:val="2"/>
        </w:numPr>
        <w:spacing w:after="60"/>
      </w:pPr>
      <w:r>
        <w:rPr>
          <w:b/>
          <w:bCs/>
        </w:rPr>
        <w:t xml:space="preserve">One break-even. </w:t>
      </w:r>
      <w:r>
        <w:t xml:space="preserve">The brief uses 33.3%, the sweep 34.4%, and the lane ceiling $3.51.</w:t>
      </w:r>
    </w:p>
    <w:p>
      <w:pPr>
        <w:pStyle w:val="ListParagraph"/>
        <w:numPr>
          <w:ilvl w:val="0"/>
          <w:numId w:val="2"/>
        </w:numPr>
        <w:spacing w:after="60"/>
      </w:pPr>
      <w:r>
        <w:rPr>
          <w:b/>
          <w:bCs/>
        </w:rPr>
        <w:t xml:space="preserve">Complete the campaign list. </w:t>
      </w:r>
      <w:r>
        <w:t xml:space="preserve">22 campaigns that carry decisions are missing from the export’s campaign list, so their arithmetic can’t be recomputed.</w:t>
      </w:r>
    </w:p>
    <w:p>
      <w:pPr>
        <w:pStyle w:val="Heading1"/>
      </w:pPr>
      <w:r>
        <w:t xml:space="preserve">Part D — After the deal: is this the right focus?</w:t>
      </w:r>
    </w:p>
    <w:p>
      <w:pPr>
        <w:spacing w:after="100"/>
      </w:pPr>
      <w:r>
        <w:t xml:space="preserve">The audit takes the Bamboo head term out of focus and pushes California King and Bamboo|Cooling. The engine didn’t choose that; the focus is a setting on the audit. What the data and the logic say about it:</w:t>
      </w:r>
    </w:p>
    <w:p>
      <w:pPr>
        <w:pStyle w:val="Heading1"/>
      </w:pPr>
      <w:r>
        <w:t xml:space="preserve">D1. The answer in one page</w:t>
      </w:r>
    </w:p>
    <w:p>
      <w:pPr>
        <w:pStyle w:val="ListParagraph"/>
        <w:numPr>
          <w:ilvl w:val="0"/>
          <w:numId w:val="2"/>
        </w:numPr>
        <w:spacing w:after="60"/>
      </w:pPr>
      <w:r>
        <w:rPr>
          <w:b/>
          <w:bCs/>
        </w:rPr>
        <w:t xml:space="preserve">The deal bought volume, not rank on the head. </w:t>
      </w:r>
      <w:r>
        <w:t xml:space="preserve">Orders rose a third at 44% ACoS against a 33% break-even; Bamboo went 35 → 33. The top-of-search price on the head rose once, at the deal start, and then held, so whether more price buys rank on “bamboo sheets” is still untested.</w:t>
      </w:r>
    </w:p>
    <w:p>
      <w:pPr>
        <w:pStyle w:val="ListParagraph"/>
        <w:numPr>
          <w:ilvl w:val="0"/>
          <w:numId w:val="2"/>
        </w:numPr>
        <w:spacing w:after="60"/>
      </w:pPr>
      <w:r>
        <w:rPr>
          <w:b/>
          <w:bCs/>
        </w:rPr>
        <w:t xml:space="preserve">The new focus is small. </w:t>
      </w:r>
      <w:r>
        <w:t xml:space="preserve">In the deal, California King spent $16 a day for 4 orders (ACoS 68%) and Bamboo|Cooling $66 a day for 22 orders (53%), against Bamboo’s $937 a day. Together they are about 7% of spend.</w:t>
      </w:r>
    </w:p>
    <w:p>
      <w:pPr>
        <w:pStyle w:val="ListParagraph"/>
        <w:numPr>
          <w:ilvl w:val="0"/>
          <w:numId w:val="2"/>
        </w:numPr>
        <w:spacing w:after="60"/>
      </w:pPr>
      <w:r>
        <w:rPr>
          <w:b/>
          <w:bCs/>
        </w:rPr>
        <w:t xml:space="preserve">Under the logic, nothing is a funded push until 10-26. </w:t>
      </w:r>
      <w:r>
        <w:t xml:space="preserve">A wide gap is funded only when sales velocity is available in the window (§6), and the next window is the 10-26 Lightning Deal. Until then the focus terms take capped test steps that earn the conversion read (A2), and everything else stays at maintenance: the ceiling, no premium, the 70/20 mix.</w:t>
      </w:r>
    </w:p>
    <w:p>
      <w:pPr>
        <w:pStyle w:val="ListParagraph"/>
        <w:numPr>
          <w:ilvl w:val="0"/>
          <w:numId w:val="2"/>
        </w:numPr>
        <w:spacing w:after="60"/>
      </w:pPr>
      <w:r>
        <w:rPr>
          <w:b/>
          <w:bCs/>
        </w:rPr>
        <w:t xml:space="preserve">California King fails a second condition: stock. </w:t>
      </w:r>
      <w:r>
        <w:t xml:space="preserve">The hero has 44 units and nothing inbound. The engine prices the top term’s prize at about 0.4 orders a week, the group is already at 17, and CVR fell to 8% in the deal. It stays at maintenance until White restocks.</w:t>
      </w:r>
    </w:p>
    <w:p>
      <w:pPr>
        <w:pStyle w:val="ListParagraph"/>
        <w:numPr>
          <w:ilvl w:val="0"/>
          <w:numId w:val="2"/>
        </w:numPr>
        <w:spacing w:after="60"/>
      </w:pPr>
      <w:r>
        <w:rPr>
          <w:b/>
          <w:bCs/>
        </w:rPr>
        <w:t xml:space="preserve">Bamboo|Cooling is the better half. </w:t>
      </w:r>
      <w:r>
        <w:t xml:space="preserve">The cooling groups moved most in the deal (Cooling +16, Cooling|King +21, Cooling|Queen +19), Bamboo|Cooling reached 26 mid-deal, the group converts at 11%, and its serving children have stock. But its head campaign is held (A5), and 10 of its 19 terms are not pushed.</w:t>
      </w:r>
    </w:p>
    <w:p>
      <w:pPr>
        <w:pStyle w:val="ListParagraph"/>
        <w:numPr>
          <w:ilvl w:val="0"/>
          <w:numId w:val="2"/>
        </w:numPr>
        <w:spacing w:after="60"/>
      </w:pPr>
      <w:r>
        <w:rPr>
          <w:b/>
          <w:bCs/>
        </w:rPr>
        <w:t xml:space="preserve">Bamboo|King is the candidate the audit ignores. </w:t>
      </w:r>
      <w:r>
        <w:t xml:space="preserve">It moved 31 → 27 with 48 orders in the deal (ACoS 55%), click-through and conversion above the market, and 606 units landing 10-16, ten days before the next deal.</w:t>
      </w:r>
    </w:p>
    <w:p>
      <w:pPr>
        <w:pStyle w:val="ListParagraph"/>
        <w:numPr>
          <w:ilvl w:val="0"/>
          <w:numId w:val="2"/>
        </w:numPr>
        <w:spacing w:after="60"/>
      </w:pPr>
      <w:r>
        <w:rPr>
          <w:b/>
          <w:bCs/>
        </w:rPr>
        <w:t xml:space="preserve">The flagship is a funding decision, not a taper. </w:t>
      </w:r>
      <w:r>
        <w:t xml:space="preserve">The logic keeps it from being cut (§14). Funding it fully costs about $519 a day at today’s price, roughly $330 a day of it deliberate loss (B1).</w:t>
      </w:r>
    </w:p>
    <w:p>
      <w:pPr>
        <w:pStyle w:val="Heading1"/>
      </w:pPr>
      <w:r>
        <w:t xml:space="preserve">D2. The groups side by side (deal, 09-15 → 09-27)</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900"/>
        <w:gridCol w:w="900"/>
        <w:gridCol w:w="900"/>
        <w:gridCol w:w="900"/>
        <w:gridCol w:w="1300"/>
        <w:gridCol w:w="1772"/>
      </w:tblGrid>
      <w:tr>
        <w:trPr>
          <w:tblHeader/>
        </w:trPr>
        <w:tc>
          <w:tcPr>
            <w:tcW w:type="dxa" w:w="2300"/>
            <w:shd w:fill="1F3A5F" w:color="auto" w:val="clear"/>
            <w:tcMar>
              <w:top w:type="dxa" w:w="40"/>
              <w:left w:type="dxa" w:w="70"/>
              <w:bottom w:type="dxa" w:w="40"/>
              <w:right w:type="dxa" w:w="70"/>
            </w:tcMar>
          </w:tcPr>
          <w:p>
            <w:pPr>
              <w:spacing w:after="0"/>
            </w:pPr>
            <w:r>
              <w:rPr>
                <w:b/>
                <w:bCs/>
                <w:color w:val="FFFFFF"/>
                <w:sz w:val="17"/>
                <w:szCs w:val="17"/>
              </w:rPr>
              <w:t xml:space="preserve">Group</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Spend / day (before)</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Orders / day (before)</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ACoS (before)</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CVR (before)</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Rank 14 → 28 Sep</w:t>
            </w:r>
          </w:p>
        </w:tc>
        <w:tc>
          <w:tcPr>
            <w:tcW w:type="dxa" w:w="1300"/>
            <w:shd w:fill="1F3A5F" w:color="auto" w:val="clear"/>
            <w:tcMar>
              <w:top w:type="dxa" w:w="40"/>
              <w:left w:type="dxa" w:w="70"/>
              <w:bottom w:type="dxa" w:w="40"/>
              <w:right w:type="dxa" w:w="70"/>
            </w:tcMar>
          </w:tcPr>
          <w:p>
            <w:pPr>
              <w:spacing w:after="0"/>
            </w:pPr>
            <w:r>
              <w:rPr>
                <w:b/>
                <w:bCs/>
                <w:color w:val="FFFFFF"/>
                <w:sz w:val="17"/>
                <w:szCs w:val="17"/>
              </w:rPr>
              <w:t xml:space="preserve">Hero stock</w:t>
            </w:r>
          </w:p>
        </w:tc>
        <w:tc>
          <w:tcPr>
            <w:tcW w:type="dxa" w:w="1772"/>
            <w:shd w:fill="1F3A5F" w:color="auto" w:val="clear"/>
            <w:tcMar>
              <w:top w:type="dxa" w:w="40"/>
              <w:left w:type="dxa" w:w="70"/>
              <w:bottom w:type="dxa" w:w="40"/>
              <w:right w:type="dxa" w:w="70"/>
            </w:tcMar>
          </w:tcPr>
          <w:p>
            <w:pPr>
              <w:spacing w:after="0"/>
            </w:pPr>
            <w:r>
              <w:rPr>
                <w:b/>
                <w:bCs/>
                <w:color w:val="FFFFFF"/>
                <w:sz w:val="17"/>
                <w:szCs w:val="17"/>
              </w:rPr>
              <w:t xml:space="preserve">Head term (searches), rank</w:t>
            </w:r>
          </w:p>
        </w:tc>
      </w:tr>
      <w:tr>
        <w:tc>
          <w:tcPr>
            <w:tcW w:type="dxa" w:w="2300"/>
            <w:shd w:fill="FFFFFF" w:color="auto" w:val="clear"/>
            <w:tcMar>
              <w:top w:type="dxa" w:w="40"/>
              <w:left w:type="dxa" w:w="70"/>
              <w:bottom w:type="dxa" w:w="40"/>
              <w:right w:type="dxa" w:w="70"/>
            </w:tcMar>
          </w:tcPr>
          <w:p>
            <w:pPr>
              <w:spacing w:after="0"/>
            </w:pPr>
            <w:r>
              <w:rPr>
                <w:sz w:val="17"/>
                <w:szCs w:val="17"/>
              </w:rPr>
              <w:t xml:space="preserve">Bamboo (out)</w:t>
            </w:r>
          </w:p>
        </w:tc>
        <w:tc>
          <w:tcPr>
            <w:tcW w:type="dxa" w:w="1000"/>
            <w:shd w:fill="FFFFFF" w:color="auto" w:val="clear"/>
            <w:tcMar>
              <w:top w:type="dxa" w:w="40"/>
              <w:left w:type="dxa" w:w="70"/>
              <w:bottom w:type="dxa" w:w="40"/>
              <w:right w:type="dxa" w:w="70"/>
            </w:tcMar>
          </w:tcPr>
          <w:p>
            <w:pPr>
              <w:spacing w:after="0"/>
            </w:pPr>
            <w:r>
              <w:rPr>
                <w:sz w:val="17"/>
                <w:szCs w:val="17"/>
              </w:rPr>
              <w:t xml:space="preserve">$937 ($460)</w:t>
            </w:r>
          </w:p>
        </w:tc>
        <w:tc>
          <w:tcPr>
            <w:tcW w:type="dxa" w:w="900"/>
            <w:shd w:fill="FFFFFF" w:color="auto" w:val="clear"/>
            <w:tcMar>
              <w:top w:type="dxa" w:w="40"/>
              <w:left w:type="dxa" w:w="70"/>
              <w:bottom w:type="dxa" w:w="40"/>
              <w:right w:type="dxa" w:w="70"/>
            </w:tcMar>
          </w:tcPr>
          <w:p>
            <w:pPr>
              <w:spacing w:after="0"/>
            </w:pPr>
            <w:r>
              <w:rPr>
                <w:sz w:val="17"/>
                <w:szCs w:val="17"/>
              </w:rPr>
              <w:t xml:space="preserve">25.9 (17.6)</w:t>
            </w:r>
          </w:p>
        </w:tc>
        <w:tc>
          <w:tcPr>
            <w:tcW w:type="dxa" w:w="900"/>
            <w:shd w:fill="FFFFFF" w:color="auto" w:val="clear"/>
            <w:tcMar>
              <w:top w:type="dxa" w:w="40"/>
              <w:left w:type="dxa" w:w="70"/>
              <w:bottom w:type="dxa" w:w="40"/>
              <w:right w:type="dxa" w:w="70"/>
            </w:tcMar>
          </w:tcPr>
          <w:p>
            <w:pPr>
              <w:spacing w:after="0"/>
            </w:pPr>
            <w:r>
              <w:rPr>
                <w:sz w:val="17"/>
                <w:szCs w:val="17"/>
              </w:rPr>
              <w:t xml:space="preserve">50.3% (33.8%)</w:t>
            </w:r>
          </w:p>
        </w:tc>
        <w:tc>
          <w:tcPr>
            <w:tcW w:type="dxa" w:w="900"/>
            <w:shd w:fill="FFFFFF" w:color="auto" w:val="clear"/>
            <w:tcMar>
              <w:top w:type="dxa" w:w="40"/>
              <w:left w:type="dxa" w:w="70"/>
              <w:bottom w:type="dxa" w:w="40"/>
              <w:right w:type="dxa" w:w="70"/>
            </w:tcMar>
          </w:tcPr>
          <w:p>
            <w:pPr>
              <w:spacing w:after="0"/>
            </w:pPr>
            <w:r>
              <w:rPr>
                <w:sz w:val="17"/>
                <w:szCs w:val="17"/>
              </w:rPr>
              <w:t xml:space="preserve">10.7% (13.1%)</w:t>
            </w:r>
          </w:p>
        </w:tc>
        <w:tc>
          <w:tcPr>
            <w:tcW w:type="dxa" w:w="900"/>
            <w:shd w:fill="FFFFFF" w:color="auto" w:val="clear"/>
            <w:tcMar>
              <w:top w:type="dxa" w:w="40"/>
              <w:left w:type="dxa" w:w="70"/>
              <w:bottom w:type="dxa" w:w="40"/>
              <w:right w:type="dxa" w:w="70"/>
            </w:tcMar>
          </w:tcPr>
          <w:p>
            <w:pPr>
              <w:spacing w:after="0"/>
            </w:pPr>
            <w:r>
              <w:rPr>
                <w:sz w:val="17"/>
                <w:szCs w:val="17"/>
              </w:rPr>
              <w:t xml:space="preserve">35 → 33</w:t>
            </w:r>
          </w:p>
        </w:tc>
        <w:tc>
          <w:tcPr>
            <w:tcW w:type="dxa" w:w="1300"/>
            <w:shd w:fill="FFFFFF" w:color="auto" w:val="clear"/>
            <w:tcMar>
              <w:top w:type="dxa" w:w="40"/>
              <w:left w:type="dxa" w:w="70"/>
              <w:bottom w:type="dxa" w:w="40"/>
              <w:right w:type="dxa" w:w="70"/>
            </w:tcMar>
          </w:tcPr>
          <w:p>
            <w:pPr>
              <w:spacing w:after="0"/>
            </w:pPr>
            <w:r>
              <w:rPr>
                <w:sz w:val="17"/>
                <w:szCs w:val="17"/>
              </w:rPr>
              <w:t xml:space="preserve">King White 228 (+606 on 10-16); Queen White 82</w:t>
            </w:r>
          </w:p>
        </w:tc>
        <w:tc>
          <w:tcPr>
            <w:tcW w:type="dxa" w:w="1772"/>
            <w:shd w:fill="FFFFFF" w:color="auto" w:val="clear"/>
            <w:tcMar>
              <w:top w:type="dxa" w:w="40"/>
              <w:left w:type="dxa" w:w="70"/>
              <w:bottom w:type="dxa" w:w="40"/>
              <w:right w:type="dxa" w:w="70"/>
            </w:tcMar>
          </w:tcPr>
          <w:p>
            <w:pPr>
              <w:spacing w:after="0"/>
            </w:pPr>
            <w:r>
              <w:rPr>
                <w:sz w:val="17"/>
                <w:szCs w:val="17"/>
              </w:rPr>
              <w:t xml:space="preserve">bamboo sheets (490 plan clicks/wk), no current rank in brief</w:t>
            </w:r>
          </w:p>
        </w:tc>
      </w:tr>
      <w:tr>
        <w:tc>
          <w:tcPr>
            <w:tcW w:type="dxa" w:w="2300"/>
            <w:shd w:fill="F2F5F9" w:color="auto" w:val="clear"/>
            <w:tcMar>
              <w:top w:type="dxa" w:w="40"/>
              <w:left w:type="dxa" w:w="70"/>
              <w:bottom w:type="dxa" w:w="40"/>
              <w:right w:type="dxa" w:w="70"/>
            </w:tcMar>
          </w:tcPr>
          <w:p>
            <w:pPr>
              <w:spacing w:after="0"/>
            </w:pPr>
            <w:r>
              <w:rPr>
                <w:sz w:val="17"/>
                <w:szCs w:val="17"/>
              </w:rPr>
              <w:t xml:space="preserve">Bamboo|King (out)</w:t>
            </w:r>
          </w:p>
        </w:tc>
        <w:tc>
          <w:tcPr>
            <w:tcW w:type="dxa" w:w="1000"/>
            <w:shd w:fill="F2F5F9" w:color="auto" w:val="clear"/>
            <w:tcMar>
              <w:top w:type="dxa" w:w="40"/>
              <w:left w:type="dxa" w:w="70"/>
              <w:bottom w:type="dxa" w:w="40"/>
              <w:right w:type="dxa" w:w="70"/>
            </w:tcMar>
          </w:tcPr>
          <w:p>
            <w:pPr>
              <w:spacing w:after="0"/>
            </w:pPr>
            <w:r>
              <w:rPr>
                <w:sz w:val="17"/>
                <w:szCs w:val="17"/>
              </w:rPr>
              <w:t xml:space="preserve">$160 ($64)</w:t>
            </w:r>
          </w:p>
        </w:tc>
        <w:tc>
          <w:tcPr>
            <w:tcW w:type="dxa" w:w="900"/>
            <w:shd w:fill="F2F5F9" w:color="auto" w:val="clear"/>
            <w:tcMar>
              <w:top w:type="dxa" w:w="40"/>
              <w:left w:type="dxa" w:w="70"/>
              <w:bottom w:type="dxa" w:w="40"/>
              <w:right w:type="dxa" w:w="70"/>
            </w:tcMar>
          </w:tcPr>
          <w:p>
            <w:pPr>
              <w:spacing w:after="0"/>
            </w:pPr>
            <w:r>
              <w:rPr>
                <w:sz w:val="17"/>
                <w:szCs w:val="17"/>
              </w:rPr>
              <w:t xml:space="preserve">3.7 (2.2)</w:t>
            </w:r>
          </w:p>
        </w:tc>
        <w:tc>
          <w:tcPr>
            <w:tcW w:type="dxa" w:w="900"/>
            <w:shd w:fill="F2F5F9" w:color="auto" w:val="clear"/>
            <w:tcMar>
              <w:top w:type="dxa" w:w="40"/>
              <w:left w:type="dxa" w:w="70"/>
              <w:bottom w:type="dxa" w:w="40"/>
              <w:right w:type="dxa" w:w="70"/>
            </w:tcMar>
          </w:tcPr>
          <w:p>
            <w:pPr>
              <w:spacing w:after="0"/>
            </w:pPr>
            <w:r>
              <w:rPr>
                <w:sz w:val="17"/>
                <w:szCs w:val="17"/>
              </w:rPr>
              <w:t xml:space="preserve">55.1% (37.9%)</w:t>
            </w:r>
          </w:p>
        </w:tc>
        <w:tc>
          <w:tcPr>
            <w:tcW w:type="dxa" w:w="900"/>
            <w:shd w:fill="F2F5F9" w:color="auto" w:val="clear"/>
            <w:tcMar>
              <w:top w:type="dxa" w:w="40"/>
              <w:left w:type="dxa" w:w="70"/>
              <w:bottom w:type="dxa" w:w="40"/>
              <w:right w:type="dxa" w:w="70"/>
            </w:tcMar>
          </w:tcPr>
          <w:p>
            <w:pPr>
              <w:spacing w:after="0"/>
            </w:pPr>
            <w:r>
              <w:rPr>
                <w:sz w:val="17"/>
                <w:szCs w:val="17"/>
              </w:rPr>
              <w:t xml:space="preserve">10.9% (13.8%)</w:t>
            </w:r>
          </w:p>
        </w:tc>
        <w:tc>
          <w:tcPr>
            <w:tcW w:type="dxa" w:w="900"/>
            <w:shd w:fill="F2F5F9" w:color="auto" w:val="clear"/>
            <w:tcMar>
              <w:top w:type="dxa" w:w="40"/>
              <w:left w:type="dxa" w:w="70"/>
              <w:bottom w:type="dxa" w:w="40"/>
              <w:right w:type="dxa" w:w="70"/>
            </w:tcMar>
          </w:tcPr>
          <w:p>
            <w:pPr>
              <w:spacing w:after="0"/>
            </w:pPr>
            <w:r>
              <w:rPr>
                <w:sz w:val="17"/>
                <w:szCs w:val="17"/>
              </w:rPr>
              <w:t xml:space="preserve">31 → 27</w:t>
            </w:r>
          </w:p>
        </w:tc>
        <w:tc>
          <w:tcPr>
            <w:tcW w:type="dxa" w:w="1300"/>
            <w:shd w:fill="F2F5F9" w:color="auto" w:val="clear"/>
            <w:tcMar>
              <w:top w:type="dxa" w:w="40"/>
              <w:left w:type="dxa" w:w="70"/>
              <w:bottom w:type="dxa" w:w="40"/>
              <w:right w:type="dxa" w:w="70"/>
            </w:tcMar>
          </w:tcPr>
          <w:p>
            <w:pPr>
              <w:spacing w:after="0"/>
            </w:pPr>
            <w:r>
              <w:rPr>
                <w:sz w:val="17"/>
                <w:szCs w:val="17"/>
              </w:rPr>
              <w:t xml:space="preserve">King White 228 (+606 on 10-16)</w:t>
            </w:r>
          </w:p>
        </w:tc>
        <w:tc>
          <w:tcPr>
            <w:tcW w:type="dxa" w:w="1772"/>
            <w:shd w:fill="F2F5F9" w:color="auto" w:val="clear"/>
            <w:tcMar>
              <w:top w:type="dxa" w:w="40"/>
              <w:left w:type="dxa" w:w="70"/>
              <w:bottom w:type="dxa" w:w="40"/>
              <w:right w:type="dxa" w:w="70"/>
            </w:tcMar>
          </w:tcPr>
          <w:p>
            <w:pPr>
              <w:spacing w:after="0"/>
            </w:pPr>
            <w:r>
              <w:rPr>
                <w:sz w:val="17"/>
                <w:szCs w:val="17"/>
              </w:rPr>
              <w:t xml:space="preserve">bamboo sheets king size (21,541), 35</w:t>
            </w:r>
          </w:p>
        </w:tc>
      </w:tr>
      <w:tr>
        <w:tc>
          <w:tcPr>
            <w:tcW w:type="dxa" w:w="2300"/>
            <w:shd w:fill="FFFFFF" w:color="auto" w:val="clear"/>
            <w:tcMar>
              <w:top w:type="dxa" w:w="40"/>
              <w:left w:type="dxa" w:w="70"/>
              <w:bottom w:type="dxa" w:w="40"/>
              <w:right w:type="dxa" w:w="70"/>
            </w:tcMar>
          </w:tcPr>
          <w:p>
            <w:pPr>
              <w:spacing w:after="0"/>
            </w:pPr>
            <w:r>
              <w:rPr>
                <w:sz w:val="17"/>
                <w:szCs w:val="17"/>
              </w:rPr>
              <w:t xml:space="preserve">Cooling (out)</w:t>
            </w:r>
          </w:p>
        </w:tc>
        <w:tc>
          <w:tcPr>
            <w:tcW w:type="dxa" w:w="1000"/>
            <w:shd w:fill="FFFFFF" w:color="auto" w:val="clear"/>
            <w:tcMar>
              <w:top w:type="dxa" w:w="40"/>
              <w:left w:type="dxa" w:w="70"/>
              <w:bottom w:type="dxa" w:w="40"/>
              <w:right w:type="dxa" w:w="70"/>
            </w:tcMar>
          </w:tcPr>
          <w:p>
            <w:pPr>
              <w:spacing w:after="0"/>
            </w:pPr>
            <w:r>
              <w:rPr>
                <w:sz w:val="17"/>
                <w:szCs w:val="17"/>
              </w:rPr>
              <w:t xml:space="preserve">$194 ($141)</w:t>
            </w:r>
          </w:p>
        </w:tc>
        <w:tc>
          <w:tcPr>
            <w:tcW w:type="dxa" w:w="900"/>
            <w:shd w:fill="FFFFFF" w:color="auto" w:val="clear"/>
            <w:tcMar>
              <w:top w:type="dxa" w:w="40"/>
              <w:left w:type="dxa" w:w="70"/>
              <w:bottom w:type="dxa" w:w="40"/>
              <w:right w:type="dxa" w:w="70"/>
            </w:tcMar>
          </w:tcPr>
          <w:p>
            <w:pPr>
              <w:spacing w:after="0"/>
            </w:pPr>
            <w:r>
              <w:rPr>
                <w:sz w:val="17"/>
                <w:szCs w:val="17"/>
              </w:rPr>
              <w:t xml:space="preserve">5.6 (3.8)</w:t>
            </w:r>
          </w:p>
        </w:tc>
        <w:tc>
          <w:tcPr>
            <w:tcW w:type="dxa" w:w="900"/>
            <w:shd w:fill="FFFFFF" w:color="auto" w:val="clear"/>
            <w:tcMar>
              <w:top w:type="dxa" w:w="40"/>
              <w:left w:type="dxa" w:w="70"/>
              <w:bottom w:type="dxa" w:w="40"/>
              <w:right w:type="dxa" w:w="70"/>
            </w:tcMar>
          </w:tcPr>
          <w:p>
            <w:pPr>
              <w:spacing w:after="0"/>
            </w:pPr>
            <w:r>
              <w:rPr>
                <w:sz w:val="17"/>
                <w:szCs w:val="17"/>
              </w:rPr>
              <w:t xml:space="preserve">48.1% (50.0%)</w:t>
            </w:r>
          </w:p>
        </w:tc>
        <w:tc>
          <w:tcPr>
            <w:tcW w:type="dxa" w:w="900"/>
            <w:shd w:fill="FFFFFF" w:color="auto" w:val="clear"/>
            <w:tcMar>
              <w:top w:type="dxa" w:w="40"/>
              <w:left w:type="dxa" w:w="70"/>
              <w:bottom w:type="dxa" w:w="40"/>
              <w:right w:type="dxa" w:w="70"/>
            </w:tcMar>
          </w:tcPr>
          <w:p>
            <w:pPr>
              <w:spacing w:after="0"/>
            </w:pPr>
            <w:r>
              <w:rPr>
                <w:sz w:val="17"/>
                <w:szCs w:val="17"/>
              </w:rPr>
              <w:t xml:space="preserve">9.8% (8.8%)</w:t>
            </w:r>
          </w:p>
        </w:tc>
        <w:tc>
          <w:tcPr>
            <w:tcW w:type="dxa" w:w="900"/>
            <w:shd w:fill="FFFFFF" w:color="auto" w:val="clear"/>
            <w:tcMar>
              <w:top w:type="dxa" w:w="40"/>
              <w:left w:type="dxa" w:w="70"/>
              <w:bottom w:type="dxa" w:w="40"/>
              <w:right w:type="dxa" w:w="70"/>
            </w:tcMar>
          </w:tcPr>
          <w:p>
            <w:pPr>
              <w:spacing w:after="0"/>
            </w:pPr>
            <w:r>
              <w:rPr>
                <w:sz w:val="17"/>
                <w:szCs w:val="17"/>
              </w:rPr>
              <w:t xml:space="preserve">68 → 52</w:t>
            </w:r>
          </w:p>
        </w:tc>
        <w:tc>
          <w:tcPr>
            <w:tcW w:type="dxa" w:w="1300"/>
            <w:shd w:fill="FFFFFF" w:color="auto" w:val="clear"/>
            <w:tcMar>
              <w:top w:type="dxa" w:w="40"/>
              <w:left w:type="dxa" w:w="70"/>
              <w:bottom w:type="dxa" w:w="40"/>
              <w:right w:type="dxa" w:w="70"/>
            </w:tcMar>
          </w:tcPr>
          <w:p>
            <w:pPr>
              <w:spacing w:after="0"/>
            </w:pPr>
            <w:r>
              <w:rPr>
                <w:sz w:val="17"/>
                <w:szCs w:val="17"/>
              </w:rPr>
              <w:t xml:space="preserve">by size</w:t>
            </w:r>
          </w:p>
        </w:tc>
        <w:tc>
          <w:tcPr>
            <w:tcW w:type="dxa" w:w="1772"/>
            <w:shd w:fill="FFFFFF" w:color="auto" w:val="clear"/>
            <w:tcMar>
              <w:top w:type="dxa" w:w="40"/>
              <w:left w:type="dxa" w:w="70"/>
              <w:bottom w:type="dxa" w:w="40"/>
              <w:right w:type="dxa" w:w="70"/>
            </w:tcMar>
          </w:tcPr>
          <w:p>
            <w:pPr>
              <w:spacing w:after="0"/>
            </w:pPr>
            <w:r>
              <w:rPr>
                <w:sz w:val="17"/>
                <w:szCs w:val="17"/>
              </w:rPr>
              <w:t xml:space="preserve">cooling sheets (77,377), 43</w:t>
            </w:r>
          </w:p>
        </w:tc>
      </w:tr>
      <w:tr>
        <w:tc>
          <w:tcPr>
            <w:tcW w:type="dxa" w:w="2300"/>
            <w:shd w:fill="F2F5F9" w:color="auto" w:val="clear"/>
            <w:tcMar>
              <w:top w:type="dxa" w:w="40"/>
              <w:left w:type="dxa" w:w="70"/>
              <w:bottom w:type="dxa" w:w="40"/>
              <w:right w:type="dxa" w:w="70"/>
            </w:tcMar>
          </w:tcPr>
          <w:p>
            <w:pPr>
              <w:spacing w:after="0"/>
            </w:pPr>
            <w:r>
              <w:rPr>
                <w:sz w:val="17"/>
                <w:szCs w:val="17"/>
              </w:rPr>
              <w:t xml:space="preserve">Bamboo|Cooling (focus)</w:t>
            </w:r>
          </w:p>
        </w:tc>
        <w:tc>
          <w:tcPr>
            <w:tcW w:type="dxa" w:w="1000"/>
            <w:shd w:fill="F2F5F9" w:color="auto" w:val="clear"/>
            <w:tcMar>
              <w:top w:type="dxa" w:w="40"/>
              <w:left w:type="dxa" w:w="70"/>
              <w:bottom w:type="dxa" w:w="40"/>
              <w:right w:type="dxa" w:w="70"/>
            </w:tcMar>
          </w:tcPr>
          <w:p>
            <w:pPr>
              <w:spacing w:after="0"/>
            </w:pPr>
            <w:r>
              <w:rPr>
                <w:sz w:val="17"/>
                <w:szCs w:val="17"/>
              </w:rPr>
              <w:t xml:space="preserve">$66 ($14)</w:t>
            </w:r>
          </w:p>
        </w:tc>
        <w:tc>
          <w:tcPr>
            <w:tcW w:type="dxa" w:w="900"/>
            <w:shd w:fill="F2F5F9" w:color="auto" w:val="clear"/>
            <w:tcMar>
              <w:top w:type="dxa" w:w="40"/>
              <w:left w:type="dxa" w:w="70"/>
              <w:bottom w:type="dxa" w:w="40"/>
              <w:right w:type="dxa" w:w="70"/>
            </w:tcMar>
          </w:tcPr>
          <w:p>
            <w:pPr>
              <w:spacing w:after="0"/>
            </w:pPr>
            <w:r>
              <w:rPr>
                <w:sz w:val="17"/>
                <w:szCs w:val="17"/>
              </w:rPr>
              <w:t xml:space="preserve">1.7 (0.2)</w:t>
            </w:r>
          </w:p>
        </w:tc>
        <w:tc>
          <w:tcPr>
            <w:tcW w:type="dxa" w:w="900"/>
            <w:shd w:fill="F2F5F9" w:color="auto" w:val="clear"/>
            <w:tcMar>
              <w:top w:type="dxa" w:w="40"/>
              <w:left w:type="dxa" w:w="70"/>
              <w:bottom w:type="dxa" w:w="40"/>
              <w:right w:type="dxa" w:w="70"/>
            </w:tcMar>
          </w:tcPr>
          <w:p>
            <w:pPr>
              <w:spacing w:after="0"/>
            </w:pPr>
            <w:r>
              <w:rPr>
                <w:sz w:val="17"/>
                <w:szCs w:val="17"/>
              </w:rPr>
              <w:t xml:space="preserve">53.4% (76.9%)</w:t>
            </w:r>
          </w:p>
        </w:tc>
        <w:tc>
          <w:tcPr>
            <w:tcW w:type="dxa" w:w="900"/>
            <w:shd w:fill="F2F5F9" w:color="auto" w:val="clear"/>
            <w:tcMar>
              <w:top w:type="dxa" w:w="40"/>
              <w:left w:type="dxa" w:w="70"/>
              <w:bottom w:type="dxa" w:w="40"/>
              <w:right w:type="dxa" w:w="70"/>
            </w:tcMar>
          </w:tcPr>
          <w:p>
            <w:pPr>
              <w:spacing w:after="0"/>
            </w:pPr>
            <w:r>
              <w:rPr>
                <w:sz w:val="17"/>
                <w:szCs w:val="17"/>
              </w:rPr>
              <w:t xml:space="preserve">11.1% (5.4%)</w:t>
            </w:r>
          </w:p>
        </w:tc>
        <w:tc>
          <w:tcPr>
            <w:tcW w:type="dxa" w:w="900"/>
            <w:shd w:fill="F2F5F9" w:color="auto" w:val="clear"/>
            <w:tcMar>
              <w:top w:type="dxa" w:w="40"/>
              <w:left w:type="dxa" w:w="70"/>
              <w:bottom w:type="dxa" w:w="40"/>
              <w:right w:type="dxa" w:w="70"/>
            </w:tcMar>
          </w:tcPr>
          <w:p>
            <w:pPr>
              <w:spacing w:after="0"/>
            </w:pPr>
            <w:r>
              <w:rPr>
                <w:sz w:val="17"/>
                <w:szCs w:val="17"/>
              </w:rPr>
              <w:t xml:space="preserve">36 → 31</w:t>
            </w:r>
          </w:p>
        </w:tc>
        <w:tc>
          <w:tcPr>
            <w:tcW w:type="dxa" w:w="1300"/>
            <w:shd w:fill="F2F5F9" w:color="auto" w:val="clear"/>
            <w:tcMar>
              <w:top w:type="dxa" w:w="40"/>
              <w:left w:type="dxa" w:w="70"/>
              <w:bottom w:type="dxa" w:w="40"/>
              <w:right w:type="dxa" w:w="70"/>
            </w:tcMar>
          </w:tcPr>
          <w:p>
            <w:pPr>
              <w:spacing w:after="0"/>
            </w:pPr>
            <w:r>
              <w:rPr>
                <w:sz w:val="17"/>
                <w:szCs w:val="17"/>
              </w:rPr>
              <w:t xml:space="preserve">King / Queen</w:t>
            </w:r>
          </w:p>
        </w:tc>
        <w:tc>
          <w:tcPr>
            <w:tcW w:type="dxa" w:w="1772"/>
            <w:shd w:fill="F2F5F9" w:color="auto" w:val="clear"/>
            <w:tcMar>
              <w:top w:type="dxa" w:w="40"/>
              <w:left w:type="dxa" w:w="70"/>
              <w:bottom w:type="dxa" w:w="40"/>
              <w:right w:type="dxa" w:w="70"/>
            </w:tcMar>
          </w:tcPr>
          <w:p>
            <w:pPr>
              <w:spacing w:after="0"/>
            </w:pPr>
            <w:r>
              <w:rPr>
                <w:sz w:val="17"/>
                <w:szCs w:val="17"/>
              </w:rPr>
              <w:t xml:space="preserve">bamboo cooling sheets (8,166), 30</w:t>
            </w:r>
          </w:p>
        </w:tc>
      </w:tr>
      <w:tr>
        <w:tc>
          <w:tcPr>
            <w:tcW w:type="dxa" w:w="2300"/>
            <w:shd w:fill="FFFFFF" w:color="auto" w:val="clear"/>
            <w:tcMar>
              <w:top w:type="dxa" w:w="40"/>
              <w:left w:type="dxa" w:w="70"/>
              <w:bottom w:type="dxa" w:w="40"/>
              <w:right w:type="dxa" w:w="70"/>
            </w:tcMar>
          </w:tcPr>
          <w:p>
            <w:pPr>
              <w:spacing w:after="0"/>
            </w:pPr>
            <w:r>
              <w:rPr>
                <w:sz w:val="17"/>
                <w:szCs w:val="17"/>
              </w:rPr>
              <w:t xml:space="preserve">Bamboo|California King (focus)</w:t>
            </w:r>
          </w:p>
        </w:tc>
        <w:tc>
          <w:tcPr>
            <w:tcW w:type="dxa" w:w="1000"/>
            <w:shd w:fill="FFFFFF" w:color="auto" w:val="clear"/>
            <w:tcMar>
              <w:top w:type="dxa" w:w="40"/>
              <w:left w:type="dxa" w:w="70"/>
              <w:bottom w:type="dxa" w:w="40"/>
              <w:right w:type="dxa" w:w="70"/>
            </w:tcMar>
          </w:tcPr>
          <w:p>
            <w:pPr>
              <w:spacing w:after="0"/>
            </w:pPr>
            <w:r>
              <w:rPr>
                <w:sz w:val="17"/>
                <w:szCs w:val="17"/>
              </w:rPr>
              <w:t xml:space="preserve">$16 ($7)</w:t>
            </w:r>
          </w:p>
        </w:tc>
        <w:tc>
          <w:tcPr>
            <w:tcW w:type="dxa" w:w="900"/>
            <w:shd w:fill="FFFFFF" w:color="auto" w:val="clear"/>
            <w:tcMar>
              <w:top w:type="dxa" w:w="40"/>
              <w:left w:type="dxa" w:w="70"/>
              <w:bottom w:type="dxa" w:w="40"/>
              <w:right w:type="dxa" w:w="70"/>
            </w:tcMar>
          </w:tcPr>
          <w:p>
            <w:pPr>
              <w:spacing w:after="0"/>
            </w:pPr>
            <w:r>
              <w:rPr>
                <w:sz w:val="17"/>
                <w:szCs w:val="17"/>
              </w:rPr>
              <w:t xml:space="preserve">0.3 (0.5)</w:t>
            </w:r>
          </w:p>
        </w:tc>
        <w:tc>
          <w:tcPr>
            <w:tcW w:type="dxa" w:w="900"/>
            <w:shd w:fill="FFFFFF" w:color="auto" w:val="clear"/>
            <w:tcMar>
              <w:top w:type="dxa" w:w="40"/>
              <w:left w:type="dxa" w:w="70"/>
              <w:bottom w:type="dxa" w:w="40"/>
              <w:right w:type="dxa" w:w="70"/>
            </w:tcMar>
          </w:tcPr>
          <w:p>
            <w:pPr>
              <w:spacing w:after="0"/>
            </w:pPr>
            <w:r>
              <w:rPr>
                <w:sz w:val="17"/>
                <w:szCs w:val="17"/>
              </w:rPr>
              <w:t xml:space="preserve">67.9% (18.8%)</w:t>
            </w:r>
          </w:p>
        </w:tc>
        <w:tc>
          <w:tcPr>
            <w:tcW w:type="dxa" w:w="900"/>
            <w:shd w:fill="FFFFFF" w:color="auto" w:val="clear"/>
            <w:tcMar>
              <w:top w:type="dxa" w:w="40"/>
              <w:left w:type="dxa" w:w="70"/>
              <w:bottom w:type="dxa" w:w="40"/>
              <w:right w:type="dxa" w:w="70"/>
            </w:tcMar>
          </w:tcPr>
          <w:p>
            <w:pPr>
              <w:spacing w:after="0"/>
            </w:pPr>
            <w:r>
              <w:rPr>
                <w:sz w:val="17"/>
                <w:szCs w:val="17"/>
              </w:rPr>
              <w:t xml:space="preserve">8.0% (21.4%)</w:t>
            </w:r>
          </w:p>
        </w:tc>
        <w:tc>
          <w:tcPr>
            <w:tcW w:type="dxa" w:w="900"/>
            <w:shd w:fill="FFFFFF" w:color="auto" w:val="clear"/>
            <w:tcMar>
              <w:top w:type="dxa" w:w="40"/>
              <w:left w:type="dxa" w:w="70"/>
              <w:bottom w:type="dxa" w:w="40"/>
              <w:right w:type="dxa" w:w="70"/>
            </w:tcMar>
          </w:tcPr>
          <w:p>
            <w:pPr>
              <w:spacing w:after="0"/>
            </w:pPr>
            <w:r>
              <w:rPr>
                <w:sz w:val="17"/>
                <w:szCs w:val="17"/>
              </w:rPr>
              <w:t xml:space="preserve">19 → 17</w:t>
            </w:r>
          </w:p>
        </w:tc>
        <w:tc>
          <w:tcPr>
            <w:tcW w:type="dxa" w:w="1300"/>
            <w:shd w:fill="FFFFFF" w:color="auto" w:val="clear"/>
            <w:tcMar>
              <w:top w:type="dxa" w:w="40"/>
              <w:left w:type="dxa" w:w="70"/>
              <w:bottom w:type="dxa" w:w="40"/>
              <w:right w:type="dxa" w:w="70"/>
            </w:tcMar>
          </w:tcPr>
          <w:p>
            <w:pPr>
              <w:spacing w:after="0"/>
            </w:pPr>
            <w:r>
              <w:rPr>
                <w:sz w:val="17"/>
                <w:szCs w:val="17"/>
              </w:rPr>
              <w:t xml:space="preserve">Cal King White 44, none inbound; Burgundy-New 76</w:t>
            </w:r>
          </w:p>
        </w:tc>
        <w:tc>
          <w:tcPr>
            <w:tcW w:type="dxa" w:w="1772"/>
            <w:shd w:fill="FFFFFF" w:color="auto" w:val="clear"/>
            <w:tcMar>
              <w:top w:type="dxa" w:w="40"/>
              <w:left w:type="dxa" w:w="70"/>
              <w:bottom w:type="dxa" w:w="40"/>
              <w:right w:type="dxa" w:w="70"/>
            </w:tcMar>
          </w:tcPr>
          <w:p>
            <w:pPr>
              <w:spacing w:after="0"/>
            </w:pPr>
            <w:r>
              <w:rPr>
                <w:sz w:val="17"/>
                <w:szCs w:val="17"/>
              </w:rPr>
              <w:t xml:space="preserve">bamboo sheets california king (1,671), 16</w:t>
            </w:r>
          </w:p>
        </w:tc>
      </w:tr>
    </w:tbl>
    <w:p>
      <w:pPr>
        <w:spacing w:after="120"/>
      </w:pPr>
      <w:r>
        <w:rPr>
          <w:i/>
          <w:iCs/>
          <w:color w:val="555555"/>
          <w:sz w:val="17"/>
          <w:szCs w:val="17"/>
        </w:rPr>
        <w:t xml:space="preserve">Command Center syntax-group summaries; a term counts in every group it matches, so groups overlap. Before = the 13 days 09-02 → 09-14. Deal-week sales are still settling.</w:t>
      </w:r>
    </w:p>
    <w:p>
      <w:pPr>
        <w:pStyle w:val="Heading1"/>
      </w:pPr>
      <w:r>
        <w:t xml:space="preserve">D3. The four conditions (the logic, §6)</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891"/>
        <w:gridCol w:w="1461"/>
        <w:gridCol w:w="1719"/>
        <w:gridCol w:w="1891"/>
        <w:gridCol w:w="1719"/>
        <w:gridCol w:w="1291"/>
      </w:tblGrid>
      <w:tr>
        <w:trPr>
          <w:tblHeader/>
        </w:trPr>
        <w:tc>
          <w:tcPr>
            <w:tcW w:type="dxa" w:w="1891"/>
            <w:shd w:fill="1F3A5F" w:color="auto" w:val="clear"/>
            <w:tcMar>
              <w:top w:type="dxa" w:w="40"/>
              <w:left w:type="dxa" w:w="70"/>
              <w:bottom w:type="dxa" w:w="40"/>
              <w:right w:type="dxa" w:w="70"/>
            </w:tcMar>
          </w:tcPr>
          <w:p>
            <w:pPr>
              <w:spacing w:after="0"/>
            </w:pPr>
            <w:r>
              <w:rPr>
                <w:b/>
                <w:bCs/>
                <w:color w:val="FFFFFF"/>
                <w:sz w:val="17"/>
                <w:szCs w:val="17"/>
              </w:rPr>
              <w:t xml:space="preserve">Group</w:t>
            </w:r>
          </w:p>
        </w:tc>
        <w:tc>
          <w:tcPr>
            <w:tcW w:type="dxa" w:w="1461"/>
            <w:shd w:fill="1F3A5F" w:color="auto" w:val="clear"/>
            <w:tcMar>
              <w:top w:type="dxa" w:w="40"/>
              <w:left w:type="dxa" w:w="70"/>
              <w:bottom w:type="dxa" w:w="40"/>
              <w:right w:type="dxa" w:w="70"/>
            </w:tcMar>
          </w:tcPr>
          <w:p>
            <w:pPr>
              <w:spacing w:after="0"/>
            </w:pPr>
            <w:r>
              <w:rPr>
                <w:b/>
                <w:bCs/>
                <w:color w:val="FFFFFF"/>
                <w:sz w:val="17"/>
                <w:szCs w:val="17"/>
              </w:rPr>
              <w:t xml:space="preserve">Sales velocity in the window</w:t>
            </w:r>
          </w:p>
        </w:tc>
        <w:tc>
          <w:tcPr>
            <w:tcW w:type="dxa" w:w="1719"/>
            <w:shd w:fill="1F3A5F" w:color="auto" w:val="clear"/>
            <w:tcMar>
              <w:top w:type="dxa" w:w="40"/>
              <w:left w:type="dxa" w:w="70"/>
              <w:bottom w:type="dxa" w:w="40"/>
              <w:right w:type="dxa" w:w="70"/>
            </w:tcMar>
          </w:tcPr>
          <w:p>
            <w:pPr>
              <w:spacing w:after="0"/>
            </w:pPr>
            <w:r>
              <w:rPr>
                <w:b/>
                <w:bCs/>
                <w:color w:val="FFFFFF"/>
                <w:sz w:val="17"/>
                <w:szCs w:val="17"/>
              </w:rPr>
              <w:t xml:space="preserve">Click-through above market</w:t>
            </w:r>
          </w:p>
        </w:tc>
        <w:tc>
          <w:tcPr>
            <w:tcW w:type="dxa" w:w="1891"/>
            <w:shd w:fill="1F3A5F" w:color="auto" w:val="clear"/>
            <w:tcMar>
              <w:top w:type="dxa" w:w="40"/>
              <w:left w:type="dxa" w:w="70"/>
              <w:bottom w:type="dxa" w:w="40"/>
              <w:right w:type="dxa" w:w="70"/>
            </w:tcMar>
          </w:tcPr>
          <w:p>
            <w:pPr>
              <w:spacing w:after="0"/>
            </w:pPr>
            <w:r>
              <w:rPr>
                <w:b/>
                <w:bCs/>
                <w:color w:val="FFFFFF"/>
                <w:sz w:val="17"/>
                <w:szCs w:val="17"/>
              </w:rPr>
              <w:t xml:space="preserve">Conversion above market</w:t>
            </w:r>
          </w:p>
        </w:tc>
        <w:tc>
          <w:tcPr>
            <w:tcW w:type="dxa" w:w="1719"/>
            <w:shd w:fill="1F3A5F" w:color="auto" w:val="clear"/>
            <w:tcMar>
              <w:top w:type="dxa" w:w="40"/>
              <w:left w:type="dxa" w:w="70"/>
              <w:bottom w:type="dxa" w:w="40"/>
              <w:right w:type="dxa" w:w="70"/>
            </w:tcMar>
          </w:tcPr>
          <w:p>
            <w:pPr>
              <w:spacing w:after="0"/>
            </w:pPr>
            <w:r>
              <w:rPr>
                <w:b/>
                <w:bCs/>
                <w:color w:val="FFFFFF"/>
                <w:sz w:val="17"/>
                <w:szCs w:val="17"/>
              </w:rPr>
              <w:t xml:space="preserve">Stock to sustain it</w:t>
            </w:r>
          </w:p>
        </w:tc>
        <w:tc>
          <w:tcPr>
            <w:tcW w:type="dxa" w:w="1291"/>
            <w:shd w:fill="1F3A5F" w:color="auto" w:val="clear"/>
            <w:tcMar>
              <w:top w:type="dxa" w:w="40"/>
              <w:left w:type="dxa" w:w="70"/>
              <w:bottom w:type="dxa" w:w="40"/>
              <w:right w:type="dxa" w:w="70"/>
            </w:tcMar>
          </w:tcPr>
          <w:p>
            <w:pPr>
              <w:spacing w:after="0"/>
            </w:pPr>
            <w:r>
              <w:rPr>
                <w:b/>
                <w:bCs/>
                <w:color w:val="FFFFFF"/>
                <w:sz w:val="17"/>
                <w:szCs w:val="17"/>
              </w:rPr>
              <w:t xml:space="preserve">Verdict</w:t>
            </w:r>
          </w:p>
        </w:tc>
      </w:tr>
      <w:tr>
        <w:tc>
          <w:tcPr>
            <w:tcW w:type="dxa" w:w="1891"/>
            <w:shd w:fill="FFFFFF" w:color="auto" w:val="clear"/>
            <w:tcMar>
              <w:top w:type="dxa" w:w="40"/>
              <w:left w:type="dxa" w:w="70"/>
              <w:bottom w:type="dxa" w:w="40"/>
              <w:right w:type="dxa" w:w="70"/>
            </w:tcMar>
          </w:tcPr>
          <w:p>
            <w:pPr>
              <w:spacing w:after="0"/>
            </w:pPr>
            <w:r>
              <w:rPr>
                <w:sz w:val="17"/>
                <w:szCs w:val="17"/>
              </w:rPr>
              <w:t xml:space="preserve">Bamboo|California King (focus)</w:t>
            </w:r>
          </w:p>
        </w:tc>
        <w:tc>
          <w:tcPr>
            <w:tcW w:type="dxa" w:w="1461"/>
            <w:shd w:fill="FFFFFF" w:color="auto" w:val="clear"/>
            <w:tcMar>
              <w:top w:type="dxa" w:w="40"/>
              <w:left w:type="dxa" w:w="70"/>
              <w:bottom w:type="dxa" w:w="40"/>
              <w:right w:type="dxa" w:w="70"/>
            </w:tcMar>
          </w:tcPr>
          <w:p>
            <w:pPr>
              <w:spacing w:after="0"/>
            </w:pPr>
            <w:r>
              <w:rPr>
                <w:sz w:val="17"/>
                <w:szCs w:val="17"/>
              </w:rPr>
              <w:t xml:space="preserve">No deal until 10-26</w:t>
            </w:r>
          </w:p>
        </w:tc>
        <w:tc>
          <w:tcPr>
            <w:tcW w:type="dxa" w:w="1719"/>
            <w:shd w:fill="FFFFFF" w:color="auto" w:val="clear"/>
            <w:tcMar>
              <w:top w:type="dxa" w:w="40"/>
              <w:left w:type="dxa" w:w="70"/>
              <w:bottom w:type="dxa" w:w="40"/>
              <w:right w:type="dxa" w:w="70"/>
            </w:tcMar>
          </w:tcPr>
          <w:p>
            <w:pPr>
              <w:spacing w:after="0"/>
            </w:pPr>
            <w:r>
              <w:rPr>
                <w:sz w:val="17"/>
                <w:szCs w:val="17"/>
              </w:rPr>
              <w:t xml:space="preserve">Yes: 7.3% vs 1.9% at top of search on the head term</w:t>
            </w:r>
          </w:p>
        </w:tc>
        <w:tc>
          <w:tcPr>
            <w:tcW w:type="dxa" w:w="1891"/>
            <w:shd w:fill="FFFFFF" w:color="auto" w:val="clear"/>
            <w:tcMar>
              <w:top w:type="dxa" w:w="40"/>
              <w:left w:type="dxa" w:w="70"/>
              <w:bottom w:type="dxa" w:w="40"/>
              <w:right w:type="dxa" w:w="70"/>
            </w:tcMar>
          </w:tcPr>
          <w:p>
            <w:pPr>
              <w:spacing w:after="0"/>
            </w:pPr>
            <w:r>
              <w:rPr>
                <w:sz w:val="17"/>
                <w:szCs w:val="17"/>
              </w:rPr>
              <w:t xml:space="preserve">Not shown: 0 orders on 9 clicks on the head term; group 8.0% in the deal</w:t>
            </w:r>
          </w:p>
        </w:tc>
        <w:tc>
          <w:tcPr>
            <w:tcW w:type="dxa" w:w="1719"/>
            <w:shd w:fill="FFFFFF" w:color="auto" w:val="clear"/>
            <w:tcMar>
              <w:top w:type="dxa" w:w="40"/>
              <w:left w:type="dxa" w:w="70"/>
              <w:bottom w:type="dxa" w:w="40"/>
              <w:right w:type="dxa" w:w="70"/>
            </w:tcMar>
          </w:tcPr>
          <w:p>
            <w:pPr>
              <w:spacing w:after="0"/>
            </w:pPr>
            <w:r>
              <w:rPr>
                <w:sz w:val="17"/>
                <w:szCs w:val="17"/>
              </w:rPr>
              <w:t xml:space="preserve">No: hero 44 units, none inbound; Burgundy-New 76</w:t>
            </w:r>
          </w:p>
        </w:tc>
        <w:tc>
          <w:tcPr>
            <w:tcW w:type="dxa" w:w="1291"/>
            <w:shd w:fill="FFFFFF" w:color="auto" w:val="clear"/>
            <w:tcMar>
              <w:top w:type="dxa" w:w="40"/>
              <w:left w:type="dxa" w:w="70"/>
              <w:bottom w:type="dxa" w:w="40"/>
              <w:right w:type="dxa" w:w="70"/>
            </w:tcMar>
          </w:tcPr>
          <w:p>
            <w:pPr>
              <w:spacing w:after="0"/>
            </w:pPr>
            <w:r>
              <w:rPr>
                <w:sz w:val="17"/>
                <w:szCs w:val="17"/>
              </w:rPr>
              <w:t xml:space="preserve">Maintenance</w:t>
            </w:r>
          </w:p>
        </w:tc>
      </w:tr>
      <w:tr>
        <w:tc>
          <w:tcPr>
            <w:tcW w:type="dxa" w:w="1891"/>
            <w:shd w:fill="F2F5F9" w:color="auto" w:val="clear"/>
            <w:tcMar>
              <w:top w:type="dxa" w:w="40"/>
              <w:left w:type="dxa" w:w="70"/>
              <w:bottom w:type="dxa" w:w="40"/>
              <w:right w:type="dxa" w:w="70"/>
            </w:tcMar>
          </w:tcPr>
          <w:p>
            <w:pPr>
              <w:spacing w:after="0"/>
            </w:pPr>
            <w:r>
              <w:rPr>
                <w:sz w:val="17"/>
                <w:szCs w:val="17"/>
              </w:rPr>
              <w:t xml:space="preserve">Bamboo|Cooling (focus)</w:t>
            </w:r>
          </w:p>
        </w:tc>
        <w:tc>
          <w:tcPr>
            <w:tcW w:type="dxa" w:w="1461"/>
            <w:shd w:fill="F2F5F9" w:color="auto" w:val="clear"/>
            <w:tcMar>
              <w:top w:type="dxa" w:w="40"/>
              <w:left w:type="dxa" w:w="70"/>
              <w:bottom w:type="dxa" w:w="40"/>
              <w:right w:type="dxa" w:w="70"/>
            </w:tcMar>
          </w:tcPr>
          <w:p>
            <w:pPr>
              <w:spacing w:after="0"/>
            </w:pPr>
            <w:r>
              <w:rPr>
                <w:sz w:val="17"/>
                <w:szCs w:val="17"/>
              </w:rPr>
              <w:t xml:space="preserve">No deal until 10-26</w:t>
            </w:r>
          </w:p>
        </w:tc>
        <w:tc>
          <w:tcPr>
            <w:tcW w:type="dxa" w:w="1719"/>
            <w:shd w:fill="F2F5F9" w:color="auto" w:val="clear"/>
            <w:tcMar>
              <w:top w:type="dxa" w:w="40"/>
              <w:left w:type="dxa" w:w="70"/>
              <w:bottom w:type="dxa" w:w="40"/>
              <w:right w:type="dxa" w:w="70"/>
            </w:tcMar>
          </w:tcPr>
          <w:p>
            <w:pPr>
              <w:spacing w:after="0"/>
            </w:pPr>
            <w:r>
              <w:rPr>
                <w:sz w:val="17"/>
                <w:szCs w:val="17"/>
              </w:rPr>
              <w:t xml:space="preserve">Yes: 5.6% vs 1.8% on “cooling bamboo sheets”</w:t>
            </w:r>
          </w:p>
        </w:tc>
        <w:tc>
          <w:tcPr>
            <w:tcW w:type="dxa" w:w="1891"/>
            <w:shd w:fill="F2F5F9" w:color="auto" w:val="clear"/>
            <w:tcMar>
              <w:top w:type="dxa" w:w="40"/>
              <w:left w:type="dxa" w:w="70"/>
              <w:bottom w:type="dxa" w:w="40"/>
              <w:right w:type="dxa" w:w="70"/>
            </w:tcMar>
          </w:tcPr>
          <w:p>
            <w:pPr>
              <w:spacing w:after="0"/>
            </w:pPr>
            <w:r>
              <w:rPr>
                <w:sz w:val="17"/>
                <w:szCs w:val="17"/>
              </w:rPr>
              <w:t xml:space="preserve">Group 11.1% in the deal; the pushed terms have no orders yet</w:t>
            </w:r>
          </w:p>
        </w:tc>
        <w:tc>
          <w:tcPr>
            <w:tcW w:type="dxa" w:w="1719"/>
            <w:shd w:fill="F2F5F9" w:color="auto" w:val="clear"/>
            <w:tcMar>
              <w:top w:type="dxa" w:w="40"/>
              <w:left w:type="dxa" w:w="70"/>
              <w:bottom w:type="dxa" w:w="40"/>
              <w:right w:type="dxa" w:w="70"/>
            </w:tcMar>
          </w:tcPr>
          <w:p>
            <w:pPr>
              <w:spacing w:after="0"/>
            </w:pPr>
            <w:r>
              <w:rPr>
                <w:sz w:val="17"/>
                <w:szCs w:val="17"/>
              </w:rPr>
              <w:t xml:space="preserve">Yes on serving children (King Creme 504, Queen Olive 325)</w:t>
            </w:r>
          </w:p>
        </w:tc>
        <w:tc>
          <w:tcPr>
            <w:tcW w:type="dxa" w:w="1291"/>
            <w:shd w:fill="F2F5F9" w:color="auto" w:val="clear"/>
            <w:tcMar>
              <w:top w:type="dxa" w:w="40"/>
              <w:left w:type="dxa" w:w="70"/>
              <w:bottom w:type="dxa" w:w="40"/>
              <w:right w:type="dxa" w:w="70"/>
            </w:tcMar>
          </w:tcPr>
          <w:p>
            <w:pPr>
              <w:spacing w:after="0"/>
            </w:pPr>
            <w:r>
              <w:rPr>
                <w:sz w:val="17"/>
                <w:szCs w:val="17"/>
              </w:rPr>
              <w:t xml:space="preserve">Test now, fund for 10-26</w:t>
            </w:r>
          </w:p>
        </w:tc>
      </w:tr>
      <w:tr>
        <w:tc>
          <w:tcPr>
            <w:tcW w:type="dxa" w:w="1891"/>
            <w:shd w:fill="FFFFFF" w:color="auto" w:val="clear"/>
            <w:tcMar>
              <w:top w:type="dxa" w:w="40"/>
              <w:left w:type="dxa" w:w="70"/>
              <w:bottom w:type="dxa" w:w="40"/>
              <w:right w:type="dxa" w:w="70"/>
            </w:tcMar>
          </w:tcPr>
          <w:p>
            <w:pPr>
              <w:spacing w:after="0"/>
            </w:pPr>
            <w:r>
              <w:rPr>
                <w:sz w:val="17"/>
                <w:szCs w:val="17"/>
              </w:rPr>
              <w:t xml:space="preserve">Bamboo|King (out)</w:t>
            </w:r>
          </w:p>
        </w:tc>
        <w:tc>
          <w:tcPr>
            <w:tcW w:type="dxa" w:w="1461"/>
            <w:shd w:fill="FFFFFF" w:color="auto" w:val="clear"/>
            <w:tcMar>
              <w:top w:type="dxa" w:w="40"/>
              <w:left w:type="dxa" w:w="70"/>
              <w:bottom w:type="dxa" w:w="40"/>
              <w:right w:type="dxa" w:w="70"/>
            </w:tcMar>
          </w:tcPr>
          <w:p>
            <w:pPr>
              <w:spacing w:after="0"/>
            </w:pPr>
            <w:r>
              <w:rPr>
                <w:sz w:val="17"/>
                <w:szCs w:val="17"/>
              </w:rPr>
              <w:t xml:space="preserve">No deal until 10-26</w:t>
            </w:r>
          </w:p>
        </w:tc>
        <w:tc>
          <w:tcPr>
            <w:tcW w:type="dxa" w:w="1719"/>
            <w:shd w:fill="FFFFFF" w:color="auto" w:val="clear"/>
            <w:tcMar>
              <w:top w:type="dxa" w:w="40"/>
              <w:left w:type="dxa" w:w="70"/>
              <w:bottom w:type="dxa" w:w="40"/>
              <w:right w:type="dxa" w:w="70"/>
            </w:tcMar>
          </w:tcPr>
          <w:p>
            <w:pPr>
              <w:spacing w:after="0"/>
            </w:pPr>
            <w:r>
              <w:rPr>
                <w:sz w:val="17"/>
                <w:szCs w:val="17"/>
              </w:rPr>
              <w:t xml:space="preserve">Yes: 3.98% vs a 1.78% bar (Bamboo Sheets King Size, row 57)</w:t>
            </w:r>
          </w:p>
        </w:tc>
        <w:tc>
          <w:tcPr>
            <w:tcW w:type="dxa" w:w="1891"/>
            <w:shd w:fill="FFFFFF" w:color="auto" w:val="clear"/>
            <w:tcMar>
              <w:top w:type="dxa" w:w="40"/>
              <w:left w:type="dxa" w:w="70"/>
              <w:bottom w:type="dxa" w:w="40"/>
              <w:right w:type="dxa" w:w="70"/>
            </w:tcMar>
          </w:tcPr>
          <w:p>
            <w:pPr>
              <w:spacing w:after="0"/>
            </w:pPr>
            <w:r>
              <w:rPr>
                <w:sz w:val="17"/>
                <w:szCs w:val="17"/>
              </w:rPr>
              <w:t xml:space="preserve">Yes: 13.9% vs a 10.4% bar (row 57)</w:t>
            </w:r>
          </w:p>
        </w:tc>
        <w:tc>
          <w:tcPr>
            <w:tcW w:type="dxa" w:w="1719"/>
            <w:shd w:fill="FFFFFF" w:color="auto" w:val="clear"/>
            <w:tcMar>
              <w:top w:type="dxa" w:w="40"/>
              <w:left w:type="dxa" w:w="70"/>
              <w:bottom w:type="dxa" w:w="40"/>
              <w:right w:type="dxa" w:w="70"/>
            </w:tcMar>
          </w:tcPr>
          <w:p>
            <w:pPr>
              <w:spacing w:after="0"/>
            </w:pPr>
            <w:r>
              <w:rPr>
                <w:sz w:val="17"/>
                <w:szCs w:val="17"/>
              </w:rPr>
              <w:t xml:space="preserve">From 10-16 (606 King White)</w:t>
            </w:r>
          </w:p>
        </w:tc>
        <w:tc>
          <w:tcPr>
            <w:tcW w:type="dxa" w:w="1291"/>
            <w:shd w:fill="FFFFFF" w:color="auto" w:val="clear"/>
            <w:tcMar>
              <w:top w:type="dxa" w:w="40"/>
              <w:left w:type="dxa" w:w="70"/>
              <w:bottom w:type="dxa" w:w="40"/>
              <w:right w:type="dxa" w:w="70"/>
            </w:tcMar>
          </w:tcPr>
          <w:p>
            <w:pPr>
              <w:spacing w:after="0"/>
            </w:pPr>
            <w:r>
              <w:rPr>
                <w:sz w:val="17"/>
                <w:szCs w:val="17"/>
              </w:rPr>
              <w:t xml:space="preserve">Fund for 10-26</w:t>
            </w:r>
          </w:p>
        </w:tc>
      </w:tr>
      <w:tr>
        <w:tc>
          <w:tcPr>
            <w:tcW w:type="dxa" w:w="1891"/>
            <w:shd w:fill="F2F5F9" w:color="auto" w:val="clear"/>
            <w:tcMar>
              <w:top w:type="dxa" w:w="40"/>
              <w:left w:type="dxa" w:w="70"/>
              <w:bottom w:type="dxa" w:w="40"/>
              <w:right w:type="dxa" w:w="70"/>
            </w:tcMar>
          </w:tcPr>
          <w:p>
            <w:pPr>
              <w:spacing w:after="0"/>
            </w:pPr>
            <w:r>
              <w:rPr>
                <w:sz w:val="17"/>
                <w:szCs w:val="17"/>
              </w:rPr>
              <w:t xml:space="preserve">Bamboo (out)</w:t>
            </w:r>
          </w:p>
        </w:tc>
        <w:tc>
          <w:tcPr>
            <w:tcW w:type="dxa" w:w="1461"/>
            <w:shd w:fill="F2F5F9" w:color="auto" w:val="clear"/>
            <w:tcMar>
              <w:top w:type="dxa" w:w="40"/>
              <w:left w:type="dxa" w:w="70"/>
              <w:bottom w:type="dxa" w:w="40"/>
              <w:right w:type="dxa" w:w="70"/>
            </w:tcMar>
          </w:tcPr>
          <w:p>
            <w:pPr>
              <w:spacing w:after="0"/>
            </w:pPr>
            <w:r>
              <w:rPr>
                <w:sz w:val="17"/>
                <w:szCs w:val="17"/>
              </w:rPr>
              <w:t xml:space="preserve">No deal until 10-26</w:t>
            </w:r>
          </w:p>
        </w:tc>
        <w:tc>
          <w:tcPr>
            <w:tcW w:type="dxa" w:w="1719"/>
            <w:shd w:fill="F2F5F9" w:color="auto" w:val="clear"/>
            <w:tcMar>
              <w:top w:type="dxa" w:w="40"/>
              <w:left w:type="dxa" w:w="70"/>
              <w:bottom w:type="dxa" w:w="40"/>
              <w:right w:type="dxa" w:w="70"/>
            </w:tcMar>
          </w:tcPr>
          <w:p>
            <w:pPr>
              <w:spacing w:after="0"/>
            </w:pPr>
            <w:r>
              <w:rPr>
                <w:sz w:val="17"/>
                <w:szCs w:val="17"/>
              </w:rPr>
              <w:t xml:space="preserve">Not in this audit’s read</w:t>
            </w:r>
          </w:p>
        </w:tc>
        <w:tc>
          <w:tcPr>
            <w:tcW w:type="dxa" w:w="1891"/>
            <w:shd w:fill="F2F5F9" w:color="auto" w:val="clear"/>
            <w:tcMar>
              <w:top w:type="dxa" w:w="40"/>
              <w:left w:type="dxa" w:w="70"/>
              <w:bottom w:type="dxa" w:w="40"/>
              <w:right w:type="dxa" w:w="70"/>
            </w:tcMar>
          </w:tcPr>
          <w:p>
            <w:pPr>
              <w:spacing w:after="0"/>
            </w:pPr>
            <w:r>
              <w:rPr>
                <w:sz w:val="17"/>
                <w:szCs w:val="17"/>
              </w:rPr>
              <w:t xml:space="preserve">Yes: about 11% at top of search in the deal vs a 5.72% bar (flagship)</w:t>
            </w:r>
          </w:p>
        </w:tc>
        <w:tc>
          <w:tcPr>
            <w:tcW w:type="dxa" w:w="1719"/>
            <w:shd w:fill="F2F5F9" w:color="auto" w:val="clear"/>
            <w:tcMar>
              <w:top w:type="dxa" w:w="40"/>
              <w:left w:type="dxa" w:w="70"/>
              <w:bottom w:type="dxa" w:w="40"/>
              <w:right w:type="dxa" w:w="70"/>
            </w:tcMar>
          </w:tcPr>
          <w:p>
            <w:pPr>
              <w:spacing w:after="0"/>
            </w:pPr>
            <w:r>
              <w:rPr>
                <w:sz w:val="17"/>
                <w:szCs w:val="17"/>
              </w:rPr>
              <w:t xml:space="preserve">King from 10-16; Queen White 82 until 10-27</w:t>
            </w:r>
          </w:p>
        </w:tc>
        <w:tc>
          <w:tcPr>
            <w:tcW w:type="dxa" w:w="1291"/>
            <w:shd w:fill="F2F5F9" w:color="auto" w:val="clear"/>
            <w:tcMar>
              <w:top w:type="dxa" w:w="40"/>
              <w:left w:type="dxa" w:w="70"/>
              <w:bottom w:type="dxa" w:w="40"/>
              <w:right w:type="dxa" w:w="70"/>
            </w:tcMar>
          </w:tcPr>
          <w:p>
            <w:pPr>
              <w:spacing w:after="0"/>
            </w:pPr>
            <w:r>
              <w:rPr>
                <w:sz w:val="17"/>
                <w:szCs w:val="17"/>
              </w:rPr>
              <w:t xml:space="preserve">Owner decides (B1)</w:t>
            </w:r>
          </w:p>
        </w:tc>
      </w:tr>
    </w:tbl>
    <w:p>
      <w:pPr>
        <w:spacing w:after="120"/>
      </w:pPr>
      <w:r>
        <w:rPr>
          <w:i/>
          <w:iCs/>
          <w:color w:val="555555"/>
          <w:sz w:val="17"/>
          <w:szCs w:val="17"/>
        </w:rPr>
        <w:t xml:space="preserve">Top-of-search click-through and conversion from this audit’s own row reads (90 days, deal days included) and Command Center; re-confirm on clean days. The engine’s bars are 1.1× market CTR and 3× market CVR, so above the bar is above the market.</w:t>
      </w:r>
    </w:p>
    <w:p>
      <w:pPr>
        <w:pStyle w:val="Heading1"/>
      </w:pPr>
      <w:r>
        <w:t xml:space="preserve">D4. What the owner decides</w:t>
      </w:r>
    </w:p>
    <w:p>
      <w:pPr>
        <w:spacing w:after="100"/>
      </w:pPr>
      <w:r>
        <w:t xml:space="preserve">Three choices, each with what it costs:</w:t>
      </w:r>
    </w:p>
    <w:p>
      <w:pPr>
        <w:pStyle w:val="ListParagraph"/>
        <w:numPr>
          <w:ilvl w:val="0"/>
          <w:numId w:val="3"/>
        </w:numPr>
        <w:spacing w:after="60"/>
      </w:pPr>
      <w:r>
        <w:rPr>
          <w:b/>
          <w:bCs/>
        </w:rPr>
        <w:t xml:space="preserve">Keep the focus as set. </w:t>
      </w:r>
      <w:r>
        <w:t xml:space="preserve">California King stays at maintenance anyway (stock), so in practice this is Bamboo|Cooling alone: capped test steps now and a funded push sized for 10-26. The flagship still needs its funding decision.</w:t>
      </w:r>
    </w:p>
    <w:p>
      <w:pPr>
        <w:pStyle w:val="ListParagraph"/>
        <w:numPr>
          <w:ilvl w:val="0"/>
          <w:numId w:val="3"/>
        </w:numPr>
        <w:spacing w:after="60"/>
      </w:pPr>
      <w:r>
        <w:rPr>
          <w:b/>
          <w:bCs/>
        </w:rPr>
        <w:t xml:space="preserve">Keep Bamboo|Cooling; swap California King for Bamboo|King from 10-16. </w:t>
      </w:r>
      <w:r>
        <w:t xml:space="preserve">Both groups meet three of the four conditions today, and the fourth (velocity) arrives with the 10-26 Lightning Deal. Size both pushes now (§7: required clicks × price, with the loss ceiling named, §11) and run them in that window. California King holds at its ceiling until White restocks (PO 11-05).</w:t>
      </w:r>
    </w:p>
    <w:p>
      <w:pPr>
        <w:pStyle w:val="ListParagraph"/>
        <w:numPr>
          <w:ilvl w:val="0"/>
          <w:numId w:val="3"/>
        </w:numPr>
        <w:spacing w:after="60"/>
      </w:pPr>
      <w:r>
        <w:rPr>
          <w:b/>
          <w:bCs/>
        </w:rPr>
        <w:t xml:space="preserve">Put Bamboo back in focus as a funded push. </w:t>
      </w:r>
      <w:r>
        <w:t xml:space="preserve">Fund the flagship at $519 a day at today’s price (B1) and run it into 10-26, graded on impression share and top-of-search clicks, inside the market bound, with the loss per order named. This is the only way to learn whether the head is buyable, and it is the most expensive choice.</w:t>
      </w:r>
    </w:p>
    <w:p>
      <w:pPr>
        <w:spacing w:after="100"/>
      </w:pPr>
      <w:r>
        <w:t xml:space="preserve">Our recommendation is 2. The flagship stays held at 299% and $340 until the owner answers B1, and the Bamboo head is re-read at the 10-26 window.</w:t>
      </w:r>
    </w:p>
    <w:p>
      <w:pPr>
        <w:pStyle w:val="Heading1"/>
      </w:pPr>
      <w:r>
        <w:t xml:space="preserve">In order, starting 09-29</w:t>
      </w:r>
    </w:p>
    <w:p>
      <w:pPr>
        <w:pStyle w:val="ListParagraph"/>
        <w:numPr>
          <w:ilvl w:val="0"/>
          <w:numId w:val="4"/>
        </w:numPr>
        <w:spacing w:after="60"/>
      </w:pPr>
      <w:r>
        <w:t xml:space="preserve">The owner decides the focus (D4) and the flagship funding row (B1) by 09-30. Until then the flagship holds at 299% and $340, as §14 requires.</w:t>
      </w:r>
    </w:p>
    <w:p>
      <w:pPr>
        <w:pStyle w:val="ListParagraph"/>
        <w:numPr>
          <w:ilvl w:val="0"/>
          <w:numId w:val="4"/>
        </w:numPr>
        <w:spacing w:after="60"/>
      </w:pPr>
      <w:r>
        <w:t xml:space="preserve">Pull the 105 rows in C7.</w:t>
      </w:r>
    </w:p>
    <w:p>
      <w:pPr>
        <w:pStyle w:val="ListParagraph"/>
        <w:numPr>
          <w:ilvl w:val="0"/>
          <w:numId w:val="4"/>
        </w:numPr>
        <w:spacing w:after="60"/>
      </w:pPr>
      <w:r>
        <w:t xml:space="preserve">Write the capped test steps, each with its bound, loss per order and a rank prediction: 288 → 340% ($5.98), 398 → 187% ($5.74), and 369 down to 150% ($5.74). Load budgets 287 ($13.98) and 397 ($14.21, with the $18.59-a-day shortfall stated). Bring 462 to 255% and 571 to 98% (the ceiling).</w:t>
      </w:r>
    </w:p>
    <w:p>
      <w:pPr>
        <w:pStyle w:val="ListParagraph"/>
        <w:numPr>
          <w:ilvl w:val="0"/>
          <w:numId w:val="4"/>
        </w:numPr>
        <w:spacing w:after="60"/>
      </w:pPr>
      <w:r>
        <w:t xml:space="preserve">Same day: run the §10 suppression check on every in-focus down-only push, starting with 687, 293 and 1002. Where it is clear, load the modifier-only steps on 687 and 1002; where it is suppressed, switch to fixed bids at today’s price, stated as a trade. Hold 293’s base, and re-point 1002 and 31 to a serving child.</w:t>
      </w:r>
    </w:p>
    <w:p>
      <w:pPr>
        <w:pStyle w:val="ListParagraph"/>
        <w:numPr>
          <w:ilvl w:val="0"/>
          <w:numId w:val="4"/>
        </w:numPr>
        <w:spacing w:after="60"/>
      </w:pPr>
      <w:r>
        <w:t xml:space="preserve">California King: confirm which child the tracker reads before the 15 re-points load, re-derive the bases from Burgundy-New, and name the cause of the fall from 4 to 16 on “bamboo sheets california king”.</w:t>
      </w:r>
    </w:p>
    <w:p>
      <w:pPr>
        <w:pStyle w:val="ListParagraph"/>
        <w:numPr>
          <w:ilvl w:val="0"/>
          <w:numId w:val="4"/>
        </w:numPr>
        <w:spacing w:after="60"/>
      </w:pPr>
      <w:r>
        <w:t xml:space="preserve">Name the causes on the nine in-focus rank falls and the seven frozen collapses. Load the Twin swap (2155) first; hold 2209 until its cause is named.</w:t>
      </w:r>
    </w:p>
    <w:p>
      <w:pPr>
        <w:pStyle w:val="ListParagraph"/>
        <w:numPr>
          <w:ilvl w:val="0"/>
          <w:numId w:val="4"/>
        </w:numPr>
        <w:spacing w:after="60"/>
      </w:pPr>
      <w:r>
        <w:t xml:space="preserve">Keep King on White: reject engine check 1’s swap, and rename the 17 KING-CREME rows to the advertised child if they go ahead.</w:t>
      </w:r>
    </w:p>
    <w:p>
      <w:pPr>
        <w:pStyle w:val="ListParagraph"/>
        <w:numPr>
          <w:ilvl w:val="0"/>
          <w:numId w:val="4"/>
        </w:numPr>
        <w:spacing w:after="60"/>
      </w:pPr>
      <w:r>
        <w:t xml:space="preserve">Put the 10-26 Lightning Deal into the engine’s deal read, re-check the 10-16 and 10-27 kill dates against it, and size the 10-26 pushes now (§7, §11).</w:t>
      </w:r>
    </w:p>
    <w:p>
      <w:pPr>
        <w:pStyle w:val="ListParagraph"/>
        <w:numPr>
          <w:ilvl w:val="0"/>
          <w:numId w:val="4"/>
        </w:numPr>
        <w:spacing w:after="60"/>
      </w:pPr>
      <w:r>
        <w:t xml:space="preserve">Re-read the price rows on the first seven settled post-deal days. 10-02: read records 2150 and 2863 on “bamboo cooling sheets”. 10-05: read the test steps on clicks, impression share and conversion. Grade every write on the child its sales land on.</w:t>
      </w:r>
    </w:p>
    <w:sectPr>
      <w:pgSz w:w="12240" w:h="15840" w:orient="portrait"/>
      <w:pgMar w:top="1020" w:right="1134" w:bottom="102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28"/>
      <w:szCs w:val="28"/>
    </w:rPr>
  </w:style>
  <w:style w:type="paragraph" w:styleId="Heading2">
    <w:name w:val="Heading 2"/>
    <w:basedOn w:val="Normal"/>
    <w:next w:val="Normal"/>
    <w:qFormat/>
    <w:pPr>
      <w:keepNext/>
      <w:keepLines/>
      <w:spacing w:after="8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60" w:before="20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ba4abef4476d5dd210514d645c18c4ab3af718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DBS4 audit feedback — 28 September 2026</dc:title>
  <dc:creator>Claude</dc:creator>
  <cp:lastModifiedBy>Un-named</cp:lastModifiedBy>
  <cp:revision>1</cp:revision>
  <dcterms:created xsi:type="dcterms:W3CDTF">2026-09-28T20:42:42.624Z</dcterms:created>
  <dcterms:modified xsi:type="dcterms:W3CDTF">2026-09-28T20:42:42.624Z</dcterms:modified>
</cp:coreProperties>
</file>

<file path=docProps/custom.xml><?xml version="1.0" encoding="utf-8"?>
<Properties xmlns="http://schemas.openxmlformats.org/officeDocument/2006/custom-properties" xmlns:vt="http://schemas.openxmlformats.org/officeDocument/2006/docPropsVTypes"/>
</file>