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600"/>
        <w:jc w:val="center"/>
      </w:pPr>
      <w:r>
        <w:rPr>
          <w:rFonts w:ascii="Arial" w:cs="Arial" w:eastAsia="Arial" w:hAnsi="Arial"/>
          <w:b/>
          <w:bCs/>
          <w:caps/>
          <w:color w:val="1F3864"/>
          <w:sz w:val="28"/>
          <w:szCs w:val="28"/>
        </w:rPr>
        <w:t xml:space="preserve">UNIVERSITY OF HERTFORDSHIRE</w:t>
      </w:r>
    </w:p>
    <w:p>
      <w:pPr>
        <w:spacing w:after="80" w:before="0"/>
        <w:jc w:val="center"/>
      </w:pPr>
      <w:r>
        <w:rPr>
          <w:rFonts w:ascii="Arial" w:cs="Arial" w:eastAsia="Arial" w:hAnsi="Arial"/>
          <w:color w:val="595959"/>
          <w:sz w:val="22"/>
          <w:szCs w:val="22"/>
        </w:rPr>
        <w:t xml:space="preserve">MSc Computer Science — 7COM1040</w:t>
      </w:r>
    </w:p>
    <w:p>
      <w:pPr>
        <w:shd w:fill="1F3864" w:val="clear"/>
        <w:spacing w:after="80" w:before="400"/>
        <w:jc w:val="center"/>
      </w:pPr>
      <w:r>
        <w:rPr>
          <w:rFonts w:ascii="Arial" w:cs="Arial" w:eastAsia="Arial" w:hAnsi="Arial"/>
          <w:b/>
          <w:bCs/>
          <w:color w:val="FFFFFF"/>
          <w:sz w:val="32"/>
          <w:szCs w:val="32"/>
        </w:rPr>
        <w:t xml:space="preserve">CHAPTER 2: LITERATURE REVIEW</w:t>
      </w:r>
    </w:p>
    <w:p>
      <w:pPr>
        <w:shd w:fill="2E75B6" w:val="clear"/>
        <w:spacing w:after="400" w:before="0"/>
        <w:jc w:val="center"/>
      </w:pPr>
      <w:r>
        <w:rPr>
          <w:rFonts w:ascii="Arial" w:cs="Arial" w:eastAsia="Arial" w:hAnsi="Arial"/>
          <w:b/>
          <w:bCs/>
          <w:color w:val="FFFFFF"/>
          <w:sz w:val="22"/>
          <w:szCs w:val="22"/>
        </w:rPr>
        <w:t xml:space="preserve">MoodCine: A Multi-Modal Emotion-Aware Movie Recommendation System</w:t>
      </w:r>
    </w:p>
    <w:p>
      <w:pPr>
        <w:spacing w:after="40" w:before="200"/>
        <w:jc w:val="center"/>
      </w:pPr>
      <w:r>
        <w:rPr>
          <w:rFonts w:ascii="Arial" w:cs="Arial" w:eastAsia="Arial" w:hAnsi="Arial"/>
          <w:b/>
          <w:bCs/>
          <w:color w:val="1F3864"/>
          <w:sz w:val="22"/>
          <w:szCs w:val="22"/>
        </w:rPr>
        <w:t xml:space="preserve">Muhammad Arslan Khan  |  24160374</w:t>
      </w:r>
    </w:p>
    <w:p>
      <w:pPr>
        <w:spacing w:after="40" w:before="0"/>
        <w:jc w:val="center"/>
      </w:pPr>
      <w:r>
        <w:rPr>
          <w:rFonts w:ascii="Arial" w:cs="Arial" w:eastAsia="Arial" w:hAnsi="Arial"/>
          <w:color w:val="595959"/>
          <w:sz w:val="20"/>
          <w:szCs w:val="20"/>
        </w:rPr>
        <w:t xml:space="preserve">Supervisor: Lora Tonga</w:t>
      </w:r>
    </w:p>
    <w:p>
      <w:pPr>
        <w:spacing w:after="40" w:before="400"/>
        <w:jc w:val="center"/>
      </w:pPr>
      <w:r>
        <w:rPr>
          <w:rFonts w:ascii="Arial" w:cs="Arial" w:eastAsia="Arial" w:hAnsi="Arial"/>
          <w:color w:val="595959"/>
          <w:sz w:val="20"/>
          <w:szCs w:val="20"/>
        </w:rPr>
        <w:t xml:space="preserve">Interim Report Deadline: 20 July 2026</w:t>
      </w:r>
    </w:p>
    <w:p>
      <w:r>
        <w:br w:type="page"/>
      </w:r>
    </w:p>
    <w:p>
      <w:pPr>
        <w:spacing w:after="160" w:before="0"/>
      </w:pPr>
      <w:r>
        <w:rPr>
          <w:rFonts w:ascii="Arial" w:cs="Arial" w:eastAsia="Arial" w:hAnsi="Arial"/>
          <w:b/>
          <w:bCs/>
          <w:color w:val="1F3864"/>
          <w:sz w:val="30"/>
          <w:szCs w:val="30"/>
        </w:rPr>
        <w:t xml:space="preserve">Table of Contents — Chapter 2</w:t>
      </w:r>
    </w:p>
    <w:p>
      <w:pPr>
        <w:pBdr>
          <w:bottom w:val="single" w:color="2E75B6" w:sz="6" w:space="1"/>
        </w:pBdr>
        <w:spacing w:after="80" w:before="0"/>
      </w:pPr>
      <w:r>
        <w:t xml:space="preserve"/>
      </w:r>
    </w:p>
    <w:p>
      <w:pPr>
        <w:spacing w:after="60" w:before="60"/>
      </w:pPr>
      <w:r>
        <w:t xml:space="preserve"/>
      </w:r>
    </w:p>
    <w:p>
      <w:pPr>
        <w:tabs>
          <w:tab w:val="right" w:pos="8626" w:leader="dot"/>
        </w:tabs>
        <w:spacing w:after="80" w:before="80"/>
        <w:ind w:left="0"/>
      </w:pPr>
      <w:r>
        <w:rPr>
          <w:rFonts w:ascii="Arial" w:cs="Arial" w:eastAsia="Arial" w:hAnsi="Arial"/>
          <w:b/>
          <w:bCs/>
          <w:color w:val="1F3864"/>
          <w:sz w:val="22"/>
          <w:szCs w:val="22"/>
        </w:rPr>
        <w:t xml:space="preserve">2.1 — Introduction to Chapter 2</w:t>
      </w:r>
      <w:r>
        <w:rPr>
          <w:rFonts w:ascii="Arial" w:cs="Arial" w:eastAsia="Arial" w:hAnsi="Arial"/>
          <w:sz w:val="20"/>
          <w:szCs w:val="20"/>
        </w:rPr>
        <w:t xml:space="preserve">	</w:t>
      </w:r>
      <w:r>
        <w:rPr>
          <w:rFonts w:ascii="Arial" w:cs="Arial" w:eastAsia="Arial" w:hAnsi="Arial"/>
          <w:b/>
          <w:bCs/>
          <w:color w:val="2E75B6"/>
          <w:sz w:val="20"/>
          <w:szCs w:val="20"/>
        </w:rPr>
        <w:t xml:space="preserve">3</w:t>
      </w:r>
    </w:p>
    <w:p>
      <w:pPr>
        <w:tabs>
          <w:tab w:val="right" w:pos="8626" w:leader="dot"/>
        </w:tabs>
        <w:spacing w:after="80" w:before="80"/>
        <w:ind w:left="0"/>
      </w:pPr>
      <w:r>
        <w:rPr>
          <w:rFonts w:ascii="Arial" w:cs="Arial" w:eastAsia="Arial" w:hAnsi="Arial"/>
          <w:b/>
          <w:bCs/>
          <w:color w:val="1F3864"/>
          <w:sz w:val="22"/>
          <w:szCs w:val="22"/>
        </w:rPr>
        <w:t xml:space="preserve">2.2 — Recommender Systems</w:t>
      </w:r>
      <w:r>
        <w:rPr>
          <w:rFonts w:ascii="Arial" w:cs="Arial" w:eastAsia="Arial" w:hAnsi="Arial"/>
          <w:sz w:val="20"/>
          <w:szCs w:val="20"/>
        </w:rPr>
        <w:t xml:space="preserve">	</w:t>
      </w:r>
      <w:r>
        <w:rPr>
          <w:rFonts w:ascii="Arial" w:cs="Arial" w:eastAsia="Arial" w:hAnsi="Arial"/>
          <w:b/>
          <w:bCs/>
          <w:color w:val="2E75B6"/>
          <w:sz w:val="20"/>
          <w:szCs w:val="20"/>
        </w:rPr>
        <w:t xml:space="preserve">3</w:t>
      </w:r>
    </w:p>
    <w:p>
      <w:pPr>
        <w:tabs>
          <w:tab w:val="right" w:pos="8626" w:leader="dot"/>
        </w:tabs>
        <w:spacing w:after="80" w:before="80"/>
        <w:ind w:left="360"/>
      </w:pPr>
      <w:r>
        <w:rPr>
          <w:rFonts w:ascii="Arial" w:cs="Arial" w:eastAsia="Arial" w:hAnsi="Arial"/>
          <w:b w:val="false"/>
          <w:bCs w:val="false"/>
          <w:color w:val="595959"/>
          <w:sz w:val="20"/>
          <w:szCs w:val="20"/>
        </w:rPr>
        <w:t xml:space="preserve">2.2.1 — Collaborative Filtering</w:t>
      </w:r>
      <w:r>
        <w:rPr>
          <w:rFonts w:ascii="Arial" w:cs="Arial" w:eastAsia="Arial" w:hAnsi="Arial"/>
          <w:sz w:val="20"/>
          <w:szCs w:val="20"/>
        </w:rPr>
        <w:t xml:space="preserve">	</w:t>
      </w:r>
      <w:r>
        <w:rPr>
          <w:rFonts w:ascii="Arial" w:cs="Arial" w:eastAsia="Arial" w:hAnsi="Arial"/>
          <w:b/>
          <w:bCs/>
          <w:color w:val="2E75B6"/>
          <w:sz w:val="20"/>
          <w:szCs w:val="20"/>
        </w:rPr>
        <w:t xml:space="preserve">3</w:t>
      </w:r>
    </w:p>
    <w:p>
      <w:pPr>
        <w:tabs>
          <w:tab w:val="right" w:pos="8626" w:leader="dot"/>
        </w:tabs>
        <w:spacing w:after="80" w:before="80"/>
        <w:ind w:left="360"/>
      </w:pPr>
      <w:r>
        <w:rPr>
          <w:rFonts w:ascii="Arial" w:cs="Arial" w:eastAsia="Arial" w:hAnsi="Arial"/>
          <w:b w:val="false"/>
          <w:bCs w:val="false"/>
          <w:color w:val="595959"/>
          <w:sz w:val="20"/>
          <w:szCs w:val="20"/>
        </w:rPr>
        <w:t xml:space="preserve">2.2.2 — Content-Based Filtering</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360"/>
      </w:pPr>
      <w:r>
        <w:rPr>
          <w:rFonts w:ascii="Arial" w:cs="Arial" w:eastAsia="Arial" w:hAnsi="Arial"/>
          <w:b w:val="false"/>
          <w:bCs w:val="false"/>
          <w:color w:val="595959"/>
          <w:sz w:val="20"/>
          <w:szCs w:val="20"/>
        </w:rPr>
        <w:t xml:space="preserve">2.2.3 — Hybrid Recommender Systems</w:t>
      </w:r>
      <w:r>
        <w:rPr>
          <w:rFonts w:ascii="Arial" w:cs="Arial" w:eastAsia="Arial" w:hAnsi="Arial"/>
          <w:sz w:val="20"/>
          <w:szCs w:val="20"/>
        </w:rPr>
        <w:t xml:space="preserve">	</w:t>
      </w:r>
      <w:r>
        <w:rPr>
          <w:rFonts w:ascii="Arial" w:cs="Arial" w:eastAsia="Arial" w:hAnsi="Arial"/>
          <w:b/>
          <w:bCs/>
          <w:color w:val="2E75B6"/>
          <w:sz w:val="20"/>
          <w:szCs w:val="20"/>
        </w:rPr>
        <w:t xml:space="preserve">4</w:t>
      </w:r>
    </w:p>
    <w:p>
      <w:pPr>
        <w:tabs>
          <w:tab w:val="right" w:pos="8626" w:leader="dot"/>
        </w:tabs>
        <w:spacing w:after="80" w:before="80"/>
        <w:ind w:left="0"/>
      </w:pPr>
      <w:r>
        <w:rPr>
          <w:rFonts w:ascii="Arial" w:cs="Arial" w:eastAsia="Arial" w:hAnsi="Arial"/>
          <w:b/>
          <w:bCs/>
          <w:color w:val="1F3864"/>
          <w:sz w:val="22"/>
          <w:szCs w:val="22"/>
        </w:rPr>
        <w:t xml:space="preserve">2.3 — Affective Computing</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360"/>
      </w:pPr>
      <w:r>
        <w:rPr>
          <w:rFonts w:ascii="Arial" w:cs="Arial" w:eastAsia="Arial" w:hAnsi="Arial"/>
          <w:b w:val="false"/>
          <w:bCs w:val="false"/>
          <w:color w:val="595959"/>
          <w:sz w:val="20"/>
          <w:szCs w:val="20"/>
        </w:rPr>
        <w:t xml:space="preserve">2.3.1 — Origins and Theoretical Foundation</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360"/>
      </w:pPr>
      <w:r>
        <w:rPr>
          <w:rFonts w:ascii="Arial" w:cs="Arial" w:eastAsia="Arial" w:hAnsi="Arial"/>
          <w:b w:val="false"/>
          <w:bCs w:val="false"/>
          <w:color w:val="595959"/>
          <w:sz w:val="20"/>
          <w:szCs w:val="20"/>
        </w:rPr>
        <w:t xml:space="preserve">2.3.2 — Emotion Theory — Plutchik's Wheel</w:t>
      </w:r>
      <w:r>
        <w:rPr>
          <w:rFonts w:ascii="Arial" w:cs="Arial" w:eastAsia="Arial" w:hAnsi="Arial"/>
          <w:sz w:val="20"/>
          <w:szCs w:val="20"/>
        </w:rPr>
        <w:t xml:space="preserve">	</w:t>
      </w:r>
      <w:r>
        <w:rPr>
          <w:rFonts w:ascii="Arial" w:cs="Arial" w:eastAsia="Arial" w:hAnsi="Arial"/>
          <w:b/>
          <w:bCs/>
          <w:color w:val="2E75B6"/>
          <w:sz w:val="20"/>
          <w:szCs w:val="20"/>
        </w:rPr>
        <w:t xml:space="preserve">5</w:t>
      </w:r>
    </w:p>
    <w:p>
      <w:pPr>
        <w:tabs>
          <w:tab w:val="right" w:pos="8626" w:leader="dot"/>
        </w:tabs>
        <w:spacing w:after="80" w:before="80"/>
        <w:ind w:left="360"/>
      </w:pPr>
      <w:r>
        <w:rPr>
          <w:rFonts w:ascii="Arial" w:cs="Arial" w:eastAsia="Arial" w:hAnsi="Arial"/>
          <w:b w:val="false"/>
          <w:bCs w:val="false"/>
          <w:color w:val="595959"/>
          <w:sz w:val="20"/>
          <w:szCs w:val="20"/>
        </w:rPr>
        <w:t xml:space="preserve">2.3.3 — Affective Recommender Systems</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0"/>
      </w:pPr>
      <w:r>
        <w:rPr>
          <w:rFonts w:ascii="Arial" w:cs="Arial" w:eastAsia="Arial" w:hAnsi="Arial"/>
          <w:b/>
          <w:bCs/>
          <w:color w:val="1F3864"/>
          <w:sz w:val="22"/>
          <w:szCs w:val="22"/>
        </w:rPr>
        <w:t xml:space="preserve">2.4 — Emotion Detection Technologies</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360"/>
      </w:pPr>
      <w:r>
        <w:rPr>
          <w:rFonts w:ascii="Arial" w:cs="Arial" w:eastAsia="Arial" w:hAnsi="Arial"/>
          <w:b w:val="false"/>
          <w:bCs w:val="false"/>
          <w:color w:val="595959"/>
          <w:sz w:val="20"/>
          <w:szCs w:val="20"/>
        </w:rPr>
        <w:t xml:space="preserve">2.4.1 — NLP-Based Emotion Detection</w:t>
      </w:r>
      <w:r>
        <w:rPr>
          <w:rFonts w:ascii="Arial" w:cs="Arial" w:eastAsia="Arial" w:hAnsi="Arial"/>
          <w:sz w:val="20"/>
          <w:szCs w:val="20"/>
        </w:rPr>
        <w:t xml:space="preserve">	</w:t>
      </w:r>
      <w:r>
        <w:rPr>
          <w:rFonts w:ascii="Arial" w:cs="Arial" w:eastAsia="Arial" w:hAnsi="Arial"/>
          <w:b/>
          <w:bCs/>
          <w:color w:val="2E75B6"/>
          <w:sz w:val="20"/>
          <w:szCs w:val="20"/>
        </w:rPr>
        <w:t xml:space="preserve">6</w:t>
      </w:r>
    </w:p>
    <w:p>
      <w:pPr>
        <w:tabs>
          <w:tab w:val="right" w:pos="8626" w:leader="dot"/>
        </w:tabs>
        <w:spacing w:after="80" w:before="80"/>
        <w:ind w:left="360"/>
      </w:pPr>
      <w:r>
        <w:rPr>
          <w:rFonts w:ascii="Arial" w:cs="Arial" w:eastAsia="Arial" w:hAnsi="Arial"/>
          <w:b w:val="false"/>
          <w:bCs w:val="false"/>
          <w:color w:val="595959"/>
          <w:sz w:val="20"/>
          <w:szCs w:val="20"/>
        </w:rPr>
        <w:t xml:space="preserve">2.4.2 — Facial Expression Recognition</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tabs>
          <w:tab w:val="right" w:pos="8626" w:leader="dot"/>
        </w:tabs>
        <w:spacing w:after="80" w:before="80"/>
        <w:ind w:left="360"/>
      </w:pPr>
      <w:r>
        <w:rPr>
          <w:rFonts w:ascii="Arial" w:cs="Arial" w:eastAsia="Arial" w:hAnsi="Arial"/>
          <w:b w:val="false"/>
          <w:bCs w:val="false"/>
          <w:color w:val="595959"/>
          <w:sz w:val="20"/>
          <w:szCs w:val="20"/>
        </w:rPr>
        <w:t xml:space="preserve">2.4.3 — Multi-Modal Fusion</w:t>
      </w:r>
      <w:r>
        <w:rPr>
          <w:rFonts w:ascii="Arial" w:cs="Arial" w:eastAsia="Arial" w:hAnsi="Arial"/>
          <w:sz w:val="20"/>
          <w:szCs w:val="20"/>
        </w:rPr>
        <w:t xml:space="preserve">	</w:t>
      </w:r>
      <w:r>
        <w:rPr>
          <w:rFonts w:ascii="Arial" w:cs="Arial" w:eastAsia="Arial" w:hAnsi="Arial"/>
          <w:b/>
          <w:bCs/>
          <w:color w:val="2E75B6"/>
          <w:sz w:val="20"/>
          <w:szCs w:val="20"/>
        </w:rPr>
        <w:t xml:space="preserve">7</w:t>
      </w:r>
    </w:p>
    <w:p>
      <w:pPr>
        <w:tabs>
          <w:tab w:val="right" w:pos="8626" w:leader="dot"/>
        </w:tabs>
        <w:spacing w:after="80" w:before="80"/>
        <w:ind w:left="0"/>
      </w:pPr>
      <w:r>
        <w:rPr>
          <w:rFonts w:ascii="Arial" w:cs="Arial" w:eastAsia="Arial" w:hAnsi="Arial"/>
          <w:b/>
          <w:bCs/>
          <w:color w:val="1F3864"/>
          <w:sz w:val="22"/>
          <w:szCs w:val="22"/>
        </w:rPr>
        <w:t xml:space="preserve">2.5 — Explainable Recommendation</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0"/>
      </w:pPr>
      <w:r>
        <w:rPr>
          <w:rFonts w:ascii="Arial" w:cs="Arial" w:eastAsia="Arial" w:hAnsi="Arial"/>
          <w:b/>
          <w:bCs/>
          <w:color w:val="1F3864"/>
          <w:sz w:val="22"/>
          <w:szCs w:val="22"/>
        </w:rPr>
        <w:t xml:space="preserve">2.6 — Research Gap and Positioning</w:t>
      </w:r>
      <w:r>
        <w:rPr>
          <w:rFonts w:ascii="Arial" w:cs="Arial" w:eastAsia="Arial" w:hAnsi="Arial"/>
          <w:sz w:val="20"/>
          <w:szCs w:val="20"/>
        </w:rPr>
        <w:t xml:space="preserve">	</w:t>
      </w:r>
      <w:r>
        <w:rPr>
          <w:rFonts w:ascii="Arial" w:cs="Arial" w:eastAsia="Arial" w:hAnsi="Arial"/>
          <w:b/>
          <w:bCs/>
          <w:color w:val="2E75B6"/>
          <w:sz w:val="20"/>
          <w:szCs w:val="20"/>
        </w:rPr>
        <w:t xml:space="preserve">8</w:t>
      </w:r>
    </w:p>
    <w:p>
      <w:pPr>
        <w:tabs>
          <w:tab w:val="right" w:pos="8626" w:leader="dot"/>
        </w:tabs>
        <w:spacing w:after="80" w:before="80"/>
        <w:ind w:left="0"/>
      </w:pPr>
      <w:r>
        <w:rPr>
          <w:rFonts w:ascii="Arial" w:cs="Arial" w:eastAsia="Arial" w:hAnsi="Arial"/>
          <w:b/>
          <w:bCs/>
          <w:color w:val="1F3864"/>
          <w:sz w:val="22"/>
          <w:szCs w:val="22"/>
        </w:rPr>
        <w:t xml:space="preserve">2.7 — Chapter Summary</w:t>
      </w:r>
      <w:r>
        <w:rPr>
          <w:rFonts w:ascii="Arial" w:cs="Arial" w:eastAsia="Arial" w:hAnsi="Arial"/>
          <w:sz w:val="20"/>
          <w:szCs w:val="20"/>
        </w:rPr>
        <w:t xml:space="preserve">	</w:t>
      </w:r>
      <w:r>
        <w:rPr>
          <w:rFonts w:ascii="Arial" w:cs="Arial" w:eastAsia="Arial" w:hAnsi="Arial"/>
          <w:b/>
          <w:bCs/>
          <w:color w:val="2E75B6"/>
          <w:sz w:val="20"/>
          <w:szCs w:val="20"/>
        </w:rPr>
        <w:t xml:space="preserve">9</w:t>
      </w:r>
    </w:p>
    <w:p>
      <w:pPr>
        <w:tabs>
          <w:tab w:val="right" w:pos="8626" w:leader="dot"/>
        </w:tabs>
        <w:spacing w:after="80" w:before="80"/>
        <w:ind w:left="0"/>
      </w:pPr>
      <w:r>
        <w:rPr>
          <w:rFonts w:ascii="Arial" w:cs="Arial" w:eastAsia="Arial" w:hAnsi="Arial"/>
          <w:b/>
          <w:bCs/>
          <w:color w:val="1F3864"/>
          <w:sz w:val="22"/>
          <w:szCs w:val="22"/>
        </w:rPr>
        <w:t xml:space="preserve">References</w:t>
      </w:r>
      <w:r>
        <w:rPr>
          <w:rFonts w:ascii="Arial" w:cs="Arial" w:eastAsia="Arial" w:hAnsi="Arial"/>
          <w:sz w:val="20"/>
          <w:szCs w:val="20"/>
        </w:rPr>
        <w:t xml:space="preserve">	</w:t>
      </w:r>
      <w:r>
        <w:rPr>
          <w:rFonts w:ascii="Arial" w:cs="Arial" w:eastAsia="Arial" w:hAnsi="Arial"/>
          <w:b/>
          <w:bCs/>
          <w:color w:val="2E75B6"/>
          <w:sz w:val="20"/>
          <w:szCs w:val="20"/>
        </w:rPr>
        <w:t xml:space="preserve">10</w:t>
      </w:r>
    </w:p>
    <w:p>
      <w:pPr>
        <w:spacing w:after="60" w:before="60"/>
      </w:pPr>
      <w:r>
        <w:t xml:space="preserve"/>
      </w:r>
    </w:p>
    <w:p>
      <w:r>
        <w:br w:type="page"/>
      </w:r>
    </w:p>
    <w:p>
      <w:pPr>
        <w:pStyle w:val="Heading1"/>
        <w:spacing w:after="240" w:before="480"/>
      </w:pPr>
      <w:r>
        <w:rPr>
          <w:rFonts w:ascii="Arial" w:cs="Arial" w:eastAsia="Arial" w:hAnsi="Arial"/>
          <w:b/>
          <w:bCs/>
          <w:color w:val="1F3864"/>
          <w:sz w:val="32"/>
          <w:szCs w:val="32"/>
        </w:rPr>
        <w:t xml:space="preserve">Chapter 2: Literature Review</w:t>
      </w:r>
    </w:p>
    <w:p>
      <w:pPr>
        <w:pStyle w:val="Heading2"/>
        <w:spacing w:after="180" w:before="360"/>
      </w:pPr>
      <w:r>
        <w:rPr>
          <w:rFonts w:ascii="Arial" w:cs="Arial" w:eastAsia="Arial" w:hAnsi="Arial"/>
          <w:b/>
          <w:bCs/>
          <w:color w:val="2E75B6"/>
          <w:sz w:val="26"/>
          <w:szCs w:val="26"/>
        </w:rPr>
        <w:t xml:space="preserve">2.1  Introduction to Chapter 2</w:t>
      </w:r>
    </w:p>
    <w:p>
      <w:pPr>
        <w:spacing w:after="140" w:before="140" w:line="360" w:lineRule="auto"/>
        <w:jc w:val="both"/>
      </w:pPr>
      <w:r>
        <w:rPr>
          <w:rFonts w:ascii="Times New Roman" w:cs="Times New Roman" w:eastAsia="Times New Roman" w:hAnsi="Times New Roman"/>
          <w:sz w:val="24"/>
          <w:szCs w:val="24"/>
        </w:rPr>
        <w:t xml:space="preserve">This chapter critically reviews the existing body of academic literature relevant to MoodCine across five interconnected domains: recommender systems, affective computing, emotion detection technologies (NLP and facial expression recognition), multi-modal fusion, and explainable recommendation. The review draws upon peer-reviewed publications from IEEE, ACM, Springer, and ScienceDirect databases, supplemented by seminal books in affective computing and emotion theory. The chapter concludes by identifying the specific research gap that MoodCine addresses and positioning the project within the existing literature.</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2.2  Recommender Systems</w:t>
      </w:r>
    </w:p>
    <w:p>
      <w:pPr>
        <w:spacing w:after="140" w:before="140" w:line="360" w:lineRule="auto"/>
        <w:jc w:val="both"/>
      </w:pPr>
      <w:r>
        <w:rPr>
          <w:rFonts w:ascii="Times New Roman" w:cs="Times New Roman" w:eastAsia="Times New Roman" w:hAnsi="Times New Roman"/>
          <w:sz w:val="24"/>
          <w:szCs w:val="24"/>
        </w:rPr>
        <w:t xml:space="preserve">Recommender systems have become a cornerstone of modern digital platforms, enabling personalised content discovery at scale. The field has developed several distinct architectural paradigms, each with characteristic strengths and limitations. This section reviews the three most relevant approaches: collaborative filtering, content-based filtering, and hybrid systems.</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2.2.1  Collaborative Filtering</w:t>
      </w:r>
    </w:p>
    <w:p>
      <w:pPr>
        <w:spacing w:after="140" w:before="140" w:line="360" w:lineRule="auto"/>
        <w:jc w:val="both"/>
      </w:pPr>
      <w:r>
        <w:rPr>
          <w:rFonts w:ascii="Times New Roman" w:cs="Times New Roman" w:eastAsia="Times New Roman" w:hAnsi="Times New Roman"/>
          <w:sz w:val="24"/>
          <w:szCs w:val="24"/>
        </w:rPr>
        <w:t xml:space="preserve">Collaborative filtering (CF) generates recommendations by identifying patterns of agreement between users, operating on the principle that users who have agreed in the past will agree in the future. The seminal work of Koren et al. (2009) on matrix factorisation techniques — particularly Singular Value Decomposition (SVD) — demonstrated that latent factor models could capture nuanced user-item interactions far more effectively than neighbourhood-based approaches, achieving breakthrough performance in the Netflix Prize competition.</w:t>
      </w:r>
    </w:p>
    <w:p>
      <w:pPr>
        <w:spacing w:after="140" w:before="140" w:line="360" w:lineRule="auto"/>
        <w:jc w:val="both"/>
      </w:pPr>
      <w:r>
        <w:rPr>
          <w:rFonts w:ascii="Times New Roman" w:cs="Times New Roman" w:eastAsia="Times New Roman" w:hAnsi="Times New Roman"/>
          <w:sz w:val="24"/>
          <w:szCs w:val="24"/>
        </w:rPr>
        <w:t xml:space="preserve">SVD decomposes the user-item rating matrix into latent factor representations for both users and items, learning to predict ratings as the dot product of corresponding user and item factor vectors. The MovieLens 100K dataset, documented by Harper and Konstan (2015), has become the standard benchmark for evaluating CF algorithms, enabling reproducible comparison of results across the research community. The dataset comprises 100,000 ratings from 943 users across 1,682 movies, with a sparsity of 93.7% — a characteristic challenge for CF systems that MoodCine addresses through emotion-based content filtering.</w:t>
      </w:r>
    </w:p>
    <w:p>
      <w:pPr>
        <w:spacing w:after="140" w:before="140" w:line="360" w:lineRule="auto"/>
        <w:jc w:val="both"/>
      </w:pPr>
      <w:r>
        <w:rPr>
          <w:rFonts w:ascii="Times New Roman" w:cs="Times New Roman" w:eastAsia="Times New Roman" w:hAnsi="Times New Roman"/>
          <w:sz w:val="24"/>
          <w:szCs w:val="24"/>
        </w:rPr>
        <w:t xml:space="preserve">A fundamental limitation of CF, directly relevant to the motivation for MoodCine, is its context-blindness. CF models learn from historical behaviour and are therefore unable to account for the transient emotional states that significantly influence moment-to-moment content preferences. A user who rated action films highly during a previous energetic period may, during a period of emotional exhaustion, desire very different content — a contextual signal that CF systems systematically ignore.</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2.2.2  Content-Based Filtering</w:t>
      </w:r>
    </w:p>
    <w:p>
      <w:pPr>
        <w:spacing w:after="140" w:before="140" w:line="360" w:lineRule="auto"/>
        <w:jc w:val="both"/>
      </w:pPr>
      <w:r>
        <w:rPr>
          <w:rFonts w:ascii="Times New Roman" w:cs="Times New Roman" w:eastAsia="Times New Roman" w:hAnsi="Times New Roman"/>
          <w:sz w:val="24"/>
          <w:szCs w:val="24"/>
        </w:rPr>
        <w:t xml:space="preserve">Content-based filtering (CBF) recommends items similar to those a user has previously engaged with, characterising items through explicit feature vectors and computing similarity between item profiles and user preference profiles. In the film domain, item features typically include genre, director, cast, and thematic keywords. CBF addresses the cold-start problem for items — a new film can be recommended on the basis of its content attributes without requiring rating history — but suffers from over-specialisation: the system tends to recommend items very similar to those already encountered, limiting serendipitous discovery.</w:t>
      </w:r>
    </w:p>
    <w:p>
      <w:pPr>
        <w:spacing w:after="140" w:before="140" w:line="360" w:lineRule="auto"/>
        <w:jc w:val="both"/>
      </w:pPr>
      <w:r>
        <w:rPr>
          <w:rFonts w:ascii="Times New Roman" w:cs="Times New Roman" w:eastAsia="Times New Roman" w:hAnsi="Times New Roman"/>
          <w:sz w:val="24"/>
          <w:szCs w:val="24"/>
        </w:rPr>
        <w:t xml:space="preserve">In MoodCine, content-based filtering plays a specific and bounded role: it filters the candidate movie pool by matching the emotion-derived genre preferences to movie genre attributes before the SVD collaborative filter ranks the filtered candidates by predicted rating. This hybrid application of CBF avoids its over-specialisation tendency by restricting it to a coarse-grained emotional relevance filter rather than using it as the primary ranking mechanism.</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2.2.3  Hybrid Recommender Systems</w:t>
      </w:r>
    </w:p>
    <w:p>
      <w:pPr>
        <w:spacing w:after="140" w:before="140" w:line="360" w:lineRule="auto"/>
        <w:jc w:val="both"/>
      </w:pPr>
      <w:r>
        <w:rPr>
          <w:rFonts w:ascii="Times New Roman" w:cs="Times New Roman" w:eastAsia="Times New Roman" w:hAnsi="Times New Roman"/>
          <w:sz w:val="24"/>
          <w:szCs w:val="24"/>
        </w:rPr>
        <w:t xml:space="preserve">Burke (2002) conducted the foundational survey of hybrid recommender system architectures, identifying seven distinct hybridisation strategies including weighted, switching, and cascade hybrids. Burke's central finding — that hybrid systems consistently outperform single-method systems — has been extensively replicated in subsequent literature. The cascade hybrid, in which one method produces an initial candidate set that a second method refines and re-ranks, is of particular relevance to MoodCine's architecture.</w:t>
      </w:r>
    </w:p>
    <w:p>
      <w:pPr>
        <w:spacing w:after="140" w:before="140" w:line="360" w:lineRule="auto"/>
        <w:jc w:val="both"/>
      </w:pPr>
      <w:r>
        <w:rPr>
          <w:rFonts w:ascii="Times New Roman" w:cs="Times New Roman" w:eastAsia="Times New Roman" w:hAnsi="Times New Roman"/>
          <w:sz w:val="24"/>
          <w:szCs w:val="24"/>
        </w:rPr>
        <w:t xml:space="preserve">MoodCine implements a cascade hybrid that proceeds through three sequential stages: (1) emotion-driven content-based filtering narrows the candidate set to emotionally relevant genres, (2) SVD collaborative filtering ranks candidates by predicted user preference, and (3) the Gemini LLM generates mood-contextual explanations for the top-N results. This design extends Burke's cascade framework by introducing real-time emotional context as the first-stage filter — a dimension entirely absent from the hybrid architectures reviewed in Burke's (2002) original survey.</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2.3  Affective Computing</w:t>
      </w:r>
    </w:p>
    <w:p>
      <w:pPr>
        <w:pStyle w:val="Heading3"/>
        <w:spacing w:after="120" w:before="240"/>
      </w:pPr>
      <w:r>
        <w:rPr>
          <w:rFonts w:ascii="Arial" w:cs="Arial" w:eastAsia="Arial" w:hAnsi="Arial"/>
          <w:b/>
          <w:bCs/>
          <w:color w:val="2E75B6"/>
          <w:sz w:val="22"/>
          <w:szCs w:val="22"/>
        </w:rPr>
        <w:t xml:space="preserve">2.3.1  Origins and Theoretical Foundation</w:t>
      </w:r>
    </w:p>
    <w:p>
      <w:pPr>
        <w:spacing w:after="140" w:before="140" w:line="360" w:lineRule="auto"/>
        <w:jc w:val="both"/>
      </w:pPr>
      <w:r>
        <w:rPr>
          <w:rFonts w:ascii="Times New Roman" w:cs="Times New Roman" w:eastAsia="Times New Roman" w:hAnsi="Times New Roman"/>
          <w:sz w:val="24"/>
          <w:szCs w:val="24"/>
        </w:rPr>
        <w:t xml:space="preserve">Picard (1997) established affective computing as a distinct research discipline with the foundational argument that computers must acquire the capability to recognise, interpret, and simulate human emotion if they are to communicate effectively with human users. Picard demonstrated that emotion is not peripheral to cognition but central to it, citing Damasio's (1994) neurological evidence that damage to the emotional processing centres of the brain impairs rational decision-making even when analytical faculties remain intact. This theoretical grounding is directly applicable to recommender systems: if emotion is central to human preference and decision-making, then recommender systems that ignore emotional context are operating on a fundamentally incomplete model of user behaviour.</w:t>
      </w:r>
    </w:p>
    <w:p>
      <w:pPr>
        <w:spacing w:after="140" w:before="140" w:line="360" w:lineRule="auto"/>
        <w:jc w:val="both"/>
      </w:pPr>
      <w:r>
        <w:rPr>
          <w:rFonts w:ascii="Times New Roman" w:cs="Times New Roman" w:eastAsia="Times New Roman" w:hAnsi="Times New Roman"/>
          <w:sz w:val="24"/>
          <w:szCs w:val="24"/>
        </w:rPr>
        <w:t xml:space="preserve">Picard's framework defined four core capabilities for affective systems: the ability to sense emotional signals, to recognise and interpret those signals, to express emotional responses appropriately, and to have an internal emotional state that informs behaviour. MoodCine implements the first two of these capabilities through its NLP and FER emotion detection modules, and extends the framework to the recommendation domain by using the interpreted emotional state to drive personalised content selection.</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2.3.2  Emotion Theory — Plutchik's Wheel of Emotions</w:t>
      </w:r>
    </w:p>
    <w:p>
      <w:pPr>
        <w:spacing w:after="140" w:before="140" w:line="360" w:lineRule="auto"/>
        <w:jc w:val="both"/>
      </w:pPr>
      <w:r>
        <w:rPr>
          <w:rFonts w:ascii="Times New Roman" w:cs="Times New Roman" w:eastAsia="Times New Roman" w:hAnsi="Times New Roman"/>
          <w:sz w:val="24"/>
          <w:szCs w:val="24"/>
        </w:rPr>
        <w:t xml:space="preserve">The design of MoodCine's emotion-to-genre mapping schema requires a principled theoretical model of emotional categories. Plutchik's (1980) psychoevolutionary theory provides the most widely cited and computationally tractable such model. Plutchik proposed that all human emotions can be organised around eight primary categories arranged on a wheel: joy, trust, fear, surprise, sadness, disgust, anger, and anticipation. These categories are organised along two dimensions: intensity (from mild to intense, represented as the vertical axis of the wheel) and similarity (adjacent emotions are more similar than opposite emotions).</w:t>
      </w:r>
    </w:p>
    <w:p>
      <w:pPr>
        <w:spacing w:after="140" w:before="140" w:line="360" w:lineRule="auto"/>
        <w:jc w:val="both"/>
      </w:pPr>
      <w:r>
        <w:rPr>
          <w:rFonts w:ascii="Times New Roman" w:cs="Times New Roman" w:eastAsia="Times New Roman" w:hAnsi="Times New Roman"/>
          <w:sz w:val="24"/>
          <w:szCs w:val="24"/>
        </w:rPr>
        <w:t xml:space="preserve">Plutchik's model directly informs MoodCine's emotion-to-film-attribute mapping schema, in which each of the seven detectable emotion categories (using the labels of the j-hartmann DistilRoBERTa model, which excludes 'trust' and 'anticipation' but includes 'neutral') maps to specific film genre, tone, and pacing attributes. For example, 'fear' maps to Horror, Thriller, and Mystery genres with a tense and suspenseful tone, while 'joy' maps to Comedy, Animation, and Musical genres with an uplifting tone. This mapping is grounded in established psychological theory rather than being arbitrarily defined, strengthening the academic defensibility of the system's design.</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2.3.3  Affective Recommender Systems</w:t>
      </w:r>
    </w:p>
    <w:p>
      <w:pPr>
        <w:spacing w:after="140" w:before="140" w:line="360" w:lineRule="auto"/>
        <w:jc w:val="both"/>
      </w:pPr>
      <w:r>
        <w:rPr>
          <w:rFonts w:ascii="Times New Roman" w:cs="Times New Roman" w:eastAsia="Times New Roman" w:hAnsi="Times New Roman"/>
          <w:sz w:val="24"/>
          <w:szCs w:val="24"/>
        </w:rPr>
        <w:t xml:space="preserve">Tkalcic et al. (2011) made the critical argument, in what remains one of the most-cited papers in the affective recommender systems literature, that emotional context should be treated as a first-class input in recommender systems rather than as an optional enhancement. Their position paper reviewed existing emotion models in the RS literature and articulated the core design requirements for an emotion-aware recommender: the system must sense the user's emotional state, map that state to content preferences, and generate contextually appropriate recommendations.</w:t>
      </w:r>
    </w:p>
    <w:p>
      <w:pPr>
        <w:spacing w:after="140" w:before="140" w:line="360" w:lineRule="auto"/>
        <w:jc w:val="both"/>
      </w:pPr>
      <w:r>
        <w:rPr>
          <w:rFonts w:ascii="Times New Roman" w:cs="Times New Roman" w:eastAsia="Times New Roman" w:hAnsi="Times New Roman"/>
          <w:sz w:val="24"/>
          <w:szCs w:val="24"/>
        </w:rPr>
        <w:t xml:space="preserve">Tkalcic et al.'s (2011) framework is prescriptive of MoodCine's core architecture. However, the paper was published as a workshop position paper without quantitative experimental evaluation — a limitation that MoodCine directly addresses through its empirical comparative evaluation of four recommendation modes. The present research can therefore be understood as providing the experimental evidence that Tkalcic et al.'s theoretical framework predicted but did not supply.</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2.4  Emotion Detection Technologies</w:t>
      </w:r>
    </w:p>
    <w:p>
      <w:pPr>
        <w:pStyle w:val="Heading3"/>
        <w:spacing w:after="120" w:before="240"/>
      </w:pPr>
      <w:r>
        <w:rPr>
          <w:rFonts w:ascii="Arial" w:cs="Arial" w:eastAsia="Arial" w:hAnsi="Arial"/>
          <w:b/>
          <w:bCs/>
          <w:color w:val="2E75B6"/>
          <w:sz w:val="22"/>
          <w:szCs w:val="22"/>
        </w:rPr>
        <w:t xml:space="preserve">2.4.1  NLP-Based Emotion Detection</w:t>
      </w:r>
    </w:p>
    <w:p>
      <w:pPr>
        <w:spacing w:after="140" w:before="140" w:line="360" w:lineRule="auto"/>
        <w:jc w:val="both"/>
      </w:pPr>
      <w:r>
        <w:rPr>
          <w:rFonts w:ascii="Times New Roman" w:cs="Times New Roman" w:eastAsia="Times New Roman" w:hAnsi="Times New Roman"/>
          <w:sz w:val="24"/>
          <w:szCs w:val="24"/>
        </w:rPr>
        <w:t xml:space="preserve">The NLP component of MoodCine's emotion detection pipeline is implemented using the j-hartmann/emotion-english-distilroberta-base model, a fine-tuned variant of DistilRoBERTa (Sanh et al., 2019) trained specifically for emotion classification. Understanding this model requires reviewing the BERT architecture from which it descends.</w:t>
      </w:r>
    </w:p>
    <w:p>
      <w:pPr>
        <w:spacing w:after="140" w:before="140" w:line="360" w:lineRule="auto"/>
        <w:jc w:val="both"/>
      </w:pPr>
      <w:r>
        <w:rPr>
          <w:rFonts w:ascii="Times New Roman" w:cs="Times New Roman" w:eastAsia="Times New Roman" w:hAnsi="Times New Roman"/>
          <w:sz w:val="24"/>
          <w:szCs w:val="24"/>
        </w:rPr>
        <w:t xml:space="preserve">Devlin et al. (2019) introduced BERT (Bidirectional Encoder Representations from Transformers), a pre-training approach that achieved state-of-the-art results across 11 NLP benchmark tasks. BERT's key innovation is bidirectional pre-training using masked language modelling (MLM) — randomly masking 15% of input tokens and training the model to predict them — enabling the model to learn rich contextual representations that capture both left and right context simultaneously, in contrast to earlier unidirectional language models. The resulting representations can be fine-tuned for downstream tasks with minimal additional architecture, dramatically reducing the computational cost of training task-specific NLP models.</w:t>
      </w:r>
    </w:p>
    <w:p>
      <w:pPr>
        <w:spacing w:after="140" w:before="140" w:line="360" w:lineRule="auto"/>
        <w:jc w:val="both"/>
      </w:pPr>
      <w:r>
        <w:rPr>
          <w:rFonts w:ascii="Times New Roman" w:cs="Times New Roman" w:eastAsia="Times New Roman" w:hAnsi="Times New Roman"/>
          <w:sz w:val="24"/>
          <w:szCs w:val="24"/>
        </w:rPr>
        <w:t xml:space="preserve">DistilRoBERTa (Sanh et al., 2019) is a distilled, compressed variant of RoBERTa (a robustly optimised BERT variant) that retains 97% of RoBERTa's performance while reducing model size by 40% and inference time by 60%. This computational efficiency makes DistilRoBERTa particularly suitable for real-time deployment contexts such as MoodCine, where emotion classification must complete within the overall system response time target of under 10 seconds. The j-hartmann model fine-tunes DistilRoBERTa on a curated emotion-labelled dataset, achieving high classification accuracy across seven emotion categories — anger, disgust, fear, joy, neutral, sadness, and surprise — that align with Plutchik's primary emotion categories.</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2.4.2  Facial Expression Recognition</w:t>
      </w:r>
    </w:p>
    <w:p>
      <w:pPr>
        <w:spacing w:after="140" w:before="140" w:line="360" w:lineRule="auto"/>
        <w:jc w:val="both"/>
      </w:pPr>
      <w:r>
        <w:rPr>
          <w:rFonts w:ascii="Times New Roman" w:cs="Times New Roman" w:eastAsia="Times New Roman" w:hAnsi="Times New Roman"/>
          <w:sz w:val="24"/>
          <w:szCs w:val="24"/>
        </w:rPr>
        <w:t xml:space="preserve">The FER component of MoodCine is implemented using the DeepFace library, documented by Serengil and Ozpinar (2020). DeepFace provides a unified Python API that wraps multiple pre-trained deep face recognition and expression analysis models — including VGG-Face, Facenet, OpenFace, ArcFace, and the original DeepFace model — enabling seamless switching between backends without code modification. Serengil and Ozpinar (2020) demonstrated that the library achieves 97.6% accuracy on the Labelled Faces in the Wild (LFW) benchmark for face verification.</w:t>
      </w:r>
    </w:p>
    <w:p>
      <w:pPr>
        <w:spacing w:after="140" w:before="140" w:line="360" w:lineRule="auto"/>
        <w:jc w:val="both"/>
      </w:pPr>
      <w:r>
        <w:rPr>
          <w:rFonts w:ascii="Times New Roman" w:cs="Times New Roman" w:eastAsia="Times New Roman" w:hAnsi="Times New Roman"/>
          <w:sz w:val="24"/>
          <w:szCs w:val="24"/>
        </w:rPr>
        <w:t xml:space="preserve">DeepFace's emotion detection module classifies facial expressions into seven categories — angry, disgust, fear, happy, sad, surprise, and neutral — that map directly to MoodCine's NLP emotion categories, enabling straightforward fusion of the two modalities. A key limitation acknowledged by Serengil and Ozpinar (2020) is that accuracy degrades significantly under suboptimal conditions: poor lighting, partial occlusion, extreme head pose angles, or low webcam resolution can substantially reduce emotion classification accuracy. This limitation is addressed in MoodCine's design through the graceful degradation requirement: if FER confidence falls below a threshold or face detection fails entirely, the system falls back to NLP-only mode without interrupting the recommendation flow.</w:t>
      </w:r>
    </w:p>
    <w:p>
      <w:pPr>
        <w:spacing w:after="60" w:before="60"/>
      </w:pPr>
      <w:r>
        <w:t xml:space="preserve"/>
      </w:r>
    </w:p>
    <w:p>
      <w:pPr>
        <w:pStyle w:val="Heading3"/>
        <w:spacing w:after="120" w:before="240"/>
      </w:pPr>
      <w:r>
        <w:rPr>
          <w:rFonts w:ascii="Arial" w:cs="Arial" w:eastAsia="Arial" w:hAnsi="Arial"/>
          <w:b/>
          <w:bCs/>
          <w:color w:val="2E75B6"/>
          <w:sz w:val="22"/>
          <w:szCs w:val="22"/>
        </w:rPr>
        <w:t xml:space="preserve">2.4.3  Multi-Modal Fusion</w:t>
      </w:r>
    </w:p>
    <w:p>
      <w:pPr>
        <w:spacing w:after="140" w:before="140" w:line="360" w:lineRule="auto"/>
        <w:jc w:val="both"/>
      </w:pPr>
      <w:r>
        <w:rPr>
          <w:rFonts w:ascii="Times New Roman" w:cs="Times New Roman" w:eastAsia="Times New Roman" w:hAnsi="Times New Roman"/>
          <w:sz w:val="24"/>
          <w:szCs w:val="24"/>
        </w:rPr>
        <w:t xml:space="preserve">Poria et al. (2017) conducted the most comprehensive review to date of affective computing approaches, spanning unimodal analysis across text, audio, and video modalities through to multi-modal fusion strategies. Their central finding — that multi-modal fusion consistently and significantly outperforms unimodal approaches in emotion recognition tasks — directly motivates MoodCine's dual-input architecture.</w:t>
      </w:r>
    </w:p>
    <w:p>
      <w:pPr>
        <w:spacing w:after="140" w:before="140" w:line="360" w:lineRule="auto"/>
        <w:jc w:val="both"/>
      </w:pPr>
      <w:r>
        <w:rPr>
          <w:rFonts w:ascii="Times New Roman" w:cs="Times New Roman" w:eastAsia="Times New Roman" w:hAnsi="Times New Roman"/>
          <w:sz w:val="24"/>
          <w:szCs w:val="24"/>
        </w:rPr>
        <w:t xml:space="preserve">Poria et al. (2017) distinguish three principal fusion strategies: feature-level (early) fusion, which concatenates features from multiple modalities before classification; decision-level (late) fusion, which combines the outputs of independently trained unimodal classifiers; and model-level fusion, which integrates modalities within a jointly trained model. Their review found that feature-level fusion generally achieves the best performance, though the advantage depends on the degree of semantic alignment between modalities and the size of the available training data. MoodCine implements a weighted decision-level fusion strategy — combining the output probability distributions of the NLP and FER classifiers using configurable weights (default: NLP 60%, FER 40%) — which is more robust to missing or low-confidence FER signals than feature-level fusion and does not require joint retraining when either modality is updated.</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2.5  Explainable Recommendation</w:t>
      </w:r>
    </w:p>
    <w:p>
      <w:pPr>
        <w:spacing w:after="140" w:before="140" w:line="360" w:lineRule="auto"/>
        <w:jc w:val="both"/>
      </w:pPr>
      <w:r>
        <w:rPr>
          <w:rFonts w:ascii="Times New Roman" w:cs="Times New Roman" w:eastAsia="Times New Roman" w:hAnsi="Times New Roman"/>
          <w:sz w:val="24"/>
          <w:szCs w:val="24"/>
        </w:rPr>
        <w:t xml:space="preserve">A secondary research contribution of MoodCine is its mood-contextual explanation module, which generates natural language justifications for each recommendation using the Google Gemini API. The motivation for this component draws from Zhang et al.'s (2014) work on explicit factor models for explainable recommendation.</w:t>
      </w:r>
    </w:p>
    <w:p>
      <w:pPr>
        <w:spacing w:after="140" w:before="140" w:line="360" w:lineRule="auto"/>
        <w:jc w:val="both"/>
      </w:pPr>
      <w:r>
        <w:rPr>
          <w:rFonts w:ascii="Times New Roman" w:cs="Times New Roman" w:eastAsia="Times New Roman" w:hAnsi="Times New Roman"/>
          <w:sz w:val="24"/>
          <w:szCs w:val="24"/>
        </w:rPr>
        <w:t xml:space="preserve">Zhang et al. (2014) demonstrated that recommendations accompanied by natural language explanations derived from aspect-level sentiment analysis of user reviews are perceived as significantly more relevant and trustworthy than unexplained recommendations, even when the underlying recommendation accuracy is equivalent. Their Explicit Factor Model (EFM) extracts phrase-level sentiment from Amazon product reviews and uses Bayesian matrix factorisation to align user preferences with item aspects, generating explanations that reference the specific features a user is likely to value.</w:t>
      </w:r>
    </w:p>
    <w:p>
      <w:pPr>
        <w:spacing w:after="140" w:before="140" w:line="360" w:lineRule="auto"/>
        <w:jc w:val="both"/>
      </w:pPr>
      <w:r>
        <w:rPr>
          <w:rFonts w:ascii="Times New Roman" w:cs="Times New Roman" w:eastAsia="Times New Roman" w:hAnsi="Times New Roman"/>
          <w:sz w:val="24"/>
          <w:szCs w:val="24"/>
        </w:rPr>
        <w:t xml:space="preserve">MoodCine extends Zhang et al.'s (2014) approach in a critical dimension: while their explanations are derived from static historical review data, MoodCine's explanations are generated dynamically in response to the user's current emotional state. Where Zhang et al. might explain 'Recommended because you enjoyed fast-paced action sequences', MoodCine generates 'Given your current anxious state, Rear Window's slow-building tension allows you to engage with suspense at a controlled pace, providing catharsis without overwhelming stimulus.' This real-time, emotion-grounded explanation is a novel contribution enabled by the combination of emotion detection and LLM generation capabilities not available at the time of Zhang et al.'s (2014) publication.</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2.6  Research Gap and Positioning</w:t>
      </w:r>
    </w:p>
    <w:p>
      <w:pPr>
        <w:spacing w:after="140" w:before="140" w:line="360" w:lineRule="auto"/>
        <w:jc w:val="both"/>
      </w:pPr>
      <w:r>
        <w:rPr>
          <w:rFonts w:ascii="Times New Roman" w:cs="Times New Roman" w:eastAsia="Times New Roman" w:hAnsi="Times New Roman"/>
          <w:sz w:val="24"/>
          <w:szCs w:val="24"/>
        </w:rPr>
        <w:t xml:space="preserve">The literature reviewed in this chapter reveals a clear and significant research gap. While considerable prior work exists in each of the individual domains reviewed — recommender systems, affective computing, NLP emotion detection, FER, multi-modal fusion, and explainable recommendation — no published work has combined all five of these elements in a single empirically evaluated system. Specifically, the following combination remains unaddressed in the literature:</w:t>
      </w:r>
    </w:p>
    <w:p>
      <w:pPr>
        <w:pStyle w:val="ListParagraph"/>
        <w:numPr>
          <w:ilvl w:val="0"/>
          <w:numId w:val="2"/>
        </w:numPr>
        <w:spacing w:after="100" w:before="100"/>
      </w:pPr>
      <w:r>
        <w:rPr>
          <w:rFonts w:ascii="Times New Roman" w:cs="Times New Roman" w:eastAsia="Times New Roman" w:hAnsi="Times New Roman"/>
          <w:sz w:val="24"/>
          <w:szCs w:val="24"/>
        </w:rPr>
        <w:t xml:space="preserve">Real-time dual-modality emotion detection (NLP text + FER webcam) as the primary recommendation driver</w:t>
      </w:r>
    </w:p>
    <w:p>
      <w:pPr>
        <w:pStyle w:val="ListParagraph"/>
        <w:numPr>
          <w:ilvl w:val="0"/>
          <w:numId w:val="2"/>
        </w:numPr>
        <w:spacing w:after="100" w:before="100"/>
      </w:pPr>
      <w:r>
        <w:rPr>
          <w:rFonts w:ascii="Times New Roman" w:cs="Times New Roman" w:eastAsia="Times New Roman" w:hAnsi="Times New Roman"/>
          <w:sz w:val="24"/>
          <w:szCs w:val="24"/>
        </w:rPr>
        <w:t xml:space="preserve">Empirical comparative evaluation of four recommendation modes (baseline, NLP-only, FER-only, and NLP+FER fusion) within a single system</w:t>
      </w:r>
    </w:p>
    <w:p>
      <w:pPr>
        <w:pStyle w:val="ListParagraph"/>
        <w:numPr>
          <w:ilvl w:val="0"/>
          <w:numId w:val="2"/>
        </w:numPr>
        <w:spacing w:after="100" w:before="100"/>
      </w:pPr>
      <w:r>
        <w:rPr>
          <w:rFonts w:ascii="Times New Roman" w:cs="Times New Roman" w:eastAsia="Times New Roman" w:hAnsi="Times New Roman"/>
          <w:sz w:val="24"/>
          <w:szCs w:val="24"/>
        </w:rPr>
        <w:t xml:space="preserve">Mood-contextual LLM-generated explanations that justify recommendations in terms of the user's specific current emotional state rather than historical preference</w:t>
      </w:r>
    </w:p>
    <w:p>
      <w:pPr>
        <w:spacing w:after="60" w:before="60"/>
      </w:pPr>
      <w:r>
        <w:t xml:space="preserve"/>
      </w:r>
    </w:p>
    <w:p>
      <w:pPr>
        <w:spacing w:after="140" w:before="140" w:line="360" w:lineRule="auto"/>
        <w:jc w:val="both"/>
      </w:pPr>
      <w:r>
        <w:rPr>
          <w:rFonts w:ascii="Times New Roman" w:cs="Times New Roman" w:eastAsia="Times New Roman" w:hAnsi="Times New Roman"/>
          <w:sz w:val="24"/>
          <w:szCs w:val="24"/>
        </w:rPr>
        <w:t xml:space="preserve">Tkalcic et al. (2011) identified the need for emotion-aware recommendation but provided no experimental validation. Poria et al. (2017) demonstrated the superiority of multi-modal fusion for emotion detection but did not apply this to recommendation. Zhang et al. (2014) advanced explainable recommendation but used static, retrospective explanations disconnected from emotional context. MoodCine synthesises these three lines of research into a unified system and provides the empirical evidence that has been absent from each individual strand.</w:t>
      </w:r>
    </w:p>
    <w:p>
      <w:pPr>
        <w:spacing w:after="60" w:before="60"/>
      </w:pPr>
      <w:r>
        <w:t xml:space="preserve"/>
      </w:r>
    </w:p>
    <w:p>
      <w:pPr>
        <w:pStyle w:val="Heading2"/>
        <w:spacing w:after="180" w:before="360"/>
      </w:pPr>
      <w:r>
        <w:rPr>
          <w:rFonts w:ascii="Arial" w:cs="Arial" w:eastAsia="Arial" w:hAnsi="Arial"/>
          <w:b/>
          <w:bCs/>
          <w:color w:val="2E75B6"/>
          <w:sz w:val="26"/>
          <w:szCs w:val="26"/>
        </w:rPr>
        <w:t xml:space="preserve">2.7  Chapter Summary</w:t>
      </w:r>
    </w:p>
    <w:p>
      <w:pPr>
        <w:spacing w:after="140" w:before="140" w:line="360" w:lineRule="auto"/>
        <w:jc w:val="both"/>
      </w:pPr>
      <w:r>
        <w:rPr>
          <w:rFonts w:ascii="Times New Roman" w:cs="Times New Roman" w:eastAsia="Times New Roman" w:hAnsi="Times New Roman"/>
          <w:sz w:val="24"/>
          <w:szCs w:val="24"/>
        </w:rPr>
        <w:t xml:space="preserve">This chapter has critically reviewed the key literature across five domains relevant to MoodCine. The review established the following theoretical foundations for the system's design: the superiority of hybrid recommendation architectures (Burke, 2002); the centrality of emotion to human preference and decision-making (Picard, 1997); the theoretical framework for mapping emotion categories to content attributes (Plutchik, 1980); the academic case for emotion as a first-class RS input (Tkalcic et al., 2011); the technical basis for NLP emotion detection (Devlin et al., 2019); the implementation framework for FER (Serengil and Ozpinar, 2020); the evidence for multi-modal fusion superiority (Poria et al., 2017); and the value of natural language explanation in increasing recommendation trust (Zhang et al., 2014).</w:t>
      </w:r>
    </w:p>
    <w:p>
      <w:pPr>
        <w:spacing w:after="140" w:before="140" w:line="360" w:lineRule="auto"/>
        <w:jc w:val="both"/>
      </w:pPr>
      <w:r>
        <w:rPr>
          <w:rFonts w:ascii="Times New Roman" w:cs="Times New Roman" w:eastAsia="Times New Roman" w:hAnsi="Times New Roman"/>
          <w:sz w:val="24"/>
          <w:szCs w:val="24"/>
        </w:rPr>
        <w:t xml:space="preserve">A clear research gap was identified: no prior work has integrated real-time dual-modality emotion detection with hybrid recommendation and LLM-generated mood-contextual explanations in a single empirically evaluated system. MoodCine addresses this gap, with its design decisions grounded at every stage in the literature reviewed in this chapter. Chapter 3 presents the research methodology that operationalises these theoretical foundations into a rigorous evaluation framework.</w:t>
      </w:r>
    </w:p>
    <w:p>
      <w:pPr>
        <w:spacing w:after="60" w:before="60"/>
      </w:pPr>
      <w:r>
        <w:t xml:space="preserve"/>
      </w:r>
    </w:p>
    <w:p>
      <w:r>
        <w:br w:type="page"/>
      </w:r>
    </w:p>
    <w:p>
      <w:pPr>
        <w:pBdr>
          <w:bottom w:val="single" w:color="2E75B6" w:sz="6" w:space="1"/>
        </w:pBdr>
        <w:spacing w:after="200" w:before="0"/>
      </w:pPr>
      <w:r>
        <w:rPr>
          <w:rFonts w:ascii="Arial" w:cs="Arial" w:eastAsia="Arial" w:hAnsi="Arial"/>
          <w:b/>
          <w:bCs/>
          <w:color w:val="1F3864"/>
          <w:sz w:val="28"/>
          <w:szCs w:val="28"/>
        </w:rPr>
        <w:t xml:space="preserve">References — Chapter 2</w:t>
      </w:r>
    </w:p>
    <w:p>
      <w:pPr>
        <w:spacing w:after="60" w:before="60"/>
      </w:pPr>
      <w:r>
        <w:t xml:space="preserve"/>
      </w:r>
    </w:p>
    <w:p>
      <w:pPr>
        <w:spacing w:after="120" w:before="120" w:line="360" w:lineRule="auto"/>
        <w:ind w:left="720" w:hanging="720"/>
        <w:jc w:val="both"/>
      </w:pPr>
      <w:r>
        <w:rPr>
          <w:rFonts w:ascii="Times New Roman" w:cs="Times New Roman" w:eastAsia="Times New Roman" w:hAnsi="Times New Roman"/>
          <w:sz w:val="22"/>
          <w:szCs w:val="22"/>
        </w:rPr>
        <w:t xml:space="preserve">Burke, R. (2002) 'Hybrid Recommender Systems: Survey and Experiments', User Modeling and User-Adapted Interaction, 12(4), pp. 331–370.</w:t>
      </w:r>
    </w:p>
    <w:p>
      <w:pPr>
        <w:spacing w:after="120" w:before="120" w:line="360" w:lineRule="auto"/>
        <w:ind w:left="720" w:hanging="720"/>
        <w:jc w:val="both"/>
      </w:pPr>
      <w:r>
        <w:rPr>
          <w:rFonts w:ascii="Times New Roman" w:cs="Times New Roman" w:eastAsia="Times New Roman" w:hAnsi="Times New Roman"/>
          <w:sz w:val="22"/>
          <w:szCs w:val="22"/>
        </w:rPr>
        <w:t xml:space="preserve">Damasio, A.R. (1994) Descartes' Error: Emotion, Reason, and the Human Brain. New York: Putnam.</w:t>
      </w:r>
    </w:p>
    <w:p>
      <w:pPr>
        <w:spacing w:after="120" w:before="120" w:line="360" w:lineRule="auto"/>
        <w:ind w:left="720" w:hanging="720"/>
        <w:jc w:val="both"/>
      </w:pPr>
      <w:r>
        <w:rPr>
          <w:rFonts w:ascii="Times New Roman" w:cs="Times New Roman" w:eastAsia="Times New Roman" w:hAnsi="Times New Roman"/>
          <w:sz w:val="22"/>
          <w:szCs w:val="22"/>
        </w:rPr>
        <w:t xml:space="preserve">Devlin, J., Chang, M., Lee, K. and Toutanova, K. (2019) 'BERT: Pre-training of Deep Bidirectional Transformers for Language Understanding', Proceedings of NAACL-HLT 2019, pp. 4171–4186.</w:t>
      </w:r>
    </w:p>
    <w:p>
      <w:pPr>
        <w:spacing w:after="120" w:before="120" w:line="360" w:lineRule="auto"/>
        <w:ind w:left="720" w:hanging="720"/>
        <w:jc w:val="both"/>
      </w:pPr>
      <w:r>
        <w:rPr>
          <w:rFonts w:ascii="Times New Roman" w:cs="Times New Roman" w:eastAsia="Times New Roman" w:hAnsi="Times New Roman"/>
          <w:sz w:val="22"/>
          <w:szCs w:val="22"/>
        </w:rPr>
        <w:t xml:space="preserve">Harper, F.M. and Konstan, J.A. (2015) 'The MovieLens Datasets: History and Context', ACM Transactions on Interactive Intelligent Systems, 5(4), Article 19.</w:t>
      </w:r>
    </w:p>
    <w:p>
      <w:pPr>
        <w:spacing w:after="120" w:before="120" w:line="360" w:lineRule="auto"/>
        <w:ind w:left="720" w:hanging="720"/>
        <w:jc w:val="both"/>
      </w:pPr>
      <w:r>
        <w:rPr>
          <w:rFonts w:ascii="Times New Roman" w:cs="Times New Roman" w:eastAsia="Times New Roman" w:hAnsi="Times New Roman"/>
          <w:sz w:val="22"/>
          <w:szCs w:val="22"/>
        </w:rPr>
        <w:t xml:space="preserve">Hevner, A.R., March, S.T., Park, J. and Ram, S. (2004) 'Design Science in Information Systems Research', MIS Quarterly, 28(1), pp. 75–105.</w:t>
      </w:r>
    </w:p>
    <w:p>
      <w:pPr>
        <w:spacing w:after="120" w:before="120" w:line="360" w:lineRule="auto"/>
        <w:ind w:left="720" w:hanging="720"/>
        <w:jc w:val="both"/>
      </w:pPr>
      <w:r>
        <w:rPr>
          <w:rFonts w:ascii="Times New Roman" w:cs="Times New Roman" w:eastAsia="Times New Roman" w:hAnsi="Times New Roman"/>
          <w:sz w:val="22"/>
          <w:szCs w:val="22"/>
        </w:rPr>
        <w:t xml:space="preserve">Koren, Y., Bell, R. and Volinsky, C. (2009) 'Matrix Factorization Techniques for Recommender Systems', IEEE Computer, 42(8), pp. 30–37.</w:t>
      </w:r>
    </w:p>
    <w:p>
      <w:pPr>
        <w:spacing w:after="120" w:before="120" w:line="360" w:lineRule="auto"/>
        <w:ind w:left="720" w:hanging="720"/>
        <w:jc w:val="both"/>
      </w:pPr>
      <w:r>
        <w:rPr>
          <w:rFonts w:ascii="Times New Roman" w:cs="Times New Roman" w:eastAsia="Times New Roman" w:hAnsi="Times New Roman"/>
          <w:sz w:val="22"/>
          <w:szCs w:val="22"/>
        </w:rPr>
        <w:t xml:space="preserve">Picard, R.W. (1997) Affective Computing. Cambridge, MA: MIT Press.</w:t>
      </w:r>
    </w:p>
    <w:p>
      <w:pPr>
        <w:spacing w:after="120" w:before="120" w:line="360" w:lineRule="auto"/>
        <w:ind w:left="720" w:hanging="720"/>
        <w:jc w:val="both"/>
      </w:pPr>
      <w:r>
        <w:rPr>
          <w:rFonts w:ascii="Times New Roman" w:cs="Times New Roman" w:eastAsia="Times New Roman" w:hAnsi="Times New Roman"/>
          <w:sz w:val="22"/>
          <w:szCs w:val="22"/>
        </w:rPr>
        <w:t xml:space="preserve">Plutchik, R. (1980) Emotion: A Psychoevolutionary Synthesis. New York: Harper &amp; Row.</w:t>
      </w:r>
    </w:p>
    <w:p>
      <w:pPr>
        <w:spacing w:after="120" w:before="120" w:line="360" w:lineRule="auto"/>
        <w:ind w:left="720" w:hanging="720"/>
        <w:jc w:val="both"/>
      </w:pPr>
      <w:r>
        <w:rPr>
          <w:rFonts w:ascii="Times New Roman" w:cs="Times New Roman" w:eastAsia="Times New Roman" w:hAnsi="Times New Roman"/>
          <w:sz w:val="22"/>
          <w:szCs w:val="22"/>
        </w:rPr>
        <w:t xml:space="preserve">Poria, S., Cambria, E., Bajpai, R. and Hussain, A. (2017) 'A Review of Affective Computing: From Unimodal Analysis to Multimodal Fusion', Information Fusion, 37, pp. 98–125.</w:t>
      </w:r>
    </w:p>
    <w:p>
      <w:pPr>
        <w:spacing w:after="120" w:before="120" w:line="360" w:lineRule="auto"/>
        <w:ind w:left="720" w:hanging="720"/>
        <w:jc w:val="both"/>
      </w:pPr>
      <w:r>
        <w:rPr>
          <w:rFonts w:ascii="Times New Roman" w:cs="Times New Roman" w:eastAsia="Times New Roman" w:hAnsi="Times New Roman"/>
          <w:sz w:val="22"/>
          <w:szCs w:val="22"/>
        </w:rPr>
        <w:t xml:space="preserve">Sanh, V., Debut, L., Chaumond, J. and Wolf, T. (2019) 'DistilBERT, a Distilled Version of BERT', Proceedings of the 5th Workshop on Energy Efficient Machine Learning and Cognitive Computing at NeurIPS 2019.</w:t>
      </w:r>
    </w:p>
    <w:p>
      <w:pPr>
        <w:spacing w:after="120" w:before="120" w:line="360" w:lineRule="auto"/>
        <w:ind w:left="720" w:hanging="720"/>
        <w:jc w:val="both"/>
      </w:pPr>
      <w:r>
        <w:rPr>
          <w:rFonts w:ascii="Times New Roman" w:cs="Times New Roman" w:eastAsia="Times New Roman" w:hAnsi="Times New Roman"/>
          <w:sz w:val="22"/>
          <w:szCs w:val="22"/>
        </w:rPr>
        <w:t xml:space="preserve">Serengil, S.I. and Ozpinar, A. (2020) 'LightFace: A Hybrid Deep Face Recognition Framework', Innovations in Intelligent Systems and Applications Conference (ASYU), pp. 1–5.</w:t>
      </w:r>
    </w:p>
    <w:p>
      <w:pPr>
        <w:spacing w:after="120" w:before="120" w:line="360" w:lineRule="auto"/>
        <w:ind w:left="720" w:hanging="720"/>
        <w:jc w:val="both"/>
      </w:pPr>
      <w:r>
        <w:rPr>
          <w:rFonts w:ascii="Times New Roman" w:cs="Times New Roman" w:eastAsia="Times New Roman" w:hAnsi="Times New Roman"/>
          <w:sz w:val="22"/>
          <w:szCs w:val="22"/>
        </w:rPr>
        <w:t xml:space="preserve">Tkalcic, M., Kosir, A. and Tasic, J. (2011) 'Affective Recommender Systems: The Role of Emotions in Recommender Systems', Proceedings of the RecSys 2011 Workshop on Human Decision Making in Recommender Systems, pp. 8–13.</w:t>
      </w:r>
    </w:p>
    <w:p>
      <w:pPr>
        <w:spacing w:after="120" w:before="120" w:line="360" w:lineRule="auto"/>
        <w:ind w:left="720" w:hanging="720"/>
        <w:jc w:val="both"/>
      </w:pPr>
      <w:r>
        <w:rPr>
          <w:rFonts w:ascii="Times New Roman" w:cs="Times New Roman" w:eastAsia="Times New Roman" w:hAnsi="Times New Roman"/>
          <w:sz w:val="22"/>
          <w:szCs w:val="22"/>
        </w:rPr>
        <w:t xml:space="preserve">Zhang, Y., Lai, G., Zhang, M., Zhang, Y., Liu, Y. and Ma, S. (2014) 'Explicit Factor Models for Explainable Recommendation Based on Phrase-Level Sentiment Analysis', Proceedings of SIGIR 2014, pp. 83–92.</w:t>
      </w:r>
    </w:p>
    <w:p>
      <w:pPr>
        <w:pBdr>
          <w:top w:val="single" w:color="2E75B6" w:sz="6" w:space="1"/>
        </w:pBdr>
        <w:spacing w:after="0" w:before="480"/>
        <w:jc w:val="center"/>
      </w:pPr>
      <w:r>
        <w:rPr>
          <w:rFonts w:ascii="Times New Roman" w:cs="Times New Roman" w:eastAsia="Times New Roman" w:hAnsi="Times New Roman"/>
          <w:color w:val="595959"/>
          <w:sz w:val="18"/>
          <w:szCs w:val="18"/>
        </w:rPr>
        <w:t xml:space="preserve">MoodCine  |  Chapter 2: Literature Review  |  Muhammad Arslan Khan (24160374)  |  University of Hertfordshire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after="0" w:before="80"/>
      <w:jc w:val="center"/>
    </w:pPr>
    <w:r>
      <w:rPr>
        <w:rFonts w:ascii="Arial" w:cs="Arial" w:eastAsia="Arial" w:hAnsi="Arial"/>
        <w:color w:val="595959"/>
        <w:sz w:val="16"/>
        <w:szCs w:val="16"/>
      </w:rPr>
      <w:t xml:space="preserve">University of Hertfordshire  |  7COM1040  |  Page </w:t>
    </w:r>
    <w:r>
      <w:rPr>
        <w:rFonts w:ascii="Arial" w:cs="Arial" w:eastAsia="Arial" w:hAnsi="Arial"/>
        <w:color w:val="2E75B6"/>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026"/>
      </w:tabs>
      <w:spacing w:after="80" w:before="0"/>
    </w:pPr>
    <w:r>
      <w:rPr>
        <w:rFonts w:ascii="Arial" w:cs="Arial" w:eastAsia="Arial" w:hAnsi="Arial"/>
        <w:color w:val="595959"/>
        <w:sz w:val="16"/>
        <w:szCs w:val="16"/>
      </w:rPr>
      <w:t xml:space="preserve">MoodCine — Chapter 2: Literature Review</w:t>
    </w:r>
    <w:r>
      <w:rPr>
        <w:rFonts w:ascii="Arial" w:cs="Arial" w:eastAsia="Arial" w:hAnsi="Arial"/>
        <w:sz w:val="16"/>
        <w:szCs w:val="16"/>
      </w:rPr>
      <w:t xml:space="preserve">	</w:t>
    </w:r>
    <w:r>
      <w:rPr>
        <w:rFonts w:ascii="Arial" w:cs="Arial" w:eastAsia="Arial" w:hAnsi="Arial"/>
        <w:color w:val="595959"/>
        <w:sz w:val="16"/>
        <w:szCs w:val="16"/>
      </w:rPr>
      <w:t xml:space="preserve">Muhammad Arslan Khan (24160374)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spacing w:after="100" w:before="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4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2026-07-01T04:54:00.070Z</dcterms:created>
  <dcterms:modified xsi:type="dcterms:W3CDTF">2026-07-01T04:54:00.070Z</dcterms:modified>
</cp:coreProperties>
</file>

<file path=docProps/custom.xml><?xml version="1.0" encoding="utf-8"?>
<Properties xmlns="http://schemas.openxmlformats.org/officeDocument/2006/custom-properties" xmlns:vt="http://schemas.openxmlformats.org/officeDocument/2006/docPropsVTypes"/>
</file>