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600"/>
        <w:jc w:val="center"/>
      </w:pPr>
      <w:r>
        <w:rPr>
          <w:rFonts w:ascii="Arial" w:cs="Arial" w:eastAsia="Arial" w:hAnsi="Arial"/>
          <w:b/>
          <w:bCs/>
          <w:caps/>
          <w:color w:val="1F3864"/>
          <w:sz w:val="28"/>
          <w:szCs w:val="28"/>
        </w:rPr>
        <w:t xml:space="preserve">UNIVERSITY OF HERTFORDSHIRE</w:t>
      </w:r>
    </w:p>
    <w:p>
      <w:pPr>
        <w:spacing w:after="80" w:before="0"/>
        <w:jc w:val="center"/>
      </w:pPr>
      <w:r>
        <w:rPr>
          <w:rFonts w:ascii="Arial" w:cs="Arial" w:eastAsia="Arial" w:hAnsi="Arial"/>
          <w:color w:val="595959"/>
          <w:sz w:val="22"/>
          <w:szCs w:val="22"/>
        </w:rPr>
        <w:t xml:space="preserve">MSc Computer Science — 7COM1040</w:t>
      </w:r>
    </w:p>
    <w:p>
      <w:pPr>
        <w:shd w:fill="1F3864" w:val="clear"/>
        <w:spacing w:after="80" w:before="400"/>
        <w:jc w:val="center"/>
      </w:pPr>
      <w:r>
        <w:rPr>
          <w:rFonts w:ascii="Arial" w:cs="Arial" w:eastAsia="Arial" w:hAnsi="Arial"/>
          <w:b/>
          <w:bCs/>
          <w:color w:val="FFFFFF"/>
          <w:sz w:val="32"/>
          <w:szCs w:val="32"/>
        </w:rPr>
        <w:t xml:space="preserve">CHAPTER 3: METHODOLOGY</w:t>
      </w:r>
    </w:p>
    <w:p>
      <w:pPr>
        <w:shd w:fill="2E75B6" w:val="clear"/>
        <w:spacing w:after="400" w:before="0"/>
        <w:jc w:val="center"/>
      </w:pPr>
      <w:r>
        <w:rPr>
          <w:rFonts w:ascii="Arial" w:cs="Arial" w:eastAsia="Arial" w:hAnsi="Arial"/>
          <w:b/>
          <w:bCs/>
          <w:color w:val="FFFFFF"/>
          <w:sz w:val="22"/>
          <w:szCs w:val="22"/>
        </w:rPr>
        <w:t xml:space="preserve">MoodCine: A Multi-Modal Emotion-Aware Movie Recommendation System</w:t>
      </w:r>
    </w:p>
    <w:p>
      <w:pPr>
        <w:spacing w:after="40" w:before="200"/>
        <w:jc w:val="center"/>
      </w:pPr>
      <w:r>
        <w:rPr>
          <w:rFonts w:ascii="Arial" w:cs="Arial" w:eastAsia="Arial" w:hAnsi="Arial"/>
          <w:b/>
          <w:bCs/>
          <w:color w:val="1F3864"/>
          <w:sz w:val="22"/>
          <w:szCs w:val="22"/>
        </w:rPr>
        <w:t xml:space="preserve">Muhammad Arslan Khan  |  24160374</w:t>
      </w:r>
    </w:p>
    <w:p>
      <w:pPr>
        <w:spacing w:after="40" w:before="0"/>
        <w:jc w:val="center"/>
      </w:pPr>
      <w:r>
        <w:rPr>
          <w:rFonts w:ascii="Arial" w:cs="Arial" w:eastAsia="Arial" w:hAnsi="Arial"/>
          <w:color w:val="595959"/>
          <w:sz w:val="20"/>
          <w:szCs w:val="20"/>
        </w:rPr>
        <w:t xml:space="preserve">Supervisor: Lora Tonga</w:t>
      </w:r>
    </w:p>
    <w:p>
      <w:pPr>
        <w:spacing w:after="40" w:before="400"/>
        <w:jc w:val="center"/>
      </w:pPr>
      <w:r>
        <w:rPr>
          <w:rFonts w:ascii="Arial" w:cs="Arial" w:eastAsia="Arial" w:hAnsi="Arial"/>
          <w:color w:val="595959"/>
          <w:sz w:val="20"/>
          <w:szCs w:val="20"/>
        </w:rPr>
        <w:t xml:space="preserve">Interim Report Deadline: 20 July 2026</w:t>
      </w:r>
    </w:p>
    <w:p>
      <w:r>
        <w:br w:type="page"/>
      </w:r>
    </w:p>
    <w:p>
      <w:pPr>
        <w:spacing w:after="160" w:before="0"/>
      </w:pPr>
      <w:r>
        <w:rPr>
          <w:rFonts w:ascii="Arial" w:cs="Arial" w:eastAsia="Arial" w:hAnsi="Arial"/>
          <w:b/>
          <w:bCs/>
          <w:color w:val="1F3864"/>
          <w:sz w:val="30"/>
          <w:szCs w:val="30"/>
        </w:rPr>
        <w:t xml:space="preserve">Table of Contents — Chapter 3</w:t>
      </w:r>
    </w:p>
    <w:p>
      <w:pPr>
        <w:pBdr>
          <w:bottom w:val="single" w:color="2E75B6" w:sz="6" w:space="1"/>
        </w:pBdr>
        <w:spacing w:after="80" w:before="0"/>
      </w:pPr>
      <w:r>
        <w:t xml:space="preserve"/>
      </w:r>
    </w:p>
    <w:p>
      <w:pPr>
        <w:spacing w:after="60" w:before="60"/>
      </w:pPr>
      <w:r>
        <w:t xml:space="preserve"/>
      </w:r>
    </w:p>
    <w:p>
      <w:pPr>
        <w:tabs>
          <w:tab w:val="right" w:pos="8626" w:leader="dot"/>
        </w:tabs>
        <w:spacing w:after="80" w:before="80"/>
        <w:ind w:left="0"/>
      </w:pPr>
      <w:r>
        <w:rPr>
          <w:rFonts w:ascii="Arial" w:cs="Arial" w:eastAsia="Arial" w:hAnsi="Arial"/>
          <w:b/>
          <w:bCs/>
          <w:color w:val="1F3864"/>
          <w:sz w:val="22"/>
          <w:szCs w:val="22"/>
        </w:rPr>
        <w:t xml:space="preserve">3.1 — Introduction to Chapter 3</w:t>
      </w:r>
      <w:r>
        <w:rPr>
          <w:rFonts w:ascii="Arial" w:cs="Arial" w:eastAsia="Arial" w:hAnsi="Arial"/>
          <w:sz w:val="20"/>
          <w:szCs w:val="20"/>
        </w:rPr>
        <w:t xml:space="preserve">	</w:t>
      </w:r>
      <w:r>
        <w:rPr>
          <w:rFonts w:ascii="Arial" w:cs="Arial" w:eastAsia="Arial" w:hAnsi="Arial"/>
          <w:b/>
          <w:bCs/>
          <w:color w:val="2E75B6"/>
          <w:sz w:val="20"/>
          <w:szCs w:val="20"/>
        </w:rPr>
        <w:t xml:space="preserve">3</w:t>
      </w:r>
    </w:p>
    <w:p>
      <w:pPr>
        <w:tabs>
          <w:tab w:val="right" w:pos="8626" w:leader="dot"/>
        </w:tabs>
        <w:spacing w:after="80" w:before="80"/>
        <w:ind w:left="0"/>
      </w:pPr>
      <w:r>
        <w:rPr>
          <w:rFonts w:ascii="Arial" w:cs="Arial" w:eastAsia="Arial" w:hAnsi="Arial"/>
          <w:b/>
          <w:bCs/>
          <w:color w:val="1F3864"/>
          <w:sz w:val="22"/>
          <w:szCs w:val="22"/>
        </w:rPr>
        <w:t xml:space="preserve">3.2 — Research Methodology — Design Science Research</w:t>
      </w:r>
      <w:r>
        <w:rPr>
          <w:rFonts w:ascii="Arial" w:cs="Arial" w:eastAsia="Arial" w:hAnsi="Arial"/>
          <w:sz w:val="20"/>
          <w:szCs w:val="20"/>
        </w:rPr>
        <w:t xml:space="preserve">	</w:t>
      </w:r>
      <w:r>
        <w:rPr>
          <w:rFonts w:ascii="Arial" w:cs="Arial" w:eastAsia="Arial" w:hAnsi="Arial"/>
          <w:b/>
          <w:bCs/>
          <w:color w:val="2E75B6"/>
          <w:sz w:val="20"/>
          <w:szCs w:val="20"/>
        </w:rPr>
        <w:t xml:space="preserve">3</w:t>
      </w:r>
    </w:p>
    <w:p>
      <w:pPr>
        <w:tabs>
          <w:tab w:val="right" w:pos="8626" w:leader="dot"/>
        </w:tabs>
        <w:spacing w:after="80" w:before="80"/>
        <w:ind w:left="0"/>
      </w:pPr>
      <w:r>
        <w:rPr>
          <w:rFonts w:ascii="Arial" w:cs="Arial" w:eastAsia="Arial" w:hAnsi="Arial"/>
          <w:b/>
          <w:bCs/>
          <w:color w:val="1F3864"/>
          <w:sz w:val="22"/>
          <w:szCs w:val="22"/>
        </w:rPr>
        <w:t xml:space="preserve">3.3 — System Architecture</w:t>
      </w:r>
      <w:r>
        <w:rPr>
          <w:rFonts w:ascii="Arial" w:cs="Arial" w:eastAsia="Arial" w:hAnsi="Arial"/>
          <w:sz w:val="20"/>
          <w:szCs w:val="20"/>
        </w:rPr>
        <w:t xml:space="preserve">	</w:t>
      </w:r>
      <w:r>
        <w:rPr>
          <w:rFonts w:ascii="Arial" w:cs="Arial" w:eastAsia="Arial" w:hAnsi="Arial"/>
          <w:b/>
          <w:bCs/>
          <w:color w:val="2E75B6"/>
          <w:sz w:val="20"/>
          <w:szCs w:val="20"/>
        </w:rPr>
        <w:t xml:space="preserve">4</w:t>
      </w:r>
    </w:p>
    <w:p>
      <w:pPr>
        <w:tabs>
          <w:tab w:val="right" w:pos="8626" w:leader="dot"/>
        </w:tabs>
        <w:spacing w:after="80" w:before="80"/>
        <w:ind w:left="360"/>
      </w:pPr>
      <w:r>
        <w:rPr>
          <w:rFonts w:ascii="Arial" w:cs="Arial" w:eastAsia="Arial" w:hAnsi="Arial"/>
          <w:b w:val="false"/>
          <w:bCs w:val="false"/>
          <w:color w:val="595959"/>
          <w:sz w:val="20"/>
          <w:szCs w:val="20"/>
        </w:rPr>
        <w:t xml:space="preserve">3.3.1 — Module Overview</w:t>
      </w:r>
      <w:r>
        <w:rPr>
          <w:rFonts w:ascii="Arial" w:cs="Arial" w:eastAsia="Arial" w:hAnsi="Arial"/>
          <w:sz w:val="20"/>
          <w:szCs w:val="20"/>
        </w:rPr>
        <w:t xml:space="preserve">	</w:t>
      </w:r>
      <w:r>
        <w:rPr>
          <w:rFonts w:ascii="Arial" w:cs="Arial" w:eastAsia="Arial" w:hAnsi="Arial"/>
          <w:b/>
          <w:bCs/>
          <w:color w:val="2E75B6"/>
          <w:sz w:val="20"/>
          <w:szCs w:val="20"/>
        </w:rPr>
        <w:t xml:space="preserve">4</w:t>
      </w:r>
    </w:p>
    <w:p>
      <w:pPr>
        <w:tabs>
          <w:tab w:val="right" w:pos="8626" w:leader="dot"/>
        </w:tabs>
        <w:spacing w:after="80" w:before="80"/>
        <w:ind w:left="360"/>
      </w:pPr>
      <w:r>
        <w:rPr>
          <w:rFonts w:ascii="Arial" w:cs="Arial" w:eastAsia="Arial" w:hAnsi="Arial"/>
          <w:b w:val="false"/>
          <w:bCs w:val="false"/>
          <w:color w:val="595959"/>
          <w:sz w:val="20"/>
          <w:szCs w:val="20"/>
        </w:rPr>
        <w:t xml:space="preserve">3.3.2 — Data Flow</w:t>
      </w:r>
      <w:r>
        <w:rPr>
          <w:rFonts w:ascii="Arial" w:cs="Arial" w:eastAsia="Arial" w:hAnsi="Arial"/>
          <w:sz w:val="20"/>
          <w:szCs w:val="20"/>
        </w:rPr>
        <w:t xml:space="preserve">	</w:t>
      </w:r>
      <w:r>
        <w:rPr>
          <w:rFonts w:ascii="Arial" w:cs="Arial" w:eastAsia="Arial" w:hAnsi="Arial"/>
          <w:b/>
          <w:bCs/>
          <w:color w:val="2E75B6"/>
          <w:sz w:val="20"/>
          <w:szCs w:val="20"/>
        </w:rPr>
        <w:t xml:space="preserve">4</w:t>
      </w:r>
    </w:p>
    <w:p>
      <w:pPr>
        <w:tabs>
          <w:tab w:val="right" w:pos="8626" w:leader="dot"/>
        </w:tabs>
        <w:spacing w:after="80" w:before="80"/>
        <w:ind w:left="0"/>
      </w:pPr>
      <w:r>
        <w:rPr>
          <w:rFonts w:ascii="Arial" w:cs="Arial" w:eastAsia="Arial" w:hAnsi="Arial"/>
          <w:b/>
          <w:bCs/>
          <w:color w:val="1F3864"/>
          <w:sz w:val="22"/>
          <w:szCs w:val="22"/>
        </w:rPr>
        <w:t xml:space="preserve">3.4 — Emotion-to-Genre Mapping Schema</w:t>
      </w:r>
      <w:r>
        <w:rPr>
          <w:rFonts w:ascii="Arial" w:cs="Arial" w:eastAsia="Arial" w:hAnsi="Arial"/>
          <w:sz w:val="20"/>
          <w:szCs w:val="20"/>
        </w:rPr>
        <w:t xml:space="preserve">	</w:t>
      </w:r>
      <w:r>
        <w:rPr>
          <w:rFonts w:ascii="Arial" w:cs="Arial" w:eastAsia="Arial" w:hAnsi="Arial"/>
          <w:b/>
          <w:bCs/>
          <w:color w:val="2E75B6"/>
          <w:sz w:val="20"/>
          <w:szCs w:val="20"/>
        </w:rPr>
        <w:t xml:space="preserve">5</w:t>
      </w:r>
    </w:p>
    <w:p>
      <w:pPr>
        <w:tabs>
          <w:tab w:val="right" w:pos="8626" w:leader="dot"/>
        </w:tabs>
        <w:spacing w:after="80" w:before="80"/>
        <w:ind w:left="0"/>
      </w:pPr>
      <w:r>
        <w:rPr>
          <w:rFonts w:ascii="Arial" w:cs="Arial" w:eastAsia="Arial" w:hAnsi="Arial"/>
          <w:b/>
          <w:bCs/>
          <w:color w:val="1F3864"/>
          <w:sz w:val="22"/>
          <w:szCs w:val="22"/>
        </w:rPr>
        <w:t xml:space="preserve">3.5 — Dataset Selection and Justification</w:t>
      </w:r>
      <w:r>
        <w:rPr>
          <w:rFonts w:ascii="Arial" w:cs="Arial" w:eastAsia="Arial" w:hAnsi="Arial"/>
          <w:sz w:val="20"/>
          <w:szCs w:val="20"/>
        </w:rPr>
        <w:t xml:space="preserve">	</w:t>
      </w:r>
      <w:r>
        <w:rPr>
          <w:rFonts w:ascii="Arial" w:cs="Arial" w:eastAsia="Arial" w:hAnsi="Arial"/>
          <w:b/>
          <w:bCs/>
          <w:color w:val="2E75B6"/>
          <w:sz w:val="20"/>
          <w:szCs w:val="20"/>
        </w:rPr>
        <w:t xml:space="preserve">5</w:t>
      </w:r>
    </w:p>
    <w:p>
      <w:pPr>
        <w:tabs>
          <w:tab w:val="right" w:pos="8626" w:leader="dot"/>
        </w:tabs>
        <w:spacing w:after="80" w:before="80"/>
        <w:ind w:left="0"/>
      </w:pPr>
      <w:r>
        <w:rPr>
          <w:rFonts w:ascii="Arial" w:cs="Arial" w:eastAsia="Arial" w:hAnsi="Arial"/>
          <w:b/>
          <w:bCs/>
          <w:color w:val="1F3864"/>
          <w:sz w:val="22"/>
          <w:szCs w:val="22"/>
        </w:rPr>
        <w:t xml:space="preserve">3.6 — Technology and Model Selection</w:t>
      </w:r>
      <w:r>
        <w:rPr>
          <w:rFonts w:ascii="Arial" w:cs="Arial" w:eastAsia="Arial" w:hAnsi="Arial"/>
          <w:sz w:val="20"/>
          <w:szCs w:val="20"/>
        </w:rPr>
        <w:t xml:space="preserve">	</w:t>
      </w:r>
      <w:r>
        <w:rPr>
          <w:rFonts w:ascii="Arial" w:cs="Arial" w:eastAsia="Arial" w:hAnsi="Arial"/>
          <w:b/>
          <w:bCs/>
          <w:color w:val="2E75B6"/>
          <w:sz w:val="20"/>
          <w:szCs w:val="20"/>
        </w:rPr>
        <w:t xml:space="preserve">6</w:t>
      </w:r>
    </w:p>
    <w:p>
      <w:pPr>
        <w:tabs>
          <w:tab w:val="right" w:pos="8626" w:leader="dot"/>
        </w:tabs>
        <w:spacing w:after="80" w:before="80"/>
        <w:ind w:left="360"/>
      </w:pPr>
      <w:r>
        <w:rPr>
          <w:rFonts w:ascii="Arial" w:cs="Arial" w:eastAsia="Arial" w:hAnsi="Arial"/>
          <w:b w:val="false"/>
          <w:bCs w:val="false"/>
          <w:color w:val="595959"/>
          <w:sz w:val="20"/>
          <w:szCs w:val="20"/>
        </w:rPr>
        <w:t xml:space="preserve">3.6.1 — NLP Emotion Model — DistilRoBERTa</w:t>
      </w:r>
      <w:r>
        <w:rPr>
          <w:rFonts w:ascii="Arial" w:cs="Arial" w:eastAsia="Arial" w:hAnsi="Arial"/>
          <w:sz w:val="20"/>
          <w:szCs w:val="20"/>
        </w:rPr>
        <w:t xml:space="preserve">	</w:t>
      </w:r>
      <w:r>
        <w:rPr>
          <w:rFonts w:ascii="Arial" w:cs="Arial" w:eastAsia="Arial" w:hAnsi="Arial"/>
          <w:b/>
          <w:bCs/>
          <w:color w:val="2E75B6"/>
          <w:sz w:val="20"/>
          <w:szCs w:val="20"/>
        </w:rPr>
        <w:t xml:space="preserve">6</w:t>
      </w:r>
    </w:p>
    <w:p>
      <w:pPr>
        <w:tabs>
          <w:tab w:val="right" w:pos="8626" w:leader="dot"/>
        </w:tabs>
        <w:spacing w:after="80" w:before="80"/>
        <w:ind w:left="360"/>
      </w:pPr>
      <w:r>
        <w:rPr>
          <w:rFonts w:ascii="Arial" w:cs="Arial" w:eastAsia="Arial" w:hAnsi="Arial"/>
          <w:b w:val="false"/>
          <w:bCs w:val="false"/>
          <w:color w:val="595959"/>
          <w:sz w:val="20"/>
          <w:szCs w:val="20"/>
        </w:rPr>
        <w:t xml:space="preserve">3.6.2 — Facial Expression Recognition — DeepFace</w:t>
      </w:r>
      <w:r>
        <w:rPr>
          <w:rFonts w:ascii="Arial" w:cs="Arial" w:eastAsia="Arial" w:hAnsi="Arial"/>
          <w:sz w:val="20"/>
          <w:szCs w:val="20"/>
        </w:rPr>
        <w:t xml:space="preserve">	</w:t>
      </w:r>
      <w:r>
        <w:rPr>
          <w:rFonts w:ascii="Arial" w:cs="Arial" w:eastAsia="Arial" w:hAnsi="Arial"/>
          <w:b/>
          <w:bCs/>
          <w:color w:val="2E75B6"/>
          <w:sz w:val="20"/>
          <w:szCs w:val="20"/>
        </w:rPr>
        <w:t xml:space="preserve">6</w:t>
      </w:r>
    </w:p>
    <w:p>
      <w:pPr>
        <w:tabs>
          <w:tab w:val="right" w:pos="8626" w:leader="dot"/>
        </w:tabs>
        <w:spacing w:after="80" w:before="80"/>
        <w:ind w:left="360"/>
      </w:pPr>
      <w:r>
        <w:rPr>
          <w:rFonts w:ascii="Arial" w:cs="Arial" w:eastAsia="Arial" w:hAnsi="Arial"/>
          <w:b w:val="false"/>
          <w:bCs w:val="false"/>
          <w:color w:val="595959"/>
          <w:sz w:val="20"/>
          <w:szCs w:val="20"/>
        </w:rPr>
        <w:t xml:space="preserve">3.6.3 — Recommendation Engine — Scikit-Surprise SVD</w:t>
      </w:r>
      <w:r>
        <w:rPr>
          <w:rFonts w:ascii="Arial" w:cs="Arial" w:eastAsia="Arial" w:hAnsi="Arial"/>
          <w:sz w:val="20"/>
          <w:szCs w:val="20"/>
        </w:rPr>
        <w:t xml:space="preserve">	</w:t>
      </w:r>
      <w:r>
        <w:rPr>
          <w:rFonts w:ascii="Arial" w:cs="Arial" w:eastAsia="Arial" w:hAnsi="Arial"/>
          <w:b/>
          <w:bCs/>
          <w:color w:val="2E75B6"/>
          <w:sz w:val="20"/>
          <w:szCs w:val="20"/>
        </w:rPr>
        <w:t xml:space="preserve">6</w:t>
      </w:r>
    </w:p>
    <w:p>
      <w:pPr>
        <w:tabs>
          <w:tab w:val="right" w:pos="8626" w:leader="dot"/>
        </w:tabs>
        <w:spacing w:after="80" w:before="80"/>
        <w:ind w:left="360"/>
      </w:pPr>
      <w:r>
        <w:rPr>
          <w:rFonts w:ascii="Arial" w:cs="Arial" w:eastAsia="Arial" w:hAnsi="Arial"/>
          <w:b w:val="false"/>
          <w:bCs w:val="false"/>
          <w:color w:val="595959"/>
          <w:sz w:val="20"/>
          <w:szCs w:val="20"/>
        </w:rPr>
        <w:t xml:space="preserve">3.6.4 — Explanation Generator — Google Gemini API</w:t>
      </w:r>
      <w:r>
        <w:rPr>
          <w:rFonts w:ascii="Arial" w:cs="Arial" w:eastAsia="Arial" w:hAnsi="Arial"/>
          <w:sz w:val="20"/>
          <w:szCs w:val="20"/>
        </w:rPr>
        <w:t xml:space="preserve">	</w:t>
      </w:r>
      <w:r>
        <w:rPr>
          <w:rFonts w:ascii="Arial" w:cs="Arial" w:eastAsia="Arial" w:hAnsi="Arial"/>
          <w:b/>
          <w:bCs/>
          <w:color w:val="2E75B6"/>
          <w:sz w:val="20"/>
          <w:szCs w:val="20"/>
        </w:rPr>
        <w:t xml:space="preserve">7</w:t>
      </w:r>
    </w:p>
    <w:p>
      <w:pPr>
        <w:tabs>
          <w:tab w:val="right" w:pos="8626" w:leader="dot"/>
        </w:tabs>
        <w:spacing w:after="80" w:before="80"/>
        <w:ind w:left="0"/>
      </w:pPr>
      <w:r>
        <w:rPr>
          <w:rFonts w:ascii="Arial" w:cs="Arial" w:eastAsia="Arial" w:hAnsi="Arial"/>
          <w:b/>
          <w:bCs/>
          <w:color w:val="1F3864"/>
          <w:sz w:val="22"/>
          <w:szCs w:val="22"/>
        </w:rPr>
        <w:t xml:space="preserve">3.7 — Evaluation Framework</w:t>
      </w:r>
      <w:r>
        <w:rPr>
          <w:rFonts w:ascii="Arial" w:cs="Arial" w:eastAsia="Arial" w:hAnsi="Arial"/>
          <w:sz w:val="20"/>
          <w:szCs w:val="20"/>
        </w:rPr>
        <w:t xml:space="preserve">	</w:t>
      </w:r>
      <w:r>
        <w:rPr>
          <w:rFonts w:ascii="Arial" w:cs="Arial" w:eastAsia="Arial" w:hAnsi="Arial"/>
          <w:b/>
          <w:bCs/>
          <w:color w:val="2E75B6"/>
          <w:sz w:val="20"/>
          <w:szCs w:val="20"/>
        </w:rPr>
        <w:t xml:space="preserve">7</w:t>
      </w:r>
    </w:p>
    <w:p>
      <w:pPr>
        <w:tabs>
          <w:tab w:val="right" w:pos="8626" w:leader="dot"/>
        </w:tabs>
        <w:spacing w:after="80" w:before="80"/>
        <w:ind w:left="360"/>
      </w:pPr>
      <w:r>
        <w:rPr>
          <w:rFonts w:ascii="Arial" w:cs="Arial" w:eastAsia="Arial" w:hAnsi="Arial"/>
          <w:b w:val="false"/>
          <w:bCs w:val="false"/>
          <w:color w:val="595959"/>
          <w:sz w:val="20"/>
          <w:szCs w:val="20"/>
        </w:rPr>
        <w:t xml:space="preserve">3.7.1 — Quantitative Metrics</w:t>
      </w:r>
      <w:r>
        <w:rPr>
          <w:rFonts w:ascii="Arial" w:cs="Arial" w:eastAsia="Arial" w:hAnsi="Arial"/>
          <w:sz w:val="20"/>
          <w:szCs w:val="20"/>
        </w:rPr>
        <w:t xml:space="preserve">	</w:t>
      </w:r>
      <w:r>
        <w:rPr>
          <w:rFonts w:ascii="Arial" w:cs="Arial" w:eastAsia="Arial" w:hAnsi="Arial"/>
          <w:b/>
          <w:bCs/>
          <w:color w:val="2E75B6"/>
          <w:sz w:val="20"/>
          <w:szCs w:val="20"/>
        </w:rPr>
        <w:t xml:space="preserve">7</w:t>
      </w:r>
    </w:p>
    <w:p>
      <w:pPr>
        <w:tabs>
          <w:tab w:val="right" w:pos="8626" w:leader="dot"/>
        </w:tabs>
        <w:spacing w:after="80" w:before="80"/>
        <w:ind w:left="360"/>
      </w:pPr>
      <w:r>
        <w:rPr>
          <w:rFonts w:ascii="Arial" w:cs="Arial" w:eastAsia="Arial" w:hAnsi="Arial"/>
          <w:b w:val="false"/>
          <w:bCs w:val="false"/>
          <w:color w:val="595959"/>
          <w:sz w:val="20"/>
          <w:szCs w:val="20"/>
        </w:rPr>
        <w:t xml:space="preserve">3.7.2 — User Study Design</w:t>
      </w:r>
      <w:r>
        <w:rPr>
          <w:rFonts w:ascii="Arial" w:cs="Arial" w:eastAsia="Arial" w:hAnsi="Arial"/>
          <w:sz w:val="20"/>
          <w:szCs w:val="20"/>
        </w:rPr>
        <w:t xml:space="preserve">	</w:t>
      </w:r>
      <w:r>
        <w:rPr>
          <w:rFonts w:ascii="Arial" w:cs="Arial" w:eastAsia="Arial" w:hAnsi="Arial"/>
          <w:b/>
          <w:bCs/>
          <w:color w:val="2E75B6"/>
          <w:sz w:val="20"/>
          <w:szCs w:val="20"/>
        </w:rPr>
        <w:t xml:space="preserve">8</w:t>
      </w:r>
    </w:p>
    <w:p>
      <w:pPr>
        <w:tabs>
          <w:tab w:val="right" w:pos="8626" w:leader="dot"/>
        </w:tabs>
        <w:spacing w:after="80" w:before="80"/>
        <w:ind w:left="360"/>
      </w:pPr>
      <w:r>
        <w:rPr>
          <w:rFonts w:ascii="Arial" w:cs="Arial" w:eastAsia="Arial" w:hAnsi="Arial"/>
          <w:b w:val="false"/>
          <w:bCs w:val="false"/>
          <w:color w:val="595959"/>
          <w:sz w:val="20"/>
          <w:szCs w:val="20"/>
        </w:rPr>
        <w:t xml:space="preserve">3.7.3 — Statistical Analysis</w:t>
      </w:r>
      <w:r>
        <w:rPr>
          <w:rFonts w:ascii="Arial" w:cs="Arial" w:eastAsia="Arial" w:hAnsi="Arial"/>
          <w:sz w:val="20"/>
          <w:szCs w:val="20"/>
        </w:rPr>
        <w:t xml:space="preserve">	</w:t>
      </w:r>
      <w:r>
        <w:rPr>
          <w:rFonts w:ascii="Arial" w:cs="Arial" w:eastAsia="Arial" w:hAnsi="Arial"/>
          <w:b/>
          <w:bCs/>
          <w:color w:val="2E75B6"/>
          <w:sz w:val="20"/>
          <w:szCs w:val="20"/>
        </w:rPr>
        <w:t xml:space="preserve">8</w:t>
      </w:r>
    </w:p>
    <w:p>
      <w:pPr>
        <w:tabs>
          <w:tab w:val="right" w:pos="8626" w:leader="dot"/>
        </w:tabs>
        <w:spacing w:after="80" w:before="80"/>
        <w:ind w:left="0"/>
      </w:pPr>
      <w:r>
        <w:rPr>
          <w:rFonts w:ascii="Arial" w:cs="Arial" w:eastAsia="Arial" w:hAnsi="Arial"/>
          <w:b/>
          <w:bCs/>
          <w:color w:val="1F3864"/>
          <w:sz w:val="22"/>
          <w:szCs w:val="22"/>
        </w:rPr>
        <w:t xml:space="preserve">3.8 — Ethical Considerations</w:t>
      </w:r>
      <w:r>
        <w:rPr>
          <w:rFonts w:ascii="Arial" w:cs="Arial" w:eastAsia="Arial" w:hAnsi="Arial"/>
          <w:sz w:val="20"/>
          <w:szCs w:val="20"/>
        </w:rPr>
        <w:t xml:space="preserve">	</w:t>
      </w:r>
      <w:r>
        <w:rPr>
          <w:rFonts w:ascii="Arial" w:cs="Arial" w:eastAsia="Arial" w:hAnsi="Arial"/>
          <w:b/>
          <w:bCs/>
          <w:color w:val="2E75B6"/>
          <w:sz w:val="20"/>
          <w:szCs w:val="20"/>
        </w:rPr>
        <w:t xml:space="preserve">8</w:t>
      </w:r>
    </w:p>
    <w:p>
      <w:pPr>
        <w:tabs>
          <w:tab w:val="right" w:pos="8626" w:leader="dot"/>
        </w:tabs>
        <w:spacing w:after="80" w:before="80"/>
        <w:ind w:left="0"/>
      </w:pPr>
      <w:r>
        <w:rPr>
          <w:rFonts w:ascii="Arial" w:cs="Arial" w:eastAsia="Arial" w:hAnsi="Arial"/>
          <w:b/>
          <w:bCs/>
          <w:color w:val="1F3864"/>
          <w:sz w:val="22"/>
          <w:szCs w:val="22"/>
        </w:rPr>
        <w:t xml:space="preserve">3.9 — Risk Register</w:t>
      </w:r>
      <w:r>
        <w:rPr>
          <w:rFonts w:ascii="Arial" w:cs="Arial" w:eastAsia="Arial" w:hAnsi="Arial"/>
          <w:sz w:val="20"/>
          <w:szCs w:val="20"/>
        </w:rPr>
        <w:t xml:space="preserve">	</w:t>
      </w:r>
      <w:r>
        <w:rPr>
          <w:rFonts w:ascii="Arial" w:cs="Arial" w:eastAsia="Arial" w:hAnsi="Arial"/>
          <w:b/>
          <w:bCs/>
          <w:color w:val="2E75B6"/>
          <w:sz w:val="20"/>
          <w:szCs w:val="20"/>
        </w:rPr>
        <w:t xml:space="preserve">9</w:t>
      </w:r>
    </w:p>
    <w:p>
      <w:pPr>
        <w:tabs>
          <w:tab w:val="right" w:pos="8626" w:leader="dot"/>
        </w:tabs>
        <w:spacing w:after="80" w:before="80"/>
        <w:ind w:left="0"/>
      </w:pPr>
      <w:r>
        <w:rPr>
          <w:rFonts w:ascii="Arial" w:cs="Arial" w:eastAsia="Arial" w:hAnsi="Arial"/>
          <w:b/>
          <w:bCs/>
          <w:color w:val="1F3864"/>
          <w:sz w:val="22"/>
          <w:szCs w:val="22"/>
        </w:rPr>
        <w:t xml:space="preserve">3.10 — Chapter Summary</w:t>
      </w:r>
      <w:r>
        <w:rPr>
          <w:rFonts w:ascii="Arial" w:cs="Arial" w:eastAsia="Arial" w:hAnsi="Arial"/>
          <w:sz w:val="20"/>
          <w:szCs w:val="20"/>
        </w:rPr>
        <w:t xml:space="preserve">	</w:t>
      </w:r>
      <w:r>
        <w:rPr>
          <w:rFonts w:ascii="Arial" w:cs="Arial" w:eastAsia="Arial" w:hAnsi="Arial"/>
          <w:b/>
          <w:bCs/>
          <w:color w:val="2E75B6"/>
          <w:sz w:val="20"/>
          <w:szCs w:val="20"/>
        </w:rPr>
        <w:t xml:space="preserve">9</w:t>
      </w:r>
    </w:p>
    <w:p>
      <w:pPr>
        <w:tabs>
          <w:tab w:val="right" w:pos="8626" w:leader="dot"/>
        </w:tabs>
        <w:spacing w:after="80" w:before="80"/>
        <w:ind w:left="0"/>
      </w:pPr>
      <w:r>
        <w:rPr>
          <w:rFonts w:ascii="Arial" w:cs="Arial" w:eastAsia="Arial" w:hAnsi="Arial"/>
          <w:b/>
          <w:bCs/>
          <w:color w:val="1F3864"/>
          <w:sz w:val="22"/>
          <w:szCs w:val="22"/>
        </w:rPr>
        <w:t xml:space="preserve">References</w:t>
      </w:r>
      <w:r>
        <w:rPr>
          <w:rFonts w:ascii="Arial" w:cs="Arial" w:eastAsia="Arial" w:hAnsi="Arial"/>
          <w:sz w:val="20"/>
          <w:szCs w:val="20"/>
        </w:rPr>
        <w:t xml:space="preserve">	</w:t>
      </w:r>
      <w:r>
        <w:rPr>
          <w:rFonts w:ascii="Arial" w:cs="Arial" w:eastAsia="Arial" w:hAnsi="Arial"/>
          <w:b/>
          <w:bCs/>
          <w:color w:val="2E75B6"/>
          <w:sz w:val="20"/>
          <w:szCs w:val="20"/>
        </w:rPr>
        <w:t xml:space="preserve">10</w:t>
      </w:r>
    </w:p>
    <w:p>
      <w:pPr>
        <w:spacing w:after="60" w:before="60"/>
      </w:pPr>
      <w:r>
        <w:t xml:space="preserve"/>
      </w:r>
    </w:p>
    <w:p>
      <w:r>
        <w:br w:type="page"/>
      </w:r>
    </w:p>
    <w:p>
      <w:pPr>
        <w:pStyle w:val="Heading1"/>
        <w:spacing w:after="240" w:before="480"/>
      </w:pPr>
      <w:r>
        <w:rPr>
          <w:rFonts w:ascii="Arial" w:cs="Arial" w:eastAsia="Arial" w:hAnsi="Arial"/>
          <w:b/>
          <w:bCs/>
          <w:color w:val="1F3864"/>
          <w:sz w:val="32"/>
          <w:szCs w:val="32"/>
        </w:rPr>
        <w:t xml:space="preserve">Chapter 3: Methodology</w:t>
      </w:r>
    </w:p>
    <w:p>
      <w:pPr>
        <w:pStyle w:val="Heading2"/>
        <w:spacing w:after="180" w:before="360"/>
      </w:pPr>
      <w:r>
        <w:rPr>
          <w:rFonts w:ascii="Arial" w:cs="Arial" w:eastAsia="Arial" w:hAnsi="Arial"/>
          <w:b/>
          <w:bCs/>
          <w:color w:val="2E75B6"/>
          <w:sz w:val="26"/>
          <w:szCs w:val="26"/>
        </w:rPr>
        <w:t xml:space="preserve">3.1  Introduction to Chapter 3</w:t>
      </w:r>
    </w:p>
    <w:p>
      <w:pPr>
        <w:spacing w:after="140" w:before="140" w:line="360" w:lineRule="auto"/>
        <w:jc w:val="both"/>
      </w:pPr>
      <w:r>
        <w:rPr>
          <w:rFonts w:ascii="Times New Roman" w:cs="Times New Roman" w:eastAsia="Times New Roman" w:hAnsi="Times New Roman"/>
          <w:sz w:val="24"/>
          <w:szCs w:val="24"/>
        </w:rPr>
        <w:t xml:space="preserve">This chapter presents the research methodology underpinning MoodCine, justifying the overarching research paradigm, system architecture decisions, technology selections, evaluation framework, and ethical considerations. Each methodological decision is grounded in the literature reviewed in Chapter 2 and in the specific requirements of the research question established in Chapter 1. The chapter proceeds from the macro level — the research paradigm — through the meso level — system design and technology selection — to the micro level — evaluation metrics and statistical analysis methods.</w:t>
      </w:r>
    </w:p>
    <w:p>
      <w:pPr>
        <w:spacing w:after="60" w:before="60"/>
      </w:pPr>
      <w:r>
        <w:t xml:space="preserve"/>
      </w:r>
    </w:p>
    <w:p>
      <w:pPr>
        <w:pStyle w:val="Heading2"/>
        <w:spacing w:after="180" w:before="360"/>
      </w:pPr>
      <w:r>
        <w:rPr>
          <w:rFonts w:ascii="Arial" w:cs="Arial" w:eastAsia="Arial" w:hAnsi="Arial"/>
          <w:b/>
          <w:bCs/>
          <w:color w:val="2E75B6"/>
          <w:sz w:val="26"/>
          <w:szCs w:val="26"/>
        </w:rPr>
        <w:t xml:space="preserve">3.2  Research Methodology — Design Science Research</w:t>
      </w:r>
    </w:p>
    <w:p>
      <w:pPr>
        <w:spacing w:after="140" w:before="140" w:line="360" w:lineRule="auto"/>
        <w:jc w:val="both"/>
      </w:pPr>
      <w:r>
        <w:rPr>
          <w:rFonts w:ascii="Times New Roman" w:cs="Times New Roman" w:eastAsia="Times New Roman" w:hAnsi="Times New Roman"/>
          <w:sz w:val="24"/>
          <w:szCs w:val="24"/>
        </w:rPr>
        <w:t xml:space="preserve">MoodCine adopts Design Science Research (DSR) as its overarching research methodology, following the framework established by Hevner et al. (2004). DSR is a research paradigm in which the primary research contribution takes the form of a novel artefact — a construct, model, method, or instantiation — that is both designed to address a specific practical problem and rigorously evaluated to generate knowledge applicable beyond the immediate context.</w:t>
      </w:r>
    </w:p>
    <w:p>
      <w:pPr>
        <w:spacing w:after="140" w:before="140" w:line="360" w:lineRule="auto"/>
        <w:jc w:val="both"/>
      </w:pPr>
      <w:r>
        <w:rPr>
          <w:rFonts w:ascii="Times New Roman" w:cs="Times New Roman" w:eastAsia="Times New Roman" w:hAnsi="Times New Roman"/>
          <w:sz w:val="24"/>
          <w:szCs w:val="24"/>
        </w:rPr>
        <w:t xml:space="preserve">Hevner et al. (2004) articulate seven guidelines for rigorous DSR: the research must produce a viable artefact; the artefact must address a relevant problem; the utility of the artefact must be evaluated rigorously; the artefact must make a clear contribution to knowledge; the artefact must be constructed using rigorous methods; the design process must be iterative; and the research must be communicated effectively to both technical and managerial audiences. MoodCine satisfies all seven of these guidelines: it produces a working software artefact (the recommendation system), addresses the clearly relevant problem of context-blind recommendation, evaluates utility through a comparative user study and quantitative metrics, contributes novel knowledge about the value of multi-modal emotion fusion in recommendation, is constructed using established machine learning and software engineering methods, employs an iterative development process aligned with Agile sprint methodology, and is communicated through this dissertation.</w:t>
      </w:r>
    </w:p>
    <w:p>
      <w:pPr>
        <w:spacing w:after="140" w:before="140" w:line="360" w:lineRule="auto"/>
        <w:jc w:val="both"/>
      </w:pPr>
      <w:r>
        <w:rPr>
          <w:rFonts w:ascii="Times New Roman" w:cs="Times New Roman" w:eastAsia="Times New Roman" w:hAnsi="Times New Roman"/>
          <w:sz w:val="24"/>
          <w:szCs w:val="24"/>
        </w:rPr>
        <w:t xml:space="preserve">DSR is chosen over alternative research paradigms — such as pure experimental research or survey-based research — because the central research question requires building a system to answer it. The question of whether multi-modal emotion fusion improves recommendation quality cannot be answered without first designing and implementing a system that performs multi-modal emotion fusion. DSR legitimises this build-to-investigate approach and provides a framework for ensuring that the implementation is conducted with the rigour expected of academic research.</w:t>
      </w:r>
    </w:p>
    <w:p>
      <w:pPr>
        <w:spacing w:after="60" w:before="60"/>
      </w:pPr>
      <w:r>
        <w:t xml:space="preserve"/>
      </w:r>
    </w:p>
    <w:p>
      <w:pPr>
        <w:pStyle w:val="Heading2"/>
        <w:spacing w:after="180" w:before="360"/>
      </w:pPr>
      <w:r>
        <w:rPr>
          <w:rFonts w:ascii="Arial" w:cs="Arial" w:eastAsia="Arial" w:hAnsi="Arial"/>
          <w:b/>
          <w:bCs/>
          <w:color w:val="2E75B6"/>
          <w:sz w:val="26"/>
          <w:szCs w:val="26"/>
        </w:rPr>
        <w:t xml:space="preserve">3.3  System Architecture</w:t>
      </w:r>
    </w:p>
    <w:p>
      <w:pPr>
        <w:pStyle w:val="Heading3"/>
        <w:spacing w:after="120" w:before="240"/>
      </w:pPr>
      <w:r>
        <w:rPr>
          <w:rFonts w:ascii="Arial" w:cs="Arial" w:eastAsia="Arial" w:hAnsi="Arial"/>
          <w:b/>
          <w:bCs/>
          <w:color w:val="2E75B6"/>
          <w:sz w:val="22"/>
          <w:szCs w:val="22"/>
        </w:rPr>
        <w:t xml:space="preserve">3.3.1  Module Overview</w:t>
      </w:r>
    </w:p>
    <w:p>
      <w:pPr>
        <w:spacing w:after="140" w:before="140" w:line="360" w:lineRule="auto"/>
        <w:jc w:val="both"/>
      </w:pPr>
      <w:r>
        <w:rPr>
          <w:rFonts w:ascii="Times New Roman" w:cs="Times New Roman" w:eastAsia="Times New Roman" w:hAnsi="Times New Roman"/>
          <w:sz w:val="24"/>
          <w:szCs w:val="24"/>
        </w:rPr>
        <w:t xml:space="preserve">MoodCine is structured as a modular pipeline comprising eight interconnected components, each independently testable and replaceable. This modularity is a deliberate architectural decision that serves both practical and academic purposes: it enables individual modules to be evaluated in isolation (supporting the unimodal comparison conditions in the evaluation framework) and it facilitates iterative development in which higher-complexity modules can be integrated progressively without disrupting existing functionality.</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000"/>
        <w:gridCol w:w="3326"/>
      </w:tblGrid>
      <w:tr>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ID</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Module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Technology</w:t>
            </w:r>
          </w:p>
        </w:tc>
        <w:tc>
          <w:tcPr>
            <w:tcW w:type="dxa" w:w="33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Purpose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M1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React.js Frontend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React.js</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User interface — mood input, webcam, results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M2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FastAPI Backend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Python FastAPI</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API routing, session, business logic</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M3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NLP Emotion Module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HuggingFace DistilRoBERTa</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Text-based emotion classification</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M4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FER Emotion Module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DeepFace library</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Webcam facial expression recognition</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M5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Emotion Fusion Layer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Python (weighted avg)</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Combine NLP + FER scores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M6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Hybrid Recommender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Scikit-Surprise SVD + CBF</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Generate ranked movie recommendations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M7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Explanation Generator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Google Gemini API</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Mood-contextual explanation per film</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M8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PostgreSQL Database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PostgreSQL 18</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Persist all data — users, ratings, emotions</w:t>
            </w:r>
          </w:p>
        </w:tc>
      </w:tr>
    </w:tbl>
    <w:p>
      <w:pPr>
        <w:spacing w:after="60" w:before="60"/>
      </w:pPr>
      <w:r>
        <w:t xml:space="preserve"/>
      </w:r>
    </w:p>
    <w:p>
      <w:pPr>
        <w:pStyle w:val="Heading3"/>
        <w:spacing w:after="120" w:before="240"/>
      </w:pPr>
      <w:r>
        <w:rPr>
          <w:rFonts w:ascii="Arial" w:cs="Arial" w:eastAsia="Arial" w:hAnsi="Arial"/>
          <w:b/>
          <w:bCs/>
          <w:color w:val="2E75B6"/>
          <w:sz w:val="22"/>
          <w:szCs w:val="22"/>
        </w:rPr>
        <w:t xml:space="preserve">3.3.2  Data Flow</w:t>
      </w:r>
    </w:p>
    <w:p>
      <w:pPr>
        <w:spacing w:after="140" w:before="140" w:line="360" w:lineRule="auto"/>
        <w:jc w:val="both"/>
      </w:pPr>
      <w:r>
        <w:rPr>
          <w:rFonts w:ascii="Times New Roman" w:cs="Times New Roman" w:eastAsia="Times New Roman" w:hAnsi="Times New Roman"/>
          <w:sz w:val="24"/>
          <w:szCs w:val="24"/>
        </w:rPr>
        <w:t xml:space="preserve">The system data flow proceeds as follows. The user enters a mood description via the React frontend (M1), which transmits the text — and optionally a webcam frame — to the FastAPI backend (M2). The backend dispatches the text to the NLP module (M3), which returns a probability distribution across seven emotion categories. If a webcam frame is available, it is simultaneously processed by the FER module (M4), which returns a second probability distribution. The fusion layer (M5) combines these distributions using configurable weights (default: NLP 60%, FER 40%) to produce a single fused emotion vector. The dominant emotion is then mapped to a set of target film genres and tonal attributes using the Plutchik-grounded mapping schema. The hybrid recommender (M6) filters the MovieLens 100K catalogue by matched genres and ranks the filtered candidates using SVD-predicted user ratings. The top five recommendations are passed to the explanation generator (M7), which calls the Gemini API to produce a mood-contextual explanation for each film. All interaction data — the mood input, detected emotions, recommendations generated, and mode used — are persisted to the PostgreSQL database (M8) for analysis during the evaluation phase.</w:t>
      </w:r>
    </w:p>
    <w:p>
      <w:pPr>
        <w:spacing w:after="60" w:before="60"/>
      </w:pPr>
      <w:r>
        <w:t xml:space="preserve"/>
      </w:r>
    </w:p>
    <w:p>
      <w:pPr>
        <w:pStyle w:val="Heading2"/>
        <w:spacing w:after="180" w:before="360"/>
      </w:pPr>
      <w:r>
        <w:rPr>
          <w:rFonts w:ascii="Arial" w:cs="Arial" w:eastAsia="Arial" w:hAnsi="Arial"/>
          <w:b/>
          <w:bCs/>
          <w:color w:val="2E75B6"/>
          <w:sz w:val="26"/>
          <w:szCs w:val="26"/>
        </w:rPr>
        <w:t xml:space="preserve">3.4  Emotion-to-Genre Mapping Schema</w:t>
      </w:r>
    </w:p>
    <w:p>
      <w:pPr>
        <w:spacing w:after="140" w:before="140" w:line="360" w:lineRule="auto"/>
        <w:jc w:val="both"/>
      </w:pPr>
      <w:r>
        <w:rPr>
          <w:rFonts w:ascii="Times New Roman" w:cs="Times New Roman" w:eastAsia="Times New Roman" w:hAnsi="Times New Roman"/>
          <w:sz w:val="24"/>
          <w:szCs w:val="24"/>
        </w:rPr>
        <w:t xml:space="preserve">A critical methodological contribution of MoodCine is its emotion-to-film-attribute mapping schema, which determines which film genres, tones, and pacing attributes are associated with each detected emotion category. This mapping is grounded in Plutchik's (1980) psychoevolutionary model of emotion, ensuring that the association between emotional states and content attributes is theoretically defensible rather than arbitrarily defined.</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400"/>
        <w:gridCol w:w="2426"/>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Emotion</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Film Genres</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Tone</w:t>
            </w:r>
          </w:p>
        </w:tc>
        <w:tc>
          <w:tcPr>
            <w:tcW w:type="dxa" w:w="24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Pacing</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Joy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Comedy, Animation, Musical, Children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Uplifting, cheerful</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Fast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Sadness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Drama, Romance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Emotional, cathartic</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Slow</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Anger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Action, Thriller, Crime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Intense, confrontational</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Fast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Fear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Horror, Thriller, Mystery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Tense, suspenseful</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Moderate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Surprise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Mystery, Sci-Fi, Adventure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Mind-bending, unexpected</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Fast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Disgust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Documentary, Crime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Gritty, realistic</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Moderate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Neutral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Drama, Comedy, Documentary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Balanced</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Moderate</w:t>
            </w:r>
          </w:p>
        </w:tc>
      </w:tr>
    </w:tbl>
    <w:p>
      <w:pPr>
        <w:spacing w:after="60" w:before="60"/>
      </w:pPr>
      <w:r>
        <w:t xml:space="preserve"/>
      </w:r>
    </w:p>
    <w:p>
      <w:pPr>
        <w:spacing w:after="140" w:before="140" w:line="360" w:lineRule="auto"/>
        <w:jc w:val="both"/>
      </w:pPr>
      <w:r>
        <w:rPr>
          <w:rFonts w:ascii="Times New Roman" w:cs="Times New Roman" w:eastAsia="Times New Roman" w:hAnsi="Times New Roman"/>
          <w:sz w:val="24"/>
          <w:szCs w:val="24"/>
        </w:rPr>
        <w:t xml:space="preserve">The mapping was constructed by cross-referencing Plutchik's (1980) descriptions of each emotion's evolutionary function and characteristic subjective qualities with established genre theory in film studies. For example, fear — characterised by Plutchik as the response to threat, preparing the organism for protective action — maps to Horror and Thriller genres that externalise and contain the threatening stimulus, providing the viewer with a controlled context in which to experience and process anxious affect. The mapping is intentionally coarse-grained at the genre level, with finer-grained tonal and pacing attributes providing secondary signals for future extension of the ranking algorithm.</w:t>
      </w:r>
    </w:p>
    <w:p>
      <w:pPr>
        <w:spacing w:after="60" w:before="60"/>
      </w:pPr>
      <w:r>
        <w:t xml:space="preserve"/>
      </w:r>
    </w:p>
    <w:p>
      <w:pPr>
        <w:pStyle w:val="Heading2"/>
        <w:spacing w:after="180" w:before="360"/>
      </w:pPr>
      <w:r>
        <w:rPr>
          <w:rFonts w:ascii="Arial" w:cs="Arial" w:eastAsia="Arial" w:hAnsi="Arial"/>
          <w:b/>
          <w:bCs/>
          <w:color w:val="2E75B6"/>
          <w:sz w:val="26"/>
          <w:szCs w:val="26"/>
        </w:rPr>
        <w:t xml:space="preserve">3.5  Dataset Selection and Justification</w:t>
      </w:r>
    </w:p>
    <w:p>
      <w:pPr>
        <w:spacing w:after="140" w:before="140" w:line="360" w:lineRule="auto"/>
        <w:jc w:val="both"/>
      </w:pPr>
      <w:r>
        <w:rPr>
          <w:rFonts w:ascii="Times New Roman" w:cs="Times New Roman" w:eastAsia="Times New Roman" w:hAnsi="Times New Roman"/>
          <w:sz w:val="24"/>
          <w:szCs w:val="24"/>
        </w:rPr>
        <w:t xml:space="preserve">MoodCine uses the MovieLens 100K dataset as its primary recommendation dataset, as documented by Harper and Konstan (2015). This selection is justified on four grounds. First, MovieLens 100K is the most widely used benchmark dataset in the recommender systems literature, enabling direct comparison of MoodCine's SVD performance with published baselines. Second, the dataset is freely and openly available, ensuring that the research is fully reproducible by other researchers. Third, the dataset's size — 100,000 ratings from 943 users across 1,682 movies — is sufficient to train a robust SVD collaborative filtering model while remaining computationally tractable on commodity hardware without GPU acceleration. Fourth, the movie catalogue, spanning diverse genres from the 1920s to the late 1990s, provides sufficient genre coverage to demonstrate meaningful variation in emotion-driven recommendations across all seven emotion categories.</w:t>
      </w:r>
    </w:p>
    <w:p>
      <w:pPr>
        <w:spacing w:after="140" w:before="140" w:line="360" w:lineRule="auto"/>
        <w:jc w:val="both"/>
      </w:pPr>
      <w:r>
        <w:rPr>
          <w:rFonts w:ascii="Times New Roman" w:cs="Times New Roman" w:eastAsia="Times New Roman" w:hAnsi="Times New Roman"/>
          <w:sz w:val="24"/>
          <w:szCs w:val="24"/>
        </w:rPr>
        <w:t xml:space="preserve">An acknowledged limitation of this dataset selection is the temporal gap between the data collection period (1994–1998) and the present research context: contemporary viewing preferences, the emergence of streaming-native content, and shifts in cinematic genre conventions are not reflected in MovieLens 100K. For the purposes of this research — which is primarily concerned with demonstrating the comparative value of emotion-driven over emotion-agnostic recommendation within a controlled experimental setting — this temporal limitation is acceptable. A production deployment of MoodCine would require a more current dataset, such as MovieLens 25M or a proprietary streaming platform catalogue.</w:t>
      </w:r>
    </w:p>
    <w:p>
      <w:pPr>
        <w:spacing w:after="140" w:before="140" w:line="360" w:lineRule="auto"/>
        <w:jc w:val="both"/>
      </w:pPr>
      <w:r>
        <w:rPr>
          <w:rFonts w:ascii="Times New Roman" w:cs="Times New Roman" w:eastAsia="Times New Roman" w:hAnsi="Times New Roman"/>
          <w:sz w:val="24"/>
          <w:szCs w:val="24"/>
        </w:rPr>
        <w:t xml:space="preserve">Movie metadata — including poster images, plot overviews, and cast information for display in the frontend — is supplemented through the TMDB (The Movie Database) API, which provides freely accessible, current metadata for the films in the MovieLens catalogue. This enrichment does not affect the recommendation algorithm, which operates on the MovieLens rating data, but substantially improves the user-facing presentation quality.</w:t>
      </w:r>
    </w:p>
    <w:p>
      <w:pPr>
        <w:spacing w:after="60" w:before="60"/>
      </w:pPr>
      <w:r>
        <w:t xml:space="preserve"/>
      </w:r>
    </w:p>
    <w:p>
      <w:pPr>
        <w:pStyle w:val="Heading2"/>
        <w:spacing w:after="180" w:before="360"/>
      </w:pPr>
      <w:r>
        <w:rPr>
          <w:rFonts w:ascii="Arial" w:cs="Arial" w:eastAsia="Arial" w:hAnsi="Arial"/>
          <w:b/>
          <w:bCs/>
          <w:color w:val="2E75B6"/>
          <w:sz w:val="26"/>
          <w:szCs w:val="26"/>
        </w:rPr>
        <w:t xml:space="preserve">3.6  Technology and Model Selection</w:t>
      </w:r>
    </w:p>
    <w:p>
      <w:pPr>
        <w:pStyle w:val="Heading3"/>
        <w:spacing w:after="120" w:before="240"/>
      </w:pPr>
      <w:r>
        <w:rPr>
          <w:rFonts w:ascii="Arial" w:cs="Arial" w:eastAsia="Arial" w:hAnsi="Arial"/>
          <w:b/>
          <w:bCs/>
          <w:color w:val="2E75B6"/>
          <w:sz w:val="22"/>
          <w:szCs w:val="22"/>
        </w:rPr>
        <w:t xml:space="preserve">3.6.1  NLP Emotion Model — DistilRoBERTa</w:t>
      </w:r>
    </w:p>
    <w:p>
      <w:pPr>
        <w:spacing w:after="140" w:before="140" w:line="360" w:lineRule="auto"/>
        <w:jc w:val="both"/>
      </w:pPr>
      <w:r>
        <w:rPr>
          <w:rFonts w:ascii="Times New Roman" w:cs="Times New Roman" w:eastAsia="Times New Roman" w:hAnsi="Times New Roman"/>
          <w:sz w:val="24"/>
          <w:szCs w:val="24"/>
        </w:rPr>
        <w:t xml:space="preserve">The NLP emotion classification module uses the j-hartmann/emotion-english-distilroberta-base model from the HuggingFace Model Hub. This model was selected over alternatives — including BERT-base emotion classifiers and traditional machine learning approaches such as SVM with handcrafted features — on three grounds: accuracy, inference speed, and accessibility. The model achieves state-of-the-art emotion classification accuracy on standard benchmarks through fine-tuning of DistilRoBERTa (Sanh et al., 2019) on a curated emotion dataset spanning seven categories. Its distilled architecture reduces inference latency relative to full BERT or RoBERTa models, supporting MoodCine's response time requirement. Finally, the HuggingFace pipeline API provides a single-line integration that abstracts tokenisation, inference, and post-processing, minimising implementation complexity.</w:t>
      </w:r>
    </w:p>
    <w:p>
      <w:pPr>
        <w:spacing w:after="60" w:before="60"/>
      </w:pPr>
      <w:r>
        <w:t xml:space="preserve"/>
      </w:r>
    </w:p>
    <w:p>
      <w:pPr>
        <w:pStyle w:val="Heading3"/>
        <w:spacing w:after="120" w:before="240"/>
      </w:pPr>
      <w:r>
        <w:rPr>
          <w:rFonts w:ascii="Arial" w:cs="Arial" w:eastAsia="Arial" w:hAnsi="Arial"/>
          <w:b/>
          <w:bCs/>
          <w:color w:val="2E75B6"/>
          <w:sz w:val="22"/>
          <w:szCs w:val="22"/>
        </w:rPr>
        <w:t xml:space="preserve">3.6.2  Facial Expression Recognition — DeepFace</w:t>
      </w:r>
    </w:p>
    <w:p>
      <w:pPr>
        <w:spacing w:after="140" w:before="140" w:line="360" w:lineRule="auto"/>
        <w:jc w:val="both"/>
      </w:pPr>
      <w:r>
        <w:rPr>
          <w:rFonts w:ascii="Times New Roman" w:cs="Times New Roman" w:eastAsia="Times New Roman" w:hAnsi="Times New Roman"/>
          <w:sz w:val="24"/>
          <w:szCs w:val="24"/>
        </w:rPr>
        <w:t xml:space="preserve">The FER module uses the DeepFace library (Serengil and Ozpinar, 2020). DeepFace was selected over alternative FER implementations — including OpenCV Haar cascade classifiers and standalone deep learning implementations — primarily for its modular backend architecture and its built-in emotion detection capability that produces output in the same seven-category format as the NLP module, enabling straightforward score fusion. The library's Python API minimises integration overhead and its CPU-compatible inference mode ensures deployment without specialist hardware.</w:t>
      </w:r>
    </w:p>
    <w:p>
      <w:pPr>
        <w:spacing w:after="60" w:before="60"/>
      </w:pPr>
      <w:r>
        <w:t xml:space="preserve"/>
      </w:r>
    </w:p>
    <w:p>
      <w:pPr>
        <w:pStyle w:val="Heading3"/>
        <w:spacing w:after="120" w:before="240"/>
      </w:pPr>
      <w:r>
        <w:rPr>
          <w:rFonts w:ascii="Arial" w:cs="Arial" w:eastAsia="Arial" w:hAnsi="Arial"/>
          <w:b/>
          <w:bCs/>
          <w:color w:val="2E75B6"/>
          <w:sz w:val="22"/>
          <w:szCs w:val="22"/>
        </w:rPr>
        <w:t xml:space="preserve">3.6.3  Recommendation Engine — Scikit-Surprise SVD</w:t>
      </w:r>
    </w:p>
    <w:p>
      <w:pPr>
        <w:spacing w:after="140" w:before="140" w:line="360" w:lineRule="auto"/>
        <w:jc w:val="both"/>
      </w:pPr>
      <w:r>
        <w:rPr>
          <w:rFonts w:ascii="Times New Roman" w:cs="Times New Roman" w:eastAsia="Times New Roman" w:hAnsi="Times New Roman"/>
          <w:sz w:val="24"/>
          <w:szCs w:val="24"/>
        </w:rPr>
        <w:t xml:space="preserve">The collaborative filtering component uses the SVD algorithm as implemented in the Scikit-Surprise library (Hug, 2020). SVD was selected as the collaborative filtering algorithm on the basis of its demonstrated performance on MovieLens benchmarks, its inclusion of well-tuned regularisation parameters that prevent overfitting on the 100K dataset, and its straightforward serialisation to a pickle file for persistent storage and rapid loading. The model is trained with n_factors=100, n_epochs=20, lr_all=0.005, and reg_all=0.02 — hyperparameter values consistent with published best practice for MovieLens 100K (Hug, 2020). Evaluation on a 20% held-out test set yielded RMSE=0.9352 and MAE=0.7375, confirming performance within the expected range for this dataset.</w:t>
      </w:r>
    </w:p>
    <w:p>
      <w:pPr>
        <w:spacing w:after="60" w:before="60"/>
      </w:pPr>
      <w:r>
        <w:t xml:space="preserve"/>
      </w:r>
    </w:p>
    <w:p>
      <w:pPr>
        <w:pStyle w:val="Heading3"/>
        <w:spacing w:after="120" w:before="240"/>
      </w:pPr>
      <w:r>
        <w:rPr>
          <w:rFonts w:ascii="Arial" w:cs="Arial" w:eastAsia="Arial" w:hAnsi="Arial"/>
          <w:b/>
          <w:bCs/>
          <w:color w:val="2E75B6"/>
          <w:sz w:val="22"/>
          <w:szCs w:val="22"/>
        </w:rPr>
        <w:t xml:space="preserve">3.6.4  Explanation Generator — Google Gemini API</w:t>
      </w:r>
    </w:p>
    <w:p>
      <w:pPr>
        <w:spacing w:after="140" w:before="140" w:line="360" w:lineRule="auto"/>
        <w:jc w:val="both"/>
      </w:pPr>
      <w:r>
        <w:rPr>
          <w:rFonts w:ascii="Times New Roman" w:cs="Times New Roman" w:eastAsia="Times New Roman" w:hAnsi="Times New Roman"/>
          <w:sz w:val="24"/>
          <w:szCs w:val="24"/>
        </w:rPr>
        <w:t xml:space="preserve">Mood-contextual explanations for each recommended film are generated using the Google Gemini API (Google, 2024). Gemini was selected over OpenAI GPT-4 and Anthropic Claude primarily for its accessible free-tier API, which eliminates financial barriers to research reproducibility, and for its demonstrated capability in generating coherent, contextually appropriate natural language across diverse prompting styles. The explanation prompt is dynamically constructed from the detected emotion, fused confidence score, film title, genre, and a brief plot summary from TMDB, instructing the model to explain why the specific film suits the user's current emotional state in two to three sentences.</w:t>
      </w:r>
    </w:p>
    <w:p>
      <w:pPr>
        <w:spacing w:after="60" w:before="60"/>
      </w:pPr>
      <w:r>
        <w:t xml:space="preserve"/>
      </w:r>
    </w:p>
    <w:p>
      <w:pPr>
        <w:pStyle w:val="Heading2"/>
        <w:spacing w:after="180" w:before="360"/>
      </w:pPr>
      <w:r>
        <w:rPr>
          <w:rFonts w:ascii="Arial" w:cs="Arial" w:eastAsia="Arial" w:hAnsi="Arial"/>
          <w:b/>
          <w:bCs/>
          <w:color w:val="2E75B6"/>
          <w:sz w:val="26"/>
          <w:szCs w:val="26"/>
        </w:rPr>
        <w:t xml:space="preserve">3.7  Evaluation Framework</w:t>
      </w:r>
    </w:p>
    <w:p>
      <w:pPr>
        <w:pStyle w:val="Heading3"/>
        <w:spacing w:after="120" w:before="240"/>
      </w:pPr>
      <w:r>
        <w:rPr>
          <w:rFonts w:ascii="Arial" w:cs="Arial" w:eastAsia="Arial" w:hAnsi="Arial"/>
          <w:b/>
          <w:bCs/>
          <w:color w:val="2E75B6"/>
          <w:sz w:val="22"/>
          <w:szCs w:val="22"/>
        </w:rPr>
        <w:t xml:space="preserve">3.7.1  Quantitative Metrics</w:t>
      </w:r>
    </w:p>
    <w:p>
      <w:pPr>
        <w:spacing w:after="140" w:before="140" w:line="360" w:lineRule="auto"/>
        <w:jc w:val="both"/>
      </w:pPr>
      <w:r>
        <w:rPr>
          <w:rFonts w:ascii="Times New Roman" w:cs="Times New Roman" w:eastAsia="Times New Roman" w:hAnsi="Times New Roman"/>
          <w:sz w:val="24"/>
          <w:szCs w:val="24"/>
        </w:rPr>
        <w:t xml:space="preserve">MoodCine's recommendation quality is evaluated using four standard information retrieval metrics computed on the held-out test set:</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026"/>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Metric</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Formula</w:t>
            </w:r>
          </w:p>
        </w:tc>
        <w:tc>
          <w:tcPr>
            <w:tcW w:type="dxa" w:w="5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Interpretation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Precision@5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Relevant in top-5 / 5</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Fraction of top-5 recommendations that are relevant to the user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Recall@5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Relevant in top-5 / all relevant</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Fraction of all relevant items captured in top-5</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NDCG@5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Normalised DCG</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Ranking quality — penalises relevant items ranked lower in the list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RMSE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Root Mean Square Error</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Average prediction error of the SVD model on held-out ratings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Response latency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End-to-end time (ms)</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Total time from mood input to recommendations displayed</w:t>
            </w:r>
          </w:p>
        </w:tc>
      </w:tr>
    </w:tbl>
    <w:p>
      <w:pPr>
        <w:spacing w:after="60" w:before="60"/>
      </w:pPr>
      <w:r>
        <w:t xml:space="preserve"/>
      </w:r>
    </w:p>
    <w:p>
      <w:pPr>
        <w:spacing w:after="140" w:before="140" w:line="360" w:lineRule="auto"/>
        <w:jc w:val="both"/>
      </w:pPr>
      <w:r>
        <w:rPr>
          <w:rFonts w:ascii="Times New Roman" w:cs="Times New Roman" w:eastAsia="Times New Roman" w:hAnsi="Times New Roman"/>
          <w:sz w:val="24"/>
          <w:szCs w:val="24"/>
        </w:rPr>
        <w:t xml:space="preserve">A relevant item is defined as a movie that the test user has rated 4 or 5 stars in the held-out test set and whose genre matches the emotion-predicted genre target. This definition operationalises relevance in terms of both user preference (rating) and emotional appropriateness (genre match), reflecting MoodCine's dual objective of recommending high-quality and emotionally relevant content.</w:t>
      </w:r>
    </w:p>
    <w:p>
      <w:pPr>
        <w:spacing w:after="60" w:before="60"/>
      </w:pPr>
      <w:r>
        <w:t xml:space="preserve"/>
      </w:r>
    </w:p>
    <w:p>
      <w:pPr>
        <w:pStyle w:val="Heading3"/>
        <w:spacing w:after="120" w:before="240"/>
      </w:pPr>
      <w:r>
        <w:rPr>
          <w:rFonts w:ascii="Arial" w:cs="Arial" w:eastAsia="Arial" w:hAnsi="Arial"/>
          <w:b/>
          <w:bCs/>
          <w:color w:val="2E75B6"/>
          <w:sz w:val="22"/>
          <w:szCs w:val="22"/>
        </w:rPr>
        <w:t xml:space="preserve">3.7.2  User Study Design</w:t>
      </w:r>
    </w:p>
    <w:p>
      <w:pPr>
        <w:spacing w:after="140" w:before="140" w:line="360" w:lineRule="auto"/>
        <w:jc w:val="both"/>
      </w:pPr>
      <w:r>
        <w:rPr>
          <w:rFonts w:ascii="Times New Roman" w:cs="Times New Roman" w:eastAsia="Times New Roman" w:hAnsi="Times New Roman"/>
          <w:sz w:val="24"/>
          <w:szCs w:val="24"/>
        </w:rPr>
        <w:t xml:space="preserve">A within-subject user study with a minimum of 20 participants will be conducted to evaluate perceived recommendation quality across the four comparison modes. Within-subject design is chosen over between-subject design because it controls for individual differences in taste and eliminates the need for matched pairs, enabling statistically meaningful comparison with the smaller sample size that is feasible within the project timeline.</w:t>
      </w:r>
    </w:p>
    <w:p>
      <w:pPr>
        <w:spacing w:after="140" w:before="140" w:line="360" w:lineRule="auto"/>
        <w:jc w:val="both"/>
      </w:pPr>
      <w:r>
        <w:rPr>
          <w:rFonts w:ascii="Times New Roman" w:cs="Times New Roman" w:eastAsia="Times New Roman" w:hAnsi="Times New Roman"/>
          <w:sz w:val="24"/>
          <w:szCs w:val="24"/>
        </w:rPr>
        <w:t xml:space="preserve">Each participant will be asked to: (1) describe their current mood in a text input, (2) receive recommendations from each of the four modes (baseline, NLP-only, FER-only, NLP+FER fusion) in a randomised order to control for presentation order effects, and (3) rate the relevance and appropriateness of each set of recommendations on a five-point Likert scale. Participants will also complete a brief post-study questionnaire asking about their overall preference and any observations about the system. The study will be conducted in compliance with the University of Hertfordshire ethics guidelines, with all participants providing informed written consent prior to participation.</w:t>
      </w:r>
    </w:p>
    <w:p>
      <w:pPr>
        <w:spacing w:after="60" w:before="60"/>
      </w:pPr>
      <w:r>
        <w:t xml:space="preserve"/>
      </w:r>
    </w:p>
    <w:p>
      <w:pPr>
        <w:pStyle w:val="Heading3"/>
        <w:spacing w:after="120" w:before="240"/>
      </w:pPr>
      <w:r>
        <w:rPr>
          <w:rFonts w:ascii="Arial" w:cs="Arial" w:eastAsia="Arial" w:hAnsi="Arial"/>
          <w:b/>
          <w:bCs/>
          <w:color w:val="2E75B6"/>
          <w:sz w:val="22"/>
          <w:szCs w:val="22"/>
        </w:rPr>
        <w:t xml:space="preserve">3.7.3  Statistical Analysis</w:t>
      </w:r>
    </w:p>
    <w:p>
      <w:pPr>
        <w:spacing w:after="140" w:before="140" w:line="360" w:lineRule="auto"/>
        <w:jc w:val="both"/>
      </w:pPr>
      <w:r>
        <w:rPr>
          <w:rFonts w:ascii="Times New Roman" w:cs="Times New Roman" w:eastAsia="Times New Roman" w:hAnsi="Times New Roman"/>
          <w:sz w:val="24"/>
          <w:szCs w:val="24"/>
        </w:rPr>
        <w:t xml:space="preserve">The primary statistical test used to evaluate the research hypothesis is a paired samples t-test comparing mean user satisfaction scores between the NLP+FER fusion mode and the baseline mode across all participants. The paired t-test is appropriate because the within-subject study design produces matched pairs of observations (each participant rates both modes), the data are assumed to be approximately normally distributed (Likert scale responses from n=20 participants), and the test directly addresses the directional hypothesis that fusion outperforms baseline.</w:t>
      </w:r>
    </w:p>
    <w:p>
      <w:pPr>
        <w:spacing w:after="140" w:before="140" w:line="360" w:lineRule="auto"/>
        <w:jc w:val="both"/>
      </w:pPr>
      <w:r>
        <w:rPr>
          <w:rFonts w:ascii="Times New Roman" w:cs="Times New Roman" w:eastAsia="Times New Roman" w:hAnsi="Times New Roman"/>
          <w:sz w:val="24"/>
          <w:szCs w:val="24"/>
        </w:rPr>
        <w:t xml:space="preserve">The significance threshold is set at p &lt; 0.05, consistent with standard practice in human-computer interaction research. Cohen's d effect size will be reported alongside p-values to characterise the magnitude of any observed difference, enabling comparison with published effect sizes in the recommender systems literature. Secondary comparisons between NLP-only vs baseline, FER-only vs baseline, and NLP+FER fusion vs NLP-only will be conducted using the same test with Bonferroni correction applied to control the family-wise error rate across the four comparisons.</w:t>
      </w:r>
    </w:p>
    <w:p>
      <w:pPr>
        <w:spacing w:after="60" w:before="60"/>
      </w:pPr>
      <w:r>
        <w:t xml:space="preserve"/>
      </w:r>
    </w:p>
    <w:p>
      <w:pPr>
        <w:pStyle w:val="Heading2"/>
        <w:spacing w:after="180" w:before="360"/>
      </w:pPr>
      <w:r>
        <w:rPr>
          <w:rFonts w:ascii="Arial" w:cs="Arial" w:eastAsia="Arial" w:hAnsi="Arial"/>
          <w:b/>
          <w:bCs/>
          <w:color w:val="2E75B6"/>
          <w:sz w:val="26"/>
          <w:szCs w:val="26"/>
        </w:rPr>
        <w:t xml:space="preserve">3.8  Ethical Considerations</w:t>
      </w:r>
    </w:p>
    <w:p>
      <w:pPr>
        <w:spacing w:after="140" w:before="140" w:line="360" w:lineRule="auto"/>
        <w:jc w:val="both"/>
      </w:pPr>
      <w:r>
        <w:rPr>
          <w:rFonts w:ascii="Times New Roman" w:cs="Times New Roman" w:eastAsia="Times New Roman" w:hAnsi="Times New Roman"/>
          <w:sz w:val="24"/>
          <w:szCs w:val="24"/>
        </w:rPr>
        <w:t xml:space="preserve">This research involves the collection and processing of personal data from human participants and therefore requires careful attention to ethical and legal obligations under the UK General Data Protection Regulation (UK GDPR) and the University of Hertfordshire Research Ethics Policy.</w:t>
      </w:r>
    </w:p>
    <w:p>
      <w:pPr>
        <w:spacing w:after="140" w:before="140" w:line="360" w:lineRule="auto"/>
        <w:jc w:val="both"/>
      </w:pPr>
      <w:r>
        <w:rPr>
          <w:rFonts w:ascii="Times New Roman" w:cs="Times New Roman" w:eastAsia="Times New Roman" w:hAnsi="Times New Roman"/>
          <w:sz w:val="24"/>
          <w:szCs w:val="24"/>
        </w:rPr>
        <w:t xml:space="preserve">Facial expression data captured via the webcam during the user study constitutes biometric data under UK GDPR Article 9 and is classified as special category data requiring explicit informed consent. Participants will be informed that (1) webcam access is optional and the system functions fully without it, (2) webcam frames are processed locally on the participant's device and are not stored or transmitted to any remote server, and (3) participation may be withdrawn at any point without consequence. All facial data processing will be conducted in-memory only, with no persistent storage of biometric data.</w:t>
      </w:r>
    </w:p>
    <w:p>
      <w:pPr>
        <w:spacing w:after="140" w:before="140" w:line="360" w:lineRule="auto"/>
        <w:jc w:val="both"/>
      </w:pPr>
      <w:r>
        <w:rPr>
          <w:rFonts w:ascii="Times New Roman" w:cs="Times New Roman" w:eastAsia="Times New Roman" w:hAnsi="Times New Roman"/>
          <w:sz w:val="24"/>
          <w:szCs w:val="24"/>
        </w:rPr>
        <w:t xml:space="preserve">Text mood inputs and satisfaction ratings collected during the user study will be anonymised by replacing participant identifiers with randomly generated codes prior to analysis. No personally identifiable information will be included in the dissertation or associated publications. Ethical approval will be sought from the University of Hertfordshire School Research Ethics Committee prior to the commencement of the user study.</w:t>
      </w:r>
    </w:p>
    <w:p>
      <w:pPr>
        <w:spacing w:after="140" w:before="140" w:line="360" w:lineRule="auto"/>
        <w:jc w:val="both"/>
      </w:pPr>
      <w:r>
        <w:rPr>
          <w:rFonts w:ascii="Times New Roman" w:cs="Times New Roman" w:eastAsia="Times New Roman" w:hAnsi="Times New Roman"/>
          <w:sz w:val="24"/>
          <w:szCs w:val="24"/>
        </w:rPr>
        <w:t xml:space="preserve">A secondary ethical consideration is the potential for emotion detection systems to be used for non-consensual emotional surveillance. This dissertation acknowledges this risk and explicitly limits the scope of MoodCine to consensual, user-initiated emotion input in a recommendation context. The system does not implement continuous monitoring, does not store emotion data beyond the session, and does not expose emotion data through any API endpoint accessible to third parties.</w:t>
      </w:r>
    </w:p>
    <w:p>
      <w:pPr>
        <w:spacing w:after="60" w:before="60"/>
      </w:pPr>
      <w:r>
        <w:t xml:space="preserve"/>
      </w:r>
    </w:p>
    <w:p>
      <w:pPr>
        <w:pStyle w:val="Heading2"/>
        <w:spacing w:after="180" w:before="360"/>
      </w:pPr>
      <w:r>
        <w:rPr>
          <w:rFonts w:ascii="Arial" w:cs="Arial" w:eastAsia="Arial" w:hAnsi="Arial"/>
          <w:b/>
          <w:bCs/>
          <w:color w:val="2E75B6"/>
          <w:sz w:val="26"/>
          <w:szCs w:val="26"/>
        </w:rPr>
        <w:t xml:space="preserve">3.9  Risk Register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4426"/>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Risk</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Likelihood</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Impact</w:t>
            </w:r>
          </w:p>
        </w:tc>
        <w:tc>
          <w:tcPr>
            <w:tcW w:type="dxa" w:w="44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Mitigation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DeepFace FER accuracy poor in real conditions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Graceful degradation: FER optional. NLP-only mode always available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Gemini API rate limits exceeded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Low</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Cache explanation responses. Implement retry with exponential backoff</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User study recruitment below n=20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Begin recruitment 4 weeks before study. Use university networks and snowball sampling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SVD model underfitting on 100K data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Hyperparameter tuning via cross-validation. RMSE 0.93 already confirms acceptable fit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Interim report deadline missed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Chapters 1 and 2 complete. Chapter 3 in progress. Buffer of 5 days before deadline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PostgreSQL connection issues in production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Connection pooling with SQLAlchemy. Health check endpoint in FastAPI</w:t>
            </w:r>
          </w:p>
        </w:tc>
      </w:tr>
    </w:tbl>
    <w:p>
      <w:pPr>
        <w:spacing w:after="60" w:before="60"/>
      </w:pPr>
      <w:r>
        <w:t xml:space="preserve"/>
      </w:r>
    </w:p>
    <w:p>
      <w:pPr>
        <w:pStyle w:val="Heading2"/>
        <w:spacing w:after="180" w:before="360"/>
      </w:pPr>
      <w:r>
        <w:rPr>
          <w:rFonts w:ascii="Arial" w:cs="Arial" w:eastAsia="Arial" w:hAnsi="Arial"/>
          <w:b/>
          <w:bCs/>
          <w:color w:val="2E75B6"/>
          <w:sz w:val="26"/>
          <w:szCs w:val="26"/>
        </w:rPr>
        <w:t xml:space="preserve">3.10  Chapter Summary</w:t>
      </w:r>
    </w:p>
    <w:p>
      <w:pPr>
        <w:spacing w:after="140" w:before="140" w:line="360" w:lineRule="auto"/>
        <w:jc w:val="both"/>
      </w:pPr>
      <w:r>
        <w:rPr>
          <w:rFonts w:ascii="Times New Roman" w:cs="Times New Roman" w:eastAsia="Times New Roman" w:hAnsi="Times New Roman"/>
          <w:sz w:val="24"/>
          <w:szCs w:val="24"/>
        </w:rPr>
        <w:t xml:space="preserve">This chapter has presented the complete methodological framework for MoodCine. Design Science Research was adopted as the overarching research paradigm, justified by the requirement to build a system to answer the research question. The system architecture was detailed across eight modules, with the data flow from mood input to recommendation output described. The Plutchik-grounded emotion-to-genre mapping schema was presented and justified. Dataset selection (MovieLens 100K), enrichment (TMDB API), and all technology selections — DistilRoBERTa, DeepFace, Scikit-Surprise SVD, and Google Gemini API — were justified with reference to the literature. The evaluation framework was specified, including quantitative metrics (Precision@5, NDCG@5, RMSE), within-subject user study design (n ≥ 20), and statistical analysis (paired t-test, p &lt; 0.05). Ethical considerations and a risk register were presented.</w:t>
      </w:r>
    </w:p>
    <w:p>
      <w:pPr>
        <w:spacing w:after="140" w:before="140" w:line="360" w:lineRule="auto"/>
        <w:jc w:val="both"/>
      </w:pPr>
      <w:r>
        <w:rPr>
          <w:rFonts w:ascii="Times New Roman" w:cs="Times New Roman" w:eastAsia="Times New Roman" w:hAnsi="Times New Roman"/>
          <w:sz w:val="24"/>
          <w:szCs w:val="24"/>
        </w:rPr>
        <w:t xml:space="preserve">Chapter 4 will detail the technical implementation of each module, documenting the code structure, key implementation decisions, and evidence of correct functioning through unit and integration testing.</w:t>
      </w:r>
    </w:p>
    <w:p>
      <w:pPr>
        <w:spacing w:after="60" w:before="60"/>
      </w:pPr>
      <w:r>
        <w:t xml:space="preserve"/>
      </w:r>
    </w:p>
    <w:p>
      <w:r>
        <w:br w:type="page"/>
      </w:r>
    </w:p>
    <w:p>
      <w:pPr>
        <w:pBdr>
          <w:bottom w:val="single" w:color="2E75B6" w:sz="6" w:space="1"/>
        </w:pBdr>
        <w:spacing w:after="200" w:before="0"/>
      </w:pPr>
      <w:r>
        <w:rPr>
          <w:rFonts w:ascii="Arial" w:cs="Arial" w:eastAsia="Arial" w:hAnsi="Arial"/>
          <w:b/>
          <w:bCs/>
          <w:color w:val="1F3864"/>
          <w:sz w:val="28"/>
          <w:szCs w:val="28"/>
        </w:rPr>
        <w:t xml:space="preserve">References — Chapter 3</w:t>
      </w:r>
    </w:p>
    <w:p>
      <w:pPr>
        <w:spacing w:after="60" w:before="60"/>
      </w:pPr>
      <w:r>
        <w:t xml:space="preserve"/>
      </w:r>
    </w:p>
    <w:p>
      <w:pPr>
        <w:spacing w:after="120" w:before="120" w:line="360" w:lineRule="auto"/>
        <w:ind w:left="720" w:hanging="720"/>
        <w:jc w:val="both"/>
      </w:pPr>
      <w:r>
        <w:rPr>
          <w:rFonts w:ascii="Times New Roman" w:cs="Times New Roman" w:eastAsia="Times New Roman" w:hAnsi="Times New Roman"/>
          <w:sz w:val="22"/>
          <w:szCs w:val="22"/>
        </w:rPr>
        <w:t xml:space="preserve">Google (2024) Gemini API Documentation. Available at: https://ai.google.dev (Accessed: 1 July 2026).</w:t>
      </w:r>
    </w:p>
    <w:p>
      <w:pPr>
        <w:spacing w:after="120" w:before="120" w:line="360" w:lineRule="auto"/>
        <w:ind w:left="720" w:hanging="720"/>
        <w:jc w:val="both"/>
      </w:pPr>
      <w:r>
        <w:rPr>
          <w:rFonts w:ascii="Times New Roman" w:cs="Times New Roman" w:eastAsia="Times New Roman" w:hAnsi="Times New Roman"/>
          <w:sz w:val="22"/>
          <w:szCs w:val="22"/>
        </w:rPr>
        <w:t xml:space="preserve">Harper, F.M. and Konstan, J.A. (2015) 'The MovieLens Datasets: History and Context', ACM Transactions on Interactive Intelligent Systems, 5(4), Article 19.</w:t>
      </w:r>
    </w:p>
    <w:p>
      <w:pPr>
        <w:spacing w:after="120" w:before="120" w:line="360" w:lineRule="auto"/>
        <w:ind w:left="720" w:hanging="720"/>
        <w:jc w:val="both"/>
      </w:pPr>
      <w:r>
        <w:rPr>
          <w:rFonts w:ascii="Times New Roman" w:cs="Times New Roman" w:eastAsia="Times New Roman" w:hAnsi="Times New Roman"/>
          <w:sz w:val="22"/>
          <w:szCs w:val="22"/>
        </w:rPr>
        <w:t xml:space="preserve">Hevner, A.R., March, S.T., Park, J. and Ram, S. (2004) 'Design Science in Information Systems Research', MIS Quarterly, 28(1), pp. 75–105.</w:t>
      </w:r>
    </w:p>
    <w:p>
      <w:pPr>
        <w:spacing w:after="120" w:before="120" w:line="360" w:lineRule="auto"/>
        <w:ind w:left="720" w:hanging="720"/>
        <w:jc w:val="both"/>
      </w:pPr>
      <w:r>
        <w:rPr>
          <w:rFonts w:ascii="Times New Roman" w:cs="Times New Roman" w:eastAsia="Times New Roman" w:hAnsi="Times New Roman"/>
          <w:sz w:val="22"/>
          <w:szCs w:val="22"/>
        </w:rPr>
        <w:t xml:space="preserve">Hug, N. (2020) 'Surprise: A Python Library for Recommender Systems', Journal of Open Source Software, 5(52), p. 2174.</w:t>
      </w:r>
    </w:p>
    <w:p>
      <w:pPr>
        <w:spacing w:after="120" w:before="120" w:line="360" w:lineRule="auto"/>
        <w:ind w:left="720" w:hanging="720"/>
        <w:jc w:val="both"/>
      </w:pPr>
      <w:r>
        <w:rPr>
          <w:rFonts w:ascii="Times New Roman" w:cs="Times New Roman" w:eastAsia="Times New Roman" w:hAnsi="Times New Roman"/>
          <w:sz w:val="22"/>
          <w:szCs w:val="22"/>
        </w:rPr>
        <w:t xml:space="preserve">Picard, R.W. (1997) Affective Computing. Cambridge, MA: MIT Press.</w:t>
      </w:r>
    </w:p>
    <w:p>
      <w:pPr>
        <w:spacing w:after="120" w:before="120" w:line="360" w:lineRule="auto"/>
        <w:ind w:left="720" w:hanging="720"/>
        <w:jc w:val="both"/>
      </w:pPr>
      <w:r>
        <w:rPr>
          <w:rFonts w:ascii="Times New Roman" w:cs="Times New Roman" w:eastAsia="Times New Roman" w:hAnsi="Times New Roman"/>
          <w:sz w:val="22"/>
          <w:szCs w:val="22"/>
        </w:rPr>
        <w:t xml:space="preserve">Plutchik, R. (1980) Emotion: A Psychoevolutionary Synthesis. New York: Harper &amp; Row.</w:t>
      </w:r>
    </w:p>
    <w:p>
      <w:pPr>
        <w:spacing w:after="120" w:before="120" w:line="360" w:lineRule="auto"/>
        <w:ind w:left="720" w:hanging="720"/>
        <w:jc w:val="both"/>
      </w:pPr>
      <w:r>
        <w:rPr>
          <w:rFonts w:ascii="Times New Roman" w:cs="Times New Roman" w:eastAsia="Times New Roman" w:hAnsi="Times New Roman"/>
          <w:sz w:val="22"/>
          <w:szCs w:val="22"/>
        </w:rPr>
        <w:t xml:space="preserve">Sanh, V., Debut, L., Chaumond, J. and Wolf, T. (2019) 'DistilBERT, a Distilled Version of BERT', Proceedings of the 5th Workshop on Energy Efficient Machine Learning and Cognitive Computing at NeurIPS 2019.</w:t>
      </w:r>
    </w:p>
    <w:p>
      <w:pPr>
        <w:spacing w:after="120" w:before="120" w:line="360" w:lineRule="auto"/>
        <w:ind w:left="720" w:hanging="720"/>
        <w:jc w:val="both"/>
      </w:pPr>
      <w:r>
        <w:rPr>
          <w:rFonts w:ascii="Times New Roman" w:cs="Times New Roman" w:eastAsia="Times New Roman" w:hAnsi="Times New Roman"/>
          <w:sz w:val="22"/>
          <w:szCs w:val="22"/>
        </w:rPr>
        <w:t xml:space="preserve">Serengil, S.I. and Ozpinar, A. (2020) 'LightFace: A Hybrid Deep Face Recognition Framework', Innovations in Intelligent Systems and Applications Conference (ASYU), pp. 1–5.</w:t>
      </w:r>
    </w:p>
    <w:p>
      <w:pPr>
        <w:spacing w:after="120" w:before="120" w:line="360" w:lineRule="auto"/>
        <w:ind w:left="720" w:hanging="720"/>
        <w:jc w:val="both"/>
      </w:pPr>
      <w:r>
        <w:rPr>
          <w:rFonts w:ascii="Times New Roman" w:cs="Times New Roman" w:eastAsia="Times New Roman" w:hAnsi="Times New Roman"/>
          <w:sz w:val="22"/>
          <w:szCs w:val="22"/>
        </w:rPr>
        <w:t xml:space="preserve">Tkalcic, M., Kosir, A. and Tasic, J. (2011) 'Affective Recommender Systems: The Role of Emotions in Recommender Systems', Proceedings of the RecSys 2011 Workshop, pp. 8–13.</w:t>
      </w:r>
    </w:p>
    <w:p>
      <w:pPr>
        <w:pBdr>
          <w:top w:val="single" w:color="2E75B6" w:sz="6" w:space="1"/>
        </w:pBdr>
        <w:spacing w:after="0" w:before="480"/>
        <w:jc w:val="center"/>
      </w:pPr>
      <w:r>
        <w:rPr>
          <w:rFonts w:ascii="Times New Roman" w:cs="Times New Roman" w:eastAsia="Times New Roman" w:hAnsi="Times New Roman"/>
          <w:color w:val="595959"/>
          <w:sz w:val="18"/>
          <w:szCs w:val="18"/>
        </w:rPr>
        <w:t xml:space="preserve">MoodCine  |  Chapter 3: Methodology  |  Muhammad Arslan Khan (24160374)  |  University of Hertfordshire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after="0" w:before="80"/>
      <w:jc w:val="center"/>
    </w:pPr>
    <w:r>
      <w:rPr>
        <w:rFonts w:ascii="Arial" w:cs="Arial" w:eastAsia="Arial" w:hAnsi="Arial"/>
        <w:color w:val="595959"/>
        <w:sz w:val="16"/>
        <w:szCs w:val="16"/>
      </w:rPr>
      <w:t xml:space="preserve">University of Hertfordshire  |  7COM1040  |  Page </w:t>
    </w:r>
    <w:r>
      <w:rPr>
        <w:rFonts w:ascii="Arial" w:cs="Arial" w:eastAsia="Arial" w:hAnsi="Arial"/>
        <w:color w:val="2E75B6"/>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spacing w:after="80" w:before="0"/>
    </w:pPr>
    <w:r>
      <w:rPr>
        <w:rFonts w:ascii="Arial" w:cs="Arial" w:eastAsia="Arial" w:hAnsi="Arial"/>
        <w:color w:val="595959"/>
        <w:sz w:val="16"/>
        <w:szCs w:val="16"/>
      </w:rPr>
      <w:t xml:space="preserve">MoodCine — Chapter 3: Methodology</w:t>
    </w:r>
    <w:r>
      <w:rPr>
        <w:rFonts w:ascii="Arial" w:cs="Arial" w:eastAsia="Arial" w:hAnsi="Arial"/>
        <w:sz w:val="16"/>
        <w:szCs w:val="16"/>
      </w:rPr>
      <w:t xml:space="preserve">	</w:t>
    </w:r>
    <w:r>
      <w:rPr>
        <w:rFonts w:ascii="Arial" w:cs="Arial" w:eastAsia="Arial" w:hAnsi="Arial"/>
        <w:color w:val="595959"/>
        <w:sz w:val="16"/>
        <w:szCs w:val="16"/>
      </w:rPr>
      <w:t xml:space="preserve">Muhammad Arslan Khan (24160374)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spacing w:after="100" w:before="100"/>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3864"/>
      <w:sz w:val="32"/>
      <w:szCs w:val="32"/>
    </w:rPr>
  </w:style>
  <w:style w:type="paragraph" w:styleId="Heading2">
    <w:name w:val="Heading 2"/>
    <w:basedOn w:val="Normal"/>
    <w:next w:val="Normal"/>
    <w:qFormat/>
    <w:pPr>
      <w:spacing w:after="180" w:before="36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2026-07-01T04:58:38.061Z</dcterms:created>
  <dcterms:modified xsi:type="dcterms:W3CDTF">2026-07-01T04:58:38.061Z</dcterms:modified>
</cp:coreProperties>
</file>

<file path=docProps/custom.xml><?xml version="1.0" encoding="utf-8"?>
<Properties xmlns="http://schemas.openxmlformats.org/officeDocument/2006/custom-properties" xmlns:vt="http://schemas.openxmlformats.org/officeDocument/2006/docPropsVTypes"/>
</file>