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71288" w14:textId="12B5CFB5" w:rsidR="00F7514B" w:rsidRDefault="00D65611" w:rsidP="008B722F">
      <w:pPr>
        <w:pStyle w:val="Title"/>
        <w:suppressLineNumbers/>
        <w:spacing w:after="240"/>
        <w:rPr>
          <w:b/>
        </w:rPr>
      </w:pPr>
      <w:bookmarkStart w:id="0" w:name="_Hlk36832768"/>
      <w:r>
        <w:rPr>
          <w:b/>
        </w:rPr>
        <w:t>Telescoping into the US to analyze d</w:t>
      </w:r>
      <w:r w:rsidR="006F7D50">
        <w:rPr>
          <w:b/>
        </w:rPr>
        <w:t>ynamic multi-sector hotspots and inter-sectoral linkages</w:t>
      </w:r>
      <w:r>
        <w:rPr>
          <w:b/>
        </w:rPr>
        <w:t>.</w:t>
      </w:r>
    </w:p>
    <w:p w14:paraId="32E7B25F" w14:textId="77777777" w:rsidR="00CC2211" w:rsidRPr="00CC2211" w:rsidRDefault="00CC2211" w:rsidP="008B722F">
      <w:pPr>
        <w:suppressLineNumbers/>
        <w:pBdr>
          <w:bottom w:val="single" w:sz="6" w:space="1" w:color="auto"/>
        </w:pBdr>
        <w:jc w:val="both"/>
      </w:pPr>
    </w:p>
    <w:p w14:paraId="19E101B5" w14:textId="1A6E05D4" w:rsidR="00F7514B" w:rsidRPr="00A823A8" w:rsidRDefault="00F7514B">
      <w:pPr>
        <w:pStyle w:val="Els-Author"/>
        <w:rPr>
          <w:vertAlign w:val="superscript"/>
        </w:rPr>
      </w:pPr>
      <w:bookmarkStart w:id="1" w:name="_Hlk32567135"/>
      <w:r w:rsidRPr="00CC2211">
        <w:t>Zarrar Khan</w:t>
      </w:r>
      <w:r w:rsidRPr="00CC2211">
        <w:rPr>
          <w:vertAlign w:val="superscript"/>
        </w:rPr>
        <w:t>1</w:t>
      </w:r>
      <w:r w:rsidRPr="00CC2211">
        <w:t>, Thomas B. Wild</w:t>
      </w:r>
      <w:r w:rsidRPr="00CC2211">
        <w:rPr>
          <w:vertAlign w:val="superscript"/>
        </w:rPr>
        <w:t>1,2</w:t>
      </w:r>
      <w:r w:rsidRPr="00CC2211">
        <w:t>, Mohamad Hejazi</w:t>
      </w:r>
      <w:r w:rsidRPr="00CC2211">
        <w:rPr>
          <w:vertAlign w:val="superscript"/>
        </w:rPr>
        <w:t>1</w:t>
      </w:r>
      <w:r w:rsidRPr="00CC2211">
        <w:t xml:space="preserve">, </w:t>
      </w:r>
      <w:r w:rsidR="00F14957">
        <w:t>Chris R. Vernon</w:t>
      </w:r>
      <w:r w:rsidR="00F14957">
        <w:rPr>
          <w:vertAlign w:val="superscript"/>
        </w:rPr>
        <w:t>1</w:t>
      </w:r>
      <w:r w:rsidR="00F14957">
        <w:t xml:space="preserve">, </w:t>
      </w:r>
      <w:r w:rsidR="006F7D50">
        <w:t>Gokul Iyer</w:t>
      </w:r>
      <w:r w:rsidR="006F7D50">
        <w:rPr>
          <w:vertAlign w:val="superscript"/>
        </w:rPr>
        <w:t>1</w:t>
      </w:r>
      <w:r w:rsidR="006F7D50">
        <w:t xml:space="preserve">, </w:t>
      </w:r>
      <w:r w:rsidR="006F7D50" w:rsidRPr="00CC2211">
        <w:t>Leon Clarke</w:t>
      </w:r>
      <w:r w:rsidR="006F7D50" w:rsidRPr="00CC2211">
        <w:rPr>
          <w:vertAlign w:val="superscript"/>
        </w:rPr>
        <w:t>1</w:t>
      </w:r>
    </w:p>
    <w:p w14:paraId="680B29A2" w14:textId="77777777" w:rsidR="00F7514B" w:rsidRPr="003A6EEF"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040993D3" w14:textId="77777777" w:rsidR="00F7514B" w:rsidRDefault="00F7514B" w:rsidP="008B722F">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Pr="00200199">
        <w:rPr>
          <w:i/>
          <w:sz w:val="16"/>
          <w:szCs w:val="16"/>
        </w:rPr>
        <w:t>Earth System Science Interdisciplinary Center</w:t>
      </w:r>
      <w:r>
        <w:rPr>
          <w:i/>
          <w:sz w:val="16"/>
          <w:szCs w:val="16"/>
        </w:rPr>
        <w:t xml:space="preserve"> (ESSIC), University of Maryland, College Park, MD 20740, USA</w:t>
      </w:r>
    </w:p>
    <w:bookmarkEnd w:id="1"/>
    <w:p w14:paraId="08232FC7" w14:textId="77777777" w:rsidR="00F7514B" w:rsidRPr="00EA3414" w:rsidRDefault="00F7514B" w:rsidP="008B722F">
      <w:pPr>
        <w:suppressLineNumbers/>
        <w:pBdr>
          <w:bottom w:val="single" w:sz="6" w:space="1" w:color="auto"/>
        </w:pBdr>
        <w:spacing w:after="0"/>
        <w:jc w:val="both"/>
      </w:pPr>
    </w:p>
    <w:p w14:paraId="48EC9D6A" w14:textId="77777777" w:rsidR="00F7514B" w:rsidRPr="00EA3414" w:rsidRDefault="00F7514B" w:rsidP="008B722F">
      <w:pPr>
        <w:suppressLineNumbers/>
        <w:spacing w:after="0"/>
        <w:jc w:val="both"/>
        <w:rPr>
          <w:rFonts w:asciiTheme="majorHAnsi" w:hAnsiTheme="majorHAnsi"/>
          <w:b/>
        </w:rPr>
      </w:pPr>
    </w:p>
    <w:p w14:paraId="385FC739" w14:textId="77777777" w:rsidR="00F7514B" w:rsidRPr="00D84F46" w:rsidRDefault="00F7514B" w:rsidP="008B722F">
      <w:pPr>
        <w:suppressLineNumbers/>
        <w:spacing w:after="0"/>
        <w:jc w:val="both"/>
        <w:rPr>
          <w:rFonts w:asciiTheme="majorHAnsi" w:hAnsiTheme="majorHAnsi"/>
          <w:b/>
          <w:sz w:val="36"/>
          <w:szCs w:val="36"/>
        </w:rPr>
      </w:pPr>
      <w:r w:rsidRPr="00D84F46">
        <w:rPr>
          <w:rFonts w:asciiTheme="majorHAnsi" w:hAnsiTheme="majorHAnsi"/>
          <w:b/>
          <w:sz w:val="36"/>
          <w:szCs w:val="36"/>
        </w:rPr>
        <w:t>Abstract</w:t>
      </w:r>
    </w:p>
    <w:p w14:paraId="4F0502FE" w14:textId="119DEA31" w:rsidR="00811136" w:rsidRPr="00EF61A1" w:rsidRDefault="00E966AD" w:rsidP="001D4B48">
      <w:pPr>
        <w:suppressLineNumbers/>
        <w:pBdr>
          <w:bottom w:val="single" w:sz="6" w:space="1" w:color="auto"/>
        </w:pBdr>
        <w:spacing w:after="0"/>
        <w:jc w:val="both"/>
        <w:rPr>
          <w:sz w:val="20"/>
          <w:szCs w:val="20"/>
        </w:rPr>
      </w:pPr>
      <w:bookmarkStart w:id="2" w:name="_Hlk35683707"/>
      <w:proofErr w:type="spellStart"/>
      <w:r>
        <w:rPr>
          <w:sz w:val="20"/>
          <w:szCs w:val="20"/>
        </w:rPr>
        <w:t>Xxxxxx</w:t>
      </w:r>
      <w:proofErr w:type="spellEnd"/>
      <w:r w:rsidR="001D4B48" w:rsidRPr="00EF61A1">
        <w:rPr>
          <w:sz w:val="20"/>
          <w:szCs w:val="20"/>
        </w:rPr>
        <w:t xml:space="preserve"> </w:t>
      </w:r>
    </w:p>
    <w:bookmarkEnd w:id="2"/>
    <w:p w14:paraId="5A5256FD" w14:textId="77777777" w:rsidR="004D0332" w:rsidRDefault="004D0332" w:rsidP="001D4B48">
      <w:pPr>
        <w:suppressLineNumbers/>
        <w:pBdr>
          <w:bottom w:val="single" w:sz="6" w:space="1" w:color="auto"/>
        </w:pBdr>
        <w:spacing w:after="0"/>
        <w:jc w:val="both"/>
      </w:pPr>
    </w:p>
    <w:p w14:paraId="58B03563" w14:textId="55B4FB12" w:rsidR="004D0332" w:rsidRDefault="004D0332" w:rsidP="004D0332">
      <w:bookmarkStart w:id="3" w:name="_Toc25072378"/>
    </w:p>
    <w:p w14:paraId="1B10BF5A" w14:textId="24FB83DC" w:rsidR="004D0332" w:rsidRDefault="007C3BBA" w:rsidP="004D0332">
      <w:r>
        <w:t xml:space="preserve">Google Sheet for Temp Work: </w:t>
      </w:r>
      <w:hyperlink r:id="rId8" w:anchor="gid=1426711730" w:history="1">
        <w:r>
          <w:rPr>
            <w:rStyle w:val="Hyperlink"/>
          </w:rPr>
          <w:t>https://docs.google.com/spreadsheets/d/1HxYzOf6g8Y_wH81eNUUbniznkPPFiEqX9247wKY-hso/edit#gid=1426711730</w:t>
        </w:r>
      </w:hyperlink>
      <w:bookmarkStart w:id="4" w:name="_GoBack"/>
      <w:bookmarkEnd w:id="4"/>
    </w:p>
    <w:p w14:paraId="1CF19935" w14:textId="2AB40F00" w:rsidR="00F7514B" w:rsidRDefault="00F7514B" w:rsidP="004D0332">
      <w:pPr>
        <w:pStyle w:val="Heading1"/>
        <w:spacing w:after="0" w:line="480" w:lineRule="auto"/>
        <w:jc w:val="both"/>
      </w:pPr>
      <w:r>
        <w:t>Introduction</w:t>
      </w:r>
      <w:bookmarkEnd w:id="3"/>
    </w:p>
    <w:p w14:paraId="7B8F590C" w14:textId="77777777" w:rsidR="00F7514B" w:rsidRDefault="00F7514B" w:rsidP="008B722F">
      <w:pPr>
        <w:spacing w:after="0" w:line="480" w:lineRule="auto"/>
        <w:jc w:val="both"/>
      </w:pPr>
    </w:p>
    <w:p w14:paraId="79B26212" w14:textId="754ED293" w:rsidR="00103C29" w:rsidRDefault="00362AA2" w:rsidP="00362AA2">
      <w:pPr>
        <w:pStyle w:val="Heading2"/>
      </w:pPr>
      <w:r>
        <w:t>Literature Review:</w:t>
      </w:r>
    </w:p>
    <w:p w14:paraId="6BF14623" w14:textId="77777777" w:rsidR="00362AA2" w:rsidRPr="00362AA2" w:rsidRDefault="00362AA2" w:rsidP="00362AA2"/>
    <w:p w14:paraId="35B107B3" w14:textId="140F3E97" w:rsidR="00362AA2" w:rsidRDefault="001923A4" w:rsidP="00E966AD">
      <w:pPr>
        <w:spacing w:after="0" w:line="480" w:lineRule="auto"/>
        <w:ind w:firstLine="720"/>
        <w:jc w:val="both"/>
        <w:rPr>
          <w:b/>
          <w:bCs/>
          <w:u w:val="single"/>
        </w:rPr>
      </w:pPr>
      <w:r>
        <w:rPr>
          <w:b/>
          <w:bCs/>
          <w:u w:val="single"/>
        </w:rPr>
        <w:t xml:space="preserve">Dynamic </w:t>
      </w:r>
      <w:r w:rsidR="00362AA2" w:rsidRPr="00362AA2">
        <w:rPr>
          <w:b/>
          <w:bCs/>
          <w:u w:val="single"/>
        </w:rPr>
        <w:t>Hotspot Analysis</w:t>
      </w:r>
    </w:p>
    <w:tbl>
      <w:tblPr>
        <w:tblStyle w:val="TableGrid"/>
        <w:tblW w:w="0" w:type="auto"/>
        <w:tblLook w:val="04A0" w:firstRow="1" w:lastRow="0" w:firstColumn="1" w:lastColumn="0" w:noHBand="0" w:noVBand="1"/>
      </w:tblPr>
      <w:tblGrid>
        <w:gridCol w:w="1915"/>
        <w:gridCol w:w="1915"/>
        <w:gridCol w:w="1915"/>
        <w:gridCol w:w="1915"/>
        <w:gridCol w:w="1916"/>
      </w:tblGrid>
      <w:tr w:rsidR="00EA3414" w14:paraId="769C8CCF" w14:textId="77777777" w:rsidTr="00543908">
        <w:tc>
          <w:tcPr>
            <w:tcW w:w="1915" w:type="dxa"/>
            <w:vAlign w:val="center"/>
          </w:tcPr>
          <w:p w14:paraId="6287E5F1" w14:textId="13B6A3F6" w:rsidR="00EA3414" w:rsidRPr="00543908" w:rsidRDefault="00EA3414" w:rsidP="00543908">
            <w:pPr>
              <w:jc w:val="center"/>
              <w:rPr>
                <w:b/>
                <w:bCs/>
              </w:rPr>
            </w:pPr>
            <w:r w:rsidRPr="00543908">
              <w:rPr>
                <w:b/>
                <w:bCs/>
              </w:rPr>
              <w:t>Study</w:t>
            </w:r>
          </w:p>
        </w:tc>
        <w:tc>
          <w:tcPr>
            <w:tcW w:w="1915" w:type="dxa"/>
            <w:vAlign w:val="center"/>
          </w:tcPr>
          <w:p w14:paraId="128D2EFD" w14:textId="748A940C" w:rsidR="00EA3414" w:rsidRPr="00543908" w:rsidRDefault="00EA3414" w:rsidP="00543908">
            <w:pPr>
              <w:jc w:val="center"/>
              <w:rPr>
                <w:b/>
                <w:bCs/>
              </w:rPr>
            </w:pPr>
            <w:r w:rsidRPr="00543908">
              <w:rPr>
                <w:b/>
                <w:bCs/>
              </w:rPr>
              <w:t>Definition</w:t>
            </w:r>
          </w:p>
        </w:tc>
        <w:tc>
          <w:tcPr>
            <w:tcW w:w="1915" w:type="dxa"/>
            <w:vAlign w:val="center"/>
          </w:tcPr>
          <w:p w14:paraId="4D504A9E" w14:textId="7C608B01" w:rsidR="00EA3414" w:rsidRPr="00543908" w:rsidRDefault="00EA3414" w:rsidP="00543908">
            <w:pPr>
              <w:jc w:val="center"/>
              <w:rPr>
                <w:b/>
                <w:bCs/>
              </w:rPr>
            </w:pPr>
            <w:r w:rsidRPr="00543908">
              <w:rPr>
                <w:b/>
                <w:bCs/>
              </w:rPr>
              <w:t>Theme</w:t>
            </w:r>
          </w:p>
        </w:tc>
        <w:tc>
          <w:tcPr>
            <w:tcW w:w="1915" w:type="dxa"/>
            <w:vAlign w:val="center"/>
          </w:tcPr>
          <w:p w14:paraId="1C4B7DC5" w14:textId="5A25F900" w:rsidR="00EA3414" w:rsidRPr="00543908" w:rsidRDefault="00EA3414" w:rsidP="00543908">
            <w:pPr>
              <w:jc w:val="center"/>
              <w:rPr>
                <w:b/>
                <w:bCs/>
              </w:rPr>
            </w:pPr>
            <w:r w:rsidRPr="00543908">
              <w:rPr>
                <w:b/>
                <w:bCs/>
              </w:rPr>
              <w:t>Positives</w:t>
            </w:r>
          </w:p>
        </w:tc>
        <w:tc>
          <w:tcPr>
            <w:tcW w:w="1916" w:type="dxa"/>
            <w:vAlign w:val="center"/>
          </w:tcPr>
          <w:p w14:paraId="1724B766" w14:textId="3720CEA1" w:rsidR="00EA3414" w:rsidRPr="00543908" w:rsidRDefault="00EA3414" w:rsidP="00543908">
            <w:pPr>
              <w:jc w:val="center"/>
              <w:rPr>
                <w:b/>
                <w:bCs/>
              </w:rPr>
            </w:pPr>
            <w:r w:rsidRPr="00543908">
              <w:rPr>
                <w:b/>
                <w:bCs/>
              </w:rPr>
              <w:t>Negatives</w:t>
            </w:r>
          </w:p>
        </w:tc>
      </w:tr>
      <w:tr w:rsidR="00EA3414" w14:paraId="777A1F12" w14:textId="77777777" w:rsidTr="00EA3414">
        <w:tc>
          <w:tcPr>
            <w:tcW w:w="1915" w:type="dxa"/>
          </w:tcPr>
          <w:p w14:paraId="6ED2C959" w14:textId="77777777" w:rsidR="00EA3414" w:rsidRDefault="00EA3414" w:rsidP="00E966AD">
            <w:pPr>
              <w:spacing w:line="480" w:lineRule="auto"/>
              <w:jc w:val="both"/>
              <w:rPr>
                <w:b/>
                <w:bCs/>
                <w:u w:val="single"/>
              </w:rPr>
            </w:pPr>
          </w:p>
        </w:tc>
        <w:tc>
          <w:tcPr>
            <w:tcW w:w="1915" w:type="dxa"/>
          </w:tcPr>
          <w:p w14:paraId="278347C1" w14:textId="77777777" w:rsidR="00EA3414" w:rsidRDefault="00EA3414" w:rsidP="00E966AD">
            <w:pPr>
              <w:spacing w:line="480" w:lineRule="auto"/>
              <w:jc w:val="both"/>
              <w:rPr>
                <w:b/>
                <w:bCs/>
                <w:u w:val="single"/>
              </w:rPr>
            </w:pPr>
          </w:p>
        </w:tc>
        <w:tc>
          <w:tcPr>
            <w:tcW w:w="1915" w:type="dxa"/>
          </w:tcPr>
          <w:p w14:paraId="72648AA8" w14:textId="77777777" w:rsidR="00EA3414" w:rsidRDefault="00EA3414" w:rsidP="00E966AD">
            <w:pPr>
              <w:spacing w:line="480" w:lineRule="auto"/>
              <w:jc w:val="both"/>
              <w:rPr>
                <w:b/>
                <w:bCs/>
                <w:u w:val="single"/>
              </w:rPr>
            </w:pPr>
          </w:p>
        </w:tc>
        <w:tc>
          <w:tcPr>
            <w:tcW w:w="1915" w:type="dxa"/>
          </w:tcPr>
          <w:p w14:paraId="16283D2E" w14:textId="77777777" w:rsidR="00EA3414" w:rsidRDefault="00EA3414" w:rsidP="00E966AD">
            <w:pPr>
              <w:spacing w:line="480" w:lineRule="auto"/>
              <w:jc w:val="both"/>
              <w:rPr>
                <w:b/>
                <w:bCs/>
                <w:u w:val="single"/>
              </w:rPr>
            </w:pPr>
          </w:p>
        </w:tc>
        <w:tc>
          <w:tcPr>
            <w:tcW w:w="1916" w:type="dxa"/>
          </w:tcPr>
          <w:p w14:paraId="20BFC1CA" w14:textId="77777777" w:rsidR="00EA3414" w:rsidRDefault="00EA3414" w:rsidP="00E966AD">
            <w:pPr>
              <w:spacing w:line="480" w:lineRule="auto"/>
              <w:jc w:val="both"/>
              <w:rPr>
                <w:b/>
                <w:bCs/>
                <w:u w:val="single"/>
              </w:rPr>
            </w:pPr>
          </w:p>
        </w:tc>
      </w:tr>
      <w:tr w:rsidR="00EA3414" w14:paraId="5D69F4F7" w14:textId="77777777" w:rsidTr="00EA3414">
        <w:tc>
          <w:tcPr>
            <w:tcW w:w="1915" w:type="dxa"/>
          </w:tcPr>
          <w:p w14:paraId="2306FAB0" w14:textId="77777777" w:rsidR="00EA3414" w:rsidRDefault="00EA3414" w:rsidP="00E966AD">
            <w:pPr>
              <w:spacing w:line="480" w:lineRule="auto"/>
              <w:jc w:val="both"/>
              <w:rPr>
                <w:b/>
                <w:bCs/>
                <w:u w:val="single"/>
              </w:rPr>
            </w:pPr>
          </w:p>
        </w:tc>
        <w:tc>
          <w:tcPr>
            <w:tcW w:w="1915" w:type="dxa"/>
          </w:tcPr>
          <w:p w14:paraId="5DCC033C" w14:textId="77777777" w:rsidR="00EA3414" w:rsidRDefault="00EA3414" w:rsidP="00E966AD">
            <w:pPr>
              <w:spacing w:line="480" w:lineRule="auto"/>
              <w:jc w:val="both"/>
              <w:rPr>
                <w:b/>
                <w:bCs/>
                <w:u w:val="single"/>
              </w:rPr>
            </w:pPr>
          </w:p>
        </w:tc>
        <w:tc>
          <w:tcPr>
            <w:tcW w:w="1915" w:type="dxa"/>
          </w:tcPr>
          <w:p w14:paraId="76A4F1B4" w14:textId="77777777" w:rsidR="00EA3414" w:rsidRDefault="00EA3414" w:rsidP="00E966AD">
            <w:pPr>
              <w:spacing w:line="480" w:lineRule="auto"/>
              <w:jc w:val="both"/>
              <w:rPr>
                <w:b/>
                <w:bCs/>
                <w:u w:val="single"/>
              </w:rPr>
            </w:pPr>
          </w:p>
        </w:tc>
        <w:tc>
          <w:tcPr>
            <w:tcW w:w="1915" w:type="dxa"/>
          </w:tcPr>
          <w:p w14:paraId="30D98F96" w14:textId="77777777" w:rsidR="00EA3414" w:rsidRDefault="00EA3414" w:rsidP="00E966AD">
            <w:pPr>
              <w:spacing w:line="480" w:lineRule="auto"/>
              <w:jc w:val="both"/>
              <w:rPr>
                <w:b/>
                <w:bCs/>
                <w:u w:val="single"/>
              </w:rPr>
            </w:pPr>
          </w:p>
        </w:tc>
        <w:tc>
          <w:tcPr>
            <w:tcW w:w="1916" w:type="dxa"/>
          </w:tcPr>
          <w:p w14:paraId="25663773" w14:textId="77777777" w:rsidR="00EA3414" w:rsidRDefault="00EA3414" w:rsidP="00E966AD">
            <w:pPr>
              <w:spacing w:line="480" w:lineRule="auto"/>
              <w:jc w:val="both"/>
              <w:rPr>
                <w:b/>
                <w:bCs/>
                <w:u w:val="single"/>
              </w:rPr>
            </w:pPr>
          </w:p>
        </w:tc>
      </w:tr>
      <w:tr w:rsidR="00EA3414" w14:paraId="19DC0EAF" w14:textId="77777777" w:rsidTr="00EA3414">
        <w:tc>
          <w:tcPr>
            <w:tcW w:w="1915" w:type="dxa"/>
          </w:tcPr>
          <w:p w14:paraId="44E79ECB" w14:textId="77777777" w:rsidR="00EA3414" w:rsidRDefault="00EA3414" w:rsidP="00E966AD">
            <w:pPr>
              <w:spacing w:line="480" w:lineRule="auto"/>
              <w:jc w:val="both"/>
              <w:rPr>
                <w:b/>
                <w:bCs/>
                <w:u w:val="single"/>
              </w:rPr>
            </w:pPr>
          </w:p>
        </w:tc>
        <w:tc>
          <w:tcPr>
            <w:tcW w:w="1915" w:type="dxa"/>
          </w:tcPr>
          <w:p w14:paraId="04C39D47" w14:textId="77777777" w:rsidR="00EA3414" w:rsidRDefault="00EA3414" w:rsidP="00E966AD">
            <w:pPr>
              <w:spacing w:line="480" w:lineRule="auto"/>
              <w:jc w:val="both"/>
              <w:rPr>
                <w:b/>
                <w:bCs/>
                <w:u w:val="single"/>
              </w:rPr>
            </w:pPr>
          </w:p>
        </w:tc>
        <w:tc>
          <w:tcPr>
            <w:tcW w:w="1915" w:type="dxa"/>
          </w:tcPr>
          <w:p w14:paraId="5F7563DD" w14:textId="77777777" w:rsidR="00EA3414" w:rsidRDefault="00EA3414" w:rsidP="00E966AD">
            <w:pPr>
              <w:spacing w:line="480" w:lineRule="auto"/>
              <w:jc w:val="both"/>
              <w:rPr>
                <w:b/>
                <w:bCs/>
                <w:u w:val="single"/>
              </w:rPr>
            </w:pPr>
          </w:p>
        </w:tc>
        <w:tc>
          <w:tcPr>
            <w:tcW w:w="1915" w:type="dxa"/>
          </w:tcPr>
          <w:p w14:paraId="35850288" w14:textId="77777777" w:rsidR="00EA3414" w:rsidRDefault="00EA3414" w:rsidP="00E966AD">
            <w:pPr>
              <w:spacing w:line="480" w:lineRule="auto"/>
              <w:jc w:val="both"/>
              <w:rPr>
                <w:b/>
                <w:bCs/>
                <w:u w:val="single"/>
              </w:rPr>
            </w:pPr>
          </w:p>
        </w:tc>
        <w:tc>
          <w:tcPr>
            <w:tcW w:w="1916" w:type="dxa"/>
          </w:tcPr>
          <w:p w14:paraId="4ABEEECD" w14:textId="77777777" w:rsidR="00EA3414" w:rsidRDefault="00EA3414" w:rsidP="00E966AD">
            <w:pPr>
              <w:spacing w:line="480" w:lineRule="auto"/>
              <w:jc w:val="both"/>
              <w:rPr>
                <w:b/>
                <w:bCs/>
                <w:u w:val="single"/>
              </w:rPr>
            </w:pPr>
          </w:p>
        </w:tc>
      </w:tr>
      <w:tr w:rsidR="00EA3414" w14:paraId="56CDEEF2" w14:textId="77777777" w:rsidTr="00EA3414">
        <w:tc>
          <w:tcPr>
            <w:tcW w:w="1915" w:type="dxa"/>
          </w:tcPr>
          <w:p w14:paraId="2A2C0BBE" w14:textId="77777777" w:rsidR="00EA3414" w:rsidRDefault="00EA3414" w:rsidP="00E966AD">
            <w:pPr>
              <w:spacing w:line="480" w:lineRule="auto"/>
              <w:jc w:val="both"/>
              <w:rPr>
                <w:b/>
                <w:bCs/>
                <w:u w:val="single"/>
              </w:rPr>
            </w:pPr>
          </w:p>
        </w:tc>
        <w:tc>
          <w:tcPr>
            <w:tcW w:w="1915" w:type="dxa"/>
          </w:tcPr>
          <w:p w14:paraId="76CB4C64" w14:textId="77777777" w:rsidR="00EA3414" w:rsidRDefault="00EA3414" w:rsidP="00E966AD">
            <w:pPr>
              <w:spacing w:line="480" w:lineRule="auto"/>
              <w:jc w:val="both"/>
              <w:rPr>
                <w:b/>
                <w:bCs/>
                <w:u w:val="single"/>
              </w:rPr>
            </w:pPr>
          </w:p>
        </w:tc>
        <w:tc>
          <w:tcPr>
            <w:tcW w:w="1915" w:type="dxa"/>
          </w:tcPr>
          <w:p w14:paraId="703E8665" w14:textId="77777777" w:rsidR="00EA3414" w:rsidRDefault="00EA3414" w:rsidP="00E966AD">
            <w:pPr>
              <w:spacing w:line="480" w:lineRule="auto"/>
              <w:jc w:val="both"/>
              <w:rPr>
                <w:b/>
                <w:bCs/>
                <w:u w:val="single"/>
              </w:rPr>
            </w:pPr>
          </w:p>
        </w:tc>
        <w:tc>
          <w:tcPr>
            <w:tcW w:w="1915" w:type="dxa"/>
          </w:tcPr>
          <w:p w14:paraId="29B6CA74" w14:textId="77777777" w:rsidR="00EA3414" w:rsidRDefault="00EA3414" w:rsidP="00E966AD">
            <w:pPr>
              <w:spacing w:line="480" w:lineRule="auto"/>
              <w:jc w:val="both"/>
              <w:rPr>
                <w:b/>
                <w:bCs/>
                <w:u w:val="single"/>
              </w:rPr>
            </w:pPr>
          </w:p>
        </w:tc>
        <w:tc>
          <w:tcPr>
            <w:tcW w:w="1916" w:type="dxa"/>
          </w:tcPr>
          <w:p w14:paraId="64817E0F" w14:textId="77777777" w:rsidR="00EA3414" w:rsidRDefault="00EA3414" w:rsidP="00E966AD">
            <w:pPr>
              <w:spacing w:line="480" w:lineRule="auto"/>
              <w:jc w:val="both"/>
              <w:rPr>
                <w:b/>
                <w:bCs/>
                <w:u w:val="single"/>
              </w:rPr>
            </w:pPr>
          </w:p>
        </w:tc>
      </w:tr>
    </w:tbl>
    <w:p w14:paraId="492B432A" w14:textId="54412A18" w:rsidR="00EA3414" w:rsidRDefault="00EA3414" w:rsidP="00EA3414">
      <w:pPr>
        <w:spacing w:after="0" w:line="480" w:lineRule="auto"/>
        <w:jc w:val="both"/>
        <w:rPr>
          <w:b/>
          <w:bCs/>
          <w:u w:val="single"/>
        </w:rPr>
      </w:pPr>
    </w:p>
    <w:p w14:paraId="77EAC73C" w14:textId="6D6F438D" w:rsidR="001934F8" w:rsidRDefault="001934F8" w:rsidP="002E7360">
      <w:pPr>
        <w:spacing w:after="0" w:line="480" w:lineRule="auto"/>
        <w:jc w:val="both"/>
      </w:pPr>
    </w:p>
    <w:p w14:paraId="468EBCA4" w14:textId="296A01AF" w:rsidR="001934F8" w:rsidRPr="0083647F" w:rsidRDefault="001934F8" w:rsidP="0083647F">
      <w:pPr>
        <w:spacing w:after="0" w:line="240" w:lineRule="auto"/>
        <w:jc w:val="both"/>
        <w:rPr>
          <w:b/>
          <w:bCs/>
          <w:u w:val="single"/>
        </w:rPr>
      </w:pPr>
      <w:r w:rsidRPr="0083647F">
        <w:rPr>
          <w:b/>
          <w:bCs/>
          <w:u w:val="single"/>
        </w:rPr>
        <w:t>Hotspot Analysis</w:t>
      </w:r>
    </w:p>
    <w:p w14:paraId="6CE7C4F4" w14:textId="00FD4C85" w:rsidR="001934F8" w:rsidRDefault="001934F8" w:rsidP="0083647F">
      <w:pPr>
        <w:spacing w:after="0" w:line="240" w:lineRule="auto"/>
        <w:jc w:val="both"/>
      </w:pPr>
      <w:r w:rsidRPr="007C0789">
        <w:rPr>
          <w:highlight w:val="yellow"/>
        </w:rPr>
        <w:t>Ed Byers</w:t>
      </w:r>
      <w:r w:rsidR="00E80A8D">
        <w:t xml:space="preserve"> </w:t>
      </w:r>
      <w:r w:rsidR="00E80A8D">
        <w:fldChar w:fldCharType="begin"/>
      </w:r>
      <w:r w:rsidR="00E80A8D">
        <w:instrText xml:space="preserve"> ADDIN ZOTERO_ITEM CSL_CITATION {"citationID":"ykDSHHgn","properties":{"formattedCitation":"[1]","plainCitation":"[1]","noteIndex":0},"citationItems":[{"id":97,"uris":["http://zotero.org/users/2476381/items/8GN72ACP"],"uri":["http://zotero.org/users/2476381/items/8GN72ACP"],"itemData":{"id":97,"type":"article-journal","abstract":"Understanding the interplay between multiple climate change risks and socioeconomic development is increasingly required to inform effective actions to manage these risks and pursue sustainable development. We calculate a set of 14 impact indicators at different levels of global mean temperature (GMT) change and socioeconomic development covering water, energy and land sectors from an ensemble of global climate, integrated assessment and impact models. The analysis includes changes in drought intensity and water stress index, cooling demand change and heat event exposure, habitat degradation and crop yield, amongst others. To investigate exposure to multi-sector climate impacts, these are combined with gridded socioeconomic projections of population and those ‘vulnerable to poverty’ from three Shared Socioeconomic Pathways (SSP) (income &lt;$10/day, currently 4.2 billion people). We show that global exposure to multi-sector risks approximately doubles between 1.5 ◦C and 2 ◦C GMT change, doubles again with 3 ◦C GMT change and is </w:instrText>
      </w:r>
      <w:r w:rsidR="00E80A8D">
        <w:rPr>
          <w:rFonts w:ascii="Cambria Math" w:hAnsi="Cambria Math" w:cs="Cambria Math"/>
        </w:rPr>
        <w:instrText>∼</w:instrText>
      </w:r>
      <w:r w:rsidR="00E80A8D">
        <w:instrText xml:space="preserve">6x between the best and worst cases (SSP1/1.5 </w:instrText>
      </w:r>
      <w:r w:rsidR="00E80A8D">
        <w:rPr>
          <w:rFonts w:ascii="Calibri" w:hAnsi="Calibri" w:cs="Calibri"/>
        </w:rPr>
        <w:instrText>◦</w:instrText>
      </w:r>
      <w:r w:rsidR="00E80A8D">
        <w:instrText xml:space="preserve">C vs SSP3/3 </w:instrText>
      </w:r>
      <w:r w:rsidR="00E80A8D">
        <w:rPr>
          <w:rFonts w:ascii="Calibri" w:hAnsi="Calibri" w:cs="Calibri"/>
        </w:rPr>
        <w:instrText>◦</w:instrText>
      </w:r>
      <w:r w:rsidR="00E80A8D">
        <w:instrText>C, 0.8</w:instrText>
      </w:r>
      <w:r w:rsidR="00E80A8D">
        <w:rPr>
          <w:rFonts w:ascii="Calibri" w:hAnsi="Calibri" w:cs="Calibri"/>
        </w:rPr>
        <w:instrText>–</w:instrText>
      </w:r>
      <w:r w:rsidR="00E80A8D">
        <w:instrText xml:space="preserve">4.7bi). For populations vulnerable to poverty, the exposure is an order of magnitude greater (8–32x) in the high poverty and inequality scenarios (SSP3) compared to sustainable socioeconomic development (SSP1). Whilst 85%–95% of global exposure falls to Asian and African regions, they have 91%–98% of the exposed and vulnerable population (depending on SSP/GMT combination), approximately half of which in South Asia. In higher warming scenarios, African regions have growing proportion of the global exposed and vulnerable population, ranging from 7%–17% at 1.5 ◦C, doubling to 14%–30% at 2 ◦C and again to 27%–51% at 3 ◦C. Finally, beyond 2 ◦C and at higher risk thresholds, the world’s poorest are disproportionately impacted, particularly in cases (SSP3) of high inequality in Africa and southern Asia. Sustainable development that reduces poverty, mitigates emissions and meets targets in the water, energy and land sectors has the potential for order-of-magnitude scale reductions in multi-sector climate risk for the most vulnerable.","container-title":"Environmental Research Letters","DOI":"10.1088/1748-9326/aabf45","ISSN":"1748-9326","issue":"5","language":"en","page":"055012","source":"Crossref","title":"Global exposure and vulnerability to multi-sector development and climate change hotspots","volume":"13","author":[{"family":"Byers","given":"Edward"},{"family":"Gidden","given":"Matthew"},{"family":"Leclère","given":"David"},{"family":"Balkovic","given":"Juraj"},{"family":"Burek","given":"Peter"},{"family":"Ebi","given":"Kristie"},{"family":"Greve","given":"Peter"},{"family":"Grey","given":"David"},{"family":"Havlik","given":"Petr"},{"family":"Hillers","given":"Astrid"},{"family":"Johnson","given":"Nils"},{"family":"Kahil","given":"Taher"},{"family":"Krey","given":"Volker"},{"family":"Langan","given":"Simon"},{"family":"Nakicenovic","given":"Nebjosa"},{"family":"Novak","given":"Robert"},{"family":"Obersteiner","given":"Michael"},{"family":"Pachauri","given":"Shonali"},{"family":"Palazzo","given":"Amanda"},{"family":"Parkinson","given":"Simon"},{"family":"Rao","given":"Narasimha D"},{"family":"Rogelj","given":"Joeri"},{"family":"Satoh","given":"Yusuke"},{"family":"Wada","given":"Yoshihide"},{"family":"Willaarts","given":"Barbara"},{"family":"Riahi","given":"Keywan"}],"issued":{"date-parts":[["2018",5,1]]}}}],"schema":"https://github.com/citation-style-language/schema/raw/master/csl-citation.json"} </w:instrText>
      </w:r>
      <w:r w:rsidR="00E80A8D">
        <w:fldChar w:fldCharType="separate"/>
      </w:r>
      <w:r w:rsidR="00E80A8D" w:rsidRPr="00E80A8D">
        <w:rPr>
          <w:rFonts w:ascii="Calibri" w:hAnsi="Calibri" w:cs="Calibri"/>
        </w:rPr>
        <w:t>[1]</w:t>
      </w:r>
      <w:r w:rsidR="00E80A8D">
        <w:fldChar w:fldCharType="end"/>
      </w:r>
    </w:p>
    <w:p w14:paraId="106D2BE3" w14:textId="36959732" w:rsidR="00EA27DD" w:rsidRDefault="00EA27DD" w:rsidP="0083647F">
      <w:pPr>
        <w:spacing w:after="0" w:line="240" w:lineRule="auto"/>
        <w:jc w:val="both"/>
      </w:pPr>
      <w:hyperlink r:id="rId9" w:history="1">
        <w:r>
          <w:rPr>
            <w:rStyle w:val="Hyperlink"/>
          </w:rPr>
          <w:t>https://iopscience.iop.org/article/10.1088/1748-9326/aabf45/meta</w:t>
        </w:r>
      </w:hyperlink>
    </w:p>
    <w:p w14:paraId="40A1A01E" w14:textId="77777777" w:rsidR="00B31F5E" w:rsidRDefault="00B31F5E" w:rsidP="0083647F">
      <w:pPr>
        <w:spacing w:after="0" w:line="240" w:lineRule="auto"/>
        <w:jc w:val="both"/>
      </w:pPr>
    </w:p>
    <w:p w14:paraId="5FED8AE9" w14:textId="409A0441" w:rsidR="001934F8" w:rsidRDefault="001934F8" w:rsidP="0083647F">
      <w:pPr>
        <w:spacing w:after="0" w:line="240" w:lineRule="auto"/>
        <w:jc w:val="both"/>
      </w:pPr>
      <w:r w:rsidRPr="00445211">
        <w:rPr>
          <w:highlight w:val="yellow"/>
        </w:rPr>
        <w:t>RAND</w:t>
      </w:r>
      <w:r w:rsidR="00DD0752" w:rsidRPr="00445211">
        <w:rPr>
          <w:highlight w:val="yellow"/>
        </w:rPr>
        <w:t xml:space="preserve"> 2016</w:t>
      </w:r>
      <w:r w:rsidR="00D94297">
        <w:rPr>
          <w:highlight w:val="yellow"/>
        </w:rPr>
        <w:t xml:space="preserve"> </w:t>
      </w:r>
      <w:r w:rsidR="008A5674">
        <w:rPr>
          <w:highlight w:val="yellow"/>
        </w:rPr>
        <w:fldChar w:fldCharType="begin"/>
      </w:r>
      <w:r w:rsidR="00E80A8D">
        <w:rPr>
          <w:highlight w:val="yellow"/>
        </w:rPr>
        <w:instrText xml:space="preserve"> ADDIN ZOTERO_ITEM CSL_CITATION {"citationID":"leSO1fhX","properties":{"formattedCitation":"[2]","plainCitation":"[2]","noteIndex":0},"citationItems":[{"id":770,"uris":["http://zotero.org/users/2476381/items/IPLHY5BW"],"uri":["http://zotero.org/users/2476381/items/IPLHY5BW"],"itemData":{"id":770,"type":"article-journal","note":"publisher: Rand Corporation","source":"Google Scholar","title":"Developing the Pardee RAND Food-Energy-Water Security Index: Toward a Global Standardized, Quantitative, and Transparent Resource Assessment","title-short":"Developing the Pardee RAND Food-Energy-Water Security Index","author":[{"family":"Willis","given":"Henry H."},{"family":"Groves","given":"David G."},{"family":"Ringel","given":"Jeanne S."},{"family":"Mao","given":"Zhimin"},{"family":"Efron","given":"Shira"},{"family":"Abbott","given":"Michele"}],"issued":{"date-parts":[["2016"]]}}}],"schema":"https://github.com/citation-style-language/schema/raw/master/csl-citation.json"} </w:instrText>
      </w:r>
      <w:r w:rsidR="008A5674">
        <w:rPr>
          <w:highlight w:val="yellow"/>
        </w:rPr>
        <w:fldChar w:fldCharType="separate"/>
      </w:r>
      <w:r w:rsidR="00E80A8D" w:rsidRPr="00E80A8D">
        <w:rPr>
          <w:rFonts w:ascii="Calibri" w:hAnsi="Calibri" w:cs="Calibri"/>
          <w:highlight w:val="yellow"/>
        </w:rPr>
        <w:t>[2]</w:t>
      </w:r>
      <w:r w:rsidR="008A5674">
        <w:rPr>
          <w:highlight w:val="yellow"/>
        </w:rPr>
        <w:fldChar w:fldCharType="end"/>
      </w:r>
    </w:p>
    <w:p w14:paraId="6E2D278A" w14:textId="042509B3" w:rsidR="001934F8" w:rsidRDefault="00032882" w:rsidP="0083647F">
      <w:pPr>
        <w:spacing w:after="0" w:line="240" w:lineRule="auto"/>
        <w:jc w:val="both"/>
        <w:rPr>
          <w:rStyle w:val="Hyperlink"/>
        </w:rPr>
      </w:pPr>
      <w:hyperlink r:id="rId10" w:history="1">
        <w:r w:rsidR="001934F8">
          <w:rPr>
            <w:rStyle w:val="Hyperlink"/>
          </w:rPr>
          <w:t>https://www.prgs.edu/pardee-initiative/food-energy-water/about.html</w:t>
        </w:r>
      </w:hyperlink>
    </w:p>
    <w:p w14:paraId="1BF1CF67" w14:textId="6204BFE0" w:rsidR="00DD0752" w:rsidRDefault="00DD0752" w:rsidP="0083647F">
      <w:pPr>
        <w:spacing w:after="0" w:line="240" w:lineRule="auto"/>
        <w:jc w:val="both"/>
      </w:pPr>
      <w:hyperlink r:id="rId11" w:history="1">
        <w:r>
          <w:rPr>
            <w:rStyle w:val="Hyperlink"/>
          </w:rPr>
          <w:t>https://www.rand.org/pubs/tools/TL165.html</w:t>
        </w:r>
      </w:hyperlink>
    </w:p>
    <w:p w14:paraId="159412A7" w14:textId="77777777" w:rsidR="00B31F5E" w:rsidRDefault="00B31F5E" w:rsidP="0083647F">
      <w:pPr>
        <w:spacing w:after="0" w:line="240" w:lineRule="auto"/>
        <w:jc w:val="both"/>
      </w:pPr>
    </w:p>
    <w:p w14:paraId="61CDFF03" w14:textId="092E58AF" w:rsidR="001934F8" w:rsidRPr="00E80A8D" w:rsidRDefault="001934F8" w:rsidP="0083647F">
      <w:pPr>
        <w:spacing w:after="0" w:line="240" w:lineRule="auto"/>
        <w:jc w:val="both"/>
      </w:pPr>
      <w:proofErr w:type="spellStart"/>
      <w:r w:rsidRPr="00E80A8D">
        <w:rPr>
          <w:highlight w:val="yellow"/>
        </w:rPr>
        <w:t>Inas</w:t>
      </w:r>
      <w:proofErr w:type="spellEnd"/>
      <w:r w:rsidRPr="00E80A8D">
        <w:rPr>
          <w:highlight w:val="yellow"/>
        </w:rPr>
        <w:t xml:space="preserve"> 2017</w:t>
      </w:r>
      <w:r w:rsidRPr="00E80A8D">
        <w:t xml:space="preserve"> </w:t>
      </w:r>
      <w:r w:rsidR="007C3BBA" w:rsidRPr="007C3BBA">
        <w:t>Water–food–energy nexus index: analysis of water–energy–food nexus of crop’s production system applying the indicators approach</w:t>
      </w:r>
    </w:p>
    <w:p w14:paraId="76AE5A7D" w14:textId="4D04547D" w:rsidR="001934F8" w:rsidRPr="00E80A8D" w:rsidRDefault="00032882" w:rsidP="0083647F">
      <w:pPr>
        <w:spacing w:after="0" w:line="240" w:lineRule="auto"/>
        <w:jc w:val="both"/>
      </w:pPr>
      <w:hyperlink r:id="rId12" w:history="1">
        <w:r w:rsidR="001934F8" w:rsidRPr="00E80A8D">
          <w:rPr>
            <w:rStyle w:val="Hyperlink"/>
          </w:rPr>
          <w:t>https://link.springer.com/article/10.1007/s13201-017-0551-3</w:t>
        </w:r>
      </w:hyperlink>
    </w:p>
    <w:p w14:paraId="6C75C47A" w14:textId="7CFF5ABA" w:rsidR="0083647F" w:rsidRPr="00E80A8D" w:rsidRDefault="0083647F" w:rsidP="0083647F">
      <w:pPr>
        <w:spacing w:after="0" w:line="240" w:lineRule="auto"/>
        <w:jc w:val="both"/>
      </w:pPr>
    </w:p>
    <w:p w14:paraId="3A2A284F" w14:textId="0CF2EE21" w:rsidR="007C0789" w:rsidRDefault="0083647F" w:rsidP="0083647F">
      <w:pPr>
        <w:spacing w:after="0" w:line="240" w:lineRule="auto"/>
        <w:jc w:val="both"/>
      </w:pPr>
      <w:r w:rsidRPr="0083647F">
        <w:rPr>
          <w:highlight w:val="yellow"/>
        </w:rPr>
        <w:t>Karan 2018</w:t>
      </w:r>
      <w:r>
        <w:t xml:space="preserve"> </w:t>
      </w:r>
      <w:r w:rsidRPr="0083647F">
        <w:t>Quantitative modeling of interconnections associated with sustainable food, energy and water (FEW) systems</w:t>
      </w:r>
    </w:p>
    <w:p w14:paraId="5EA62E92" w14:textId="01241805" w:rsidR="0083647F" w:rsidRDefault="00032882" w:rsidP="0083647F">
      <w:pPr>
        <w:spacing w:after="0" w:line="240" w:lineRule="auto"/>
        <w:jc w:val="both"/>
      </w:pPr>
      <w:hyperlink r:id="rId13" w:history="1">
        <w:r w:rsidR="0083647F">
          <w:rPr>
            <w:rStyle w:val="Hyperlink"/>
          </w:rPr>
          <w:t>https://www.sciencedirect.com/science/article/pii/S0959652618322649</w:t>
        </w:r>
      </w:hyperlink>
    </w:p>
    <w:p w14:paraId="01B5F6C3" w14:textId="017F2075" w:rsidR="0083647F" w:rsidRDefault="0083647F" w:rsidP="0083647F">
      <w:pPr>
        <w:spacing w:after="0" w:line="240" w:lineRule="auto"/>
        <w:jc w:val="both"/>
      </w:pPr>
      <w:r>
        <w:t xml:space="preserve">Nexus Indicator. </w:t>
      </w:r>
    </w:p>
    <w:p w14:paraId="050CDB29" w14:textId="77777777" w:rsidR="00B31F5E" w:rsidRDefault="00B31F5E" w:rsidP="0083647F">
      <w:pPr>
        <w:spacing w:after="0" w:line="240" w:lineRule="auto"/>
        <w:jc w:val="both"/>
      </w:pPr>
    </w:p>
    <w:p w14:paraId="391DC974" w14:textId="4BC9B9E3" w:rsidR="00B770FD" w:rsidRDefault="00B770FD" w:rsidP="0083647F">
      <w:pPr>
        <w:spacing w:after="0" w:line="240" w:lineRule="auto"/>
        <w:jc w:val="both"/>
      </w:pPr>
      <w:proofErr w:type="spellStart"/>
      <w:r w:rsidRPr="00B770FD">
        <w:rPr>
          <w:highlight w:val="yellow"/>
        </w:rPr>
        <w:t>Venghaus</w:t>
      </w:r>
      <w:proofErr w:type="spellEnd"/>
      <w:r w:rsidRPr="00B770FD">
        <w:rPr>
          <w:highlight w:val="yellow"/>
        </w:rPr>
        <w:t xml:space="preserve"> 2019</w:t>
      </w:r>
      <w:r>
        <w:t xml:space="preserve"> </w:t>
      </w:r>
      <w:r w:rsidRPr="00B770FD">
        <w:t>From a few security indices to the FEW Security Index: Consistency in global food, energy and water security assessment</w:t>
      </w:r>
    </w:p>
    <w:p w14:paraId="14ED206C" w14:textId="138863C3" w:rsidR="00B770FD" w:rsidRDefault="00032882" w:rsidP="0083647F">
      <w:pPr>
        <w:spacing w:after="0" w:line="240" w:lineRule="auto"/>
        <w:jc w:val="both"/>
      </w:pPr>
      <w:hyperlink r:id="rId14" w:history="1">
        <w:r w:rsidR="00B770FD">
          <w:rPr>
            <w:rStyle w:val="Hyperlink"/>
          </w:rPr>
          <w:t>https://www.sciencedirect.com/science/article/pii/S2352550919301587</w:t>
        </w:r>
      </w:hyperlink>
    </w:p>
    <w:p w14:paraId="7267E08A" w14:textId="161E10E3" w:rsidR="00B31F5E" w:rsidRDefault="00B31F5E" w:rsidP="0083647F">
      <w:pPr>
        <w:spacing w:after="0" w:line="240" w:lineRule="auto"/>
        <w:jc w:val="both"/>
      </w:pPr>
    </w:p>
    <w:p w14:paraId="1A7A8698" w14:textId="4601091F" w:rsidR="00B31F5E" w:rsidRDefault="00B31F5E" w:rsidP="0083647F">
      <w:pPr>
        <w:spacing w:after="0" w:line="240" w:lineRule="auto"/>
        <w:jc w:val="both"/>
      </w:pPr>
      <w:r w:rsidRPr="00B31F5E">
        <w:rPr>
          <w:highlight w:val="yellow"/>
        </w:rPr>
        <w:t>Miner 2019</w:t>
      </w:r>
      <w:r>
        <w:t xml:space="preserve"> Parts Unmapped: Linear Multi-variate Analysis of Food, Water, and Temperature Requirements for Regional Stability</w:t>
      </w:r>
    </w:p>
    <w:p w14:paraId="68C603BF" w14:textId="643A17DE" w:rsidR="00B31F5E" w:rsidRDefault="00032882" w:rsidP="0083647F">
      <w:pPr>
        <w:spacing w:after="0" w:line="240" w:lineRule="auto"/>
        <w:jc w:val="both"/>
      </w:pPr>
      <w:hyperlink r:id="rId15" w:history="1">
        <w:r w:rsidR="00B31F5E">
          <w:rPr>
            <w:rStyle w:val="Hyperlink"/>
          </w:rPr>
          <w:t>https://apps.dtic.mil/dtic/tr/fulltext/u2/1081507.pdf</w:t>
        </w:r>
      </w:hyperlink>
    </w:p>
    <w:p w14:paraId="23B28B2C" w14:textId="1391E390" w:rsidR="00327D30" w:rsidRDefault="00327D30" w:rsidP="0083647F">
      <w:pPr>
        <w:spacing w:after="0" w:line="240" w:lineRule="auto"/>
        <w:jc w:val="both"/>
      </w:pPr>
    </w:p>
    <w:p w14:paraId="5ED3D737" w14:textId="5E26B2FB" w:rsidR="00327D30" w:rsidRDefault="00327D30" w:rsidP="0083647F">
      <w:pPr>
        <w:spacing w:after="0" w:line="240" w:lineRule="auto"/>
        <w:jc w:val="both"/>
      </w:pPr>
      <w:r w:rsidRPr="00327D30">
        <w:rPr>
          <w:highlight w:val="yellow"/>
        </w:rPr>
        <w:t>Zhang 2019</w:t>
      </w:r>
      <w:r>
        <w:t xml:space="preserve"> </w:t>
      </w:r>
      <w:r w:rsidRPr="00327D30">
        <w:t>Understanding the tele-coupling mechanism of urban food-energy-water nexus: Critical sources, nodes, and supply chains</w:t>
      </w:r>
    </w:p>
    <w:p w14:paraId="16257971" w14:textId="0DAD4015" w:rsidR="00327D30" w:rsidRDefault="00032882" w:rsidP="0083647F">
      <w:pPr>
        <w:spacing w:after="0" w:line="240" w:lineRule="auto"/>
        <w:jc w:val="both"/>
      </w:pPr>
      <w:hyperlink r:id="rId16" w:history="1">
        <w:r w:rsidR="00327D30">
          <w:rPr>
            <w:rStyle w:val="Hyperlink"/>
          </w:rPr>
          <w:t>https://www.sciencedirect.com/science/article/pii/S0959652619321973</w:t>
        </w:r>
      </w:hyperlink>
    </w:p>
    <w:p w14:paraId="4A802F35" w14:textId="329FEC55" w:rsidR="00327D30" w:rsidRDefault="00327D30" w:rsidP="0083647F">
      <w:pPr>
        <w:spacing w:after="0" w:line="240" w:lineRule="auto"/>
        <w:jc w:val="both"/>
      </w:pPr>
    </w:p>
    <w:p w14:paraId="3C3A37D2" w14:textId="6C6A57C0" w:rsidR="00327D30" w:rsidRDefault="00327D30" w:rsidP="0083647F">
      <w:pPr>
        <w:spacing w:after="0" w:line="240" w:lineRule="auto"/>
        <w:jc w:val="both"/>
      </w:pPr>
      <w:proofErr w:type="spellStart"/>
      <w:r w:rsidRPr="00327D30">
        <w:rPr>
          <w:highlight w:val="yellow"/>
        </w:rPr>
        <w:t>Tashtoush</w:t>
      </w:r>
      <w:proofErr w:type="spellEnd"/>
      <w:r w:rsidRPr="00327D30">
        <w:rPr>
          <w:highlight w:val="yellow"/>
        </w:rPr>
        <w:t xml:space="preserve"> 2019</w:t>
      </w:r>
      <w:r>
        <w:t xml:space="preserve"> </w:t>
      </w:r>
      <w:r w:rsidRPr="00327D30">
        <w:t>A review of the water–energy–food nexus measurement and management approach</w:t>
      </w:r>
    </w:p>
    <w:p w14:paraId="51668D21" w14:textId="721AE949" w:rsidR="0083647F" w:rsidRDefault="00032882" w:rsidP="0083647F">
      <w:pPr>
        <w:spacing w:after="0" w:line="240" w:lineRule="auto"/>
        <w:jc w:val="both"/>
      </w:pPr>
      <w:hyperlink r:id="rId17" w:history="1">
        <w:r w:rsidR="00327D30">
          <w:rPr>
            <w:rStyle w:val="Hyperlink"/>
          </w:rPr>
          <w:t>https://link.springer.com/article/10.1007/s42108-019-00042-8</w:t>
        </w:r>
      </w:hyperlink>
    </w:p>
    <w:p w14:paraId="0D748218" w14:textId="49AF8DD6" w:rsidR="00327D30" w:rsidRDefault="00327D30" w:rsidP="0083647F">
      <w:pPr>
        <w:spacing w:after="0" w:line="240" w:lineRule="auto"/>
        <w:jc w:val="both"/>
      </w:pPr>
    </w:p>
    <w:p w14:paraId="6EE130A4" w14:textId="3DBFF8DF" w:rsidR="00327D30" w:rsidRDefault="00327D30" w:rsidP="0083647F">
      <w:pPr>
        <w:spacing w:after="0" w:line="240" w:lineRule="auto"/>
        <w:jc w:val="both"/>
      </w:pPr>
      <w:r w:rsidRPr="00327D30">
        <w:rPr>
          <w:highlight w:val="yellow"/>
        </w:rPr>
        <w:t xml:space="preserve">Mc </w:t>
      </w:r>
      <w:proofErr w:type="spellStart"/>
      <w:r w:rsidRPr="00327D30">
        <w:rPr>
          <w:highlight w:val="yellow"/>
        </w:rPr>
        <w:t>Grane</w:t>
      </w:r>
      <w:proofErr w:type="spellEnd"/>
      <w:r w:rsidRPr="00327D30">
        <w:rPr>
          <w:highlight w:val="yellow"/>
        </w:rPr>
        <w:t xml:space="preserve"> 2018</w:t>
      </w:r>
      <w:r>
        <w:t xml:space="preserve"> </w:t>
      </w:r>
      <w:r w:rsidRPr="00327D30">
        <w:t xml:space="preserve">Scaling the nexus: Towards integrated frameworks for </w:t>
      </w:r>
      <w:proofErr w:type="spellStart"/>
      <w:r w:rsidRPr="00327D30">
        <w:t>analysing</w:t>
      </w:r>
      <w:proofErr w:type="spellEnd"/>
      <w:r w:rsidRPr="00327D30">
        <w:t xml:space="preserve"> water, energy and food</w:t>
      </w:r>
    </w:p>
    <w:p w14:paraId="41DDD5C2" w14:textId="55CCE2FE" w:rsidR="00327D30" w:rsidRDefault="00032882" w:rsidP="0083647F">
      <w:pPr>
        <w:spacing w:after="0" w:line="240" w:lineRule="auto"/>
        <w:jc w:val="both"/>
      </w:pPr>
      <w:hyperlink r:id="rId18" w:history="1">
        <w:r w:rsidR="00327D30">
          <w:rPr>
            <w:rStyle w:val="Hyperlink"/>
          </w:rPr>
          <w:t>https://rgs-ibg.onlinelibrary.wiley.com/doi/abs/10.1111/geoj.12256@10.1111/(ISSN)1475-4959.Geography_and_the_Water-Energy-Food_Nexus</w:t>
        </w:r>
      </w:hyperlink>
    </w:p>
    <w:p w14:paraId="4CCD113B" w14:textId="77777777" w:rsidR="00327D30" w:rsidRDefault="00327D30" w:rsidP="0083647F">
      <w:pPr>
        <w:spacing w:after="0" w:line="240" w:lineRule="auto"/>
        <w:jc w:val="both"/>
      </w:pPr>
    </w:p>
    <w:p w14:paraId="3EE74DDD" w14:textId="76A3B725" w:rsidR="00B527BF" w:rsidRPr="00DD0752" w:rsidRDefault="00B527BF" w:rsidP="0083647F">
      <w:pPr>
        <w:spacing w:after="0" w:line="240" w:lineRule="auto"/>
        <w:jc w:val="both"/>
        <w:rPr>
          <w:lang w:val="es-ES"/>
        </w:rPr>
      </w:pPr>
      <w:r w:rsidRPr="00DD0752">
        <w:rPr>
          <w:lang w:val="es-ES"/>
        </w:rPr>
        <w:t>Vinca et al.</w:t>
      </w:r>
    </w:p>
    <w:p w14:paraId="1917BE2C" w14:textId="66411F0D" w:rsidR="00B527BF" w:rsidRDefault="00B527BF" w:rsidP="0083647F">
      <w:pPr>
        <w:spacing w:after="0" w:line="240" w:lineRule="auto"/>
        <w:jc w:val="both"/>
        <w:rPr>
          <w:lang w:val="es-ES"/>
        </w:rPr>
      </w:pPr>
      <w:r>
        <w:rPr>
          <w:lang w:val="es-ES"/>
        </w:rPr>
        <w:t>NEST</w:t>
      </w:r>
    </w:p>
    <w:p w14:paraId="6B511D6C" w14:textId="77777777" w:rsidR="0083647F" w:rsidRPr="0080492F" w:rsidRDefault="0083647F" w:rsidP="0083647F">
      <w:pPr>
        <w:spacing w:after="0" w:line="240" w:lineRule="auto"/>
        <w:jc w:val="both"/>
        <w:rPr>
          <w:lang w:val="es-ES"/>
        </w:rPr>
      </w:pPr>
    </w:p>
    <w:p w14:paraId="4364B2C2" w14:textId="77777777" w:rsidR="007C0789" w:rsidRPr="007C0789" w:rsidRDefault="007C0789" w:rsidP="0083647F">
      <w:pPr>
        <w:spacing w:after="0" w:line="240" w:lineRule="auto"/>
        <w:jc w:val="both"/>
        <w:rPr>
          <w:lang w:val="es-ES"/>
        </w:rPr>
      </w:pPr>
      <w:r w:rsidRPr="007C0789">
        <w:rPr>
          <w:lang w:val="es-ES"/>
        </w:rPr>
        <w:t>Endo, Makoto</w:t>
      </w:r>
    </w:p>
    <w:p w14:paraId="092A84DC" w14:textId="77777777" w:rsidR="007C0789" w:rsidRPr="00DD0752" w:rsidRDefault="00032882" w:rsidP="0083647F">
      <w:pPr>
        <w:spacing w:after="0" w:line="240" w:lineRule="auto"/>
        <w:jc w:val="both"/>
      </w:pPr>
      <w:hyperlink r:id="rId19" w:history="1">
        <w:r w:rsidR="007C0789" w:rsidRPr="00DD0752">
          <w:rPr>
            <w:rStyle w:val="Hyperlink"/>
          </w:rPr>
          <w:t>https://www.mdpi.com/2073-4441/7/10/5806/htm</w:t>
        </w:r>
      </w:hyperlink>
    </w:p>
    <w:p w14:paraId="3C89EB77" w14:textId="77777777" w:rsidR="001934F8" w:rsidRPr="00DD0752" w:rsidRDefault="001934F8" w:rsidP="0083647F">
      <w:pPr>
        <w:spacing w:after="0" w:line="240" w:lineRule="auto"/>
        <w:jc w:val="both"/>
      </w:pPr>
    </w:p>
    <w:p w14:paraId="3DB11DA8" w14:textId="176E2B9F" w:rsidR="001934F8" w:rsidRPr="0083647F" w:rsidRDefault="001934F8" w:rsidP="0083647F">
      <w:pPr>
        <w:spacing w:after="0" w:line="240" w:lineRule="auto"/>
        <w:jc w:val="both"/>
        <w:rPr>
          <w:b/>
          <w:bCs/>
          <w:u w:val="single"/>
        </w:rPr>
      </w:pPr>
      <w:r w:rsidRPr="0083647F">
        <w:rPr>
          <w:b/>
          <w:bCs/>
          <w:u w:val="single"/>
        </w:rPr>
        <w:t>Multi-Scale (Inter-links)</w:t>
      </w:r>
    </w:p>
    <w:p w14:paraId="788C3346" w14:textId="38416C9C" w:rsidR="0080492F" w:rsidRDefault="0080492F" w:rsidP="0083647F">
      <w:pPr>
        <w:spacing w:after="0" w:line="240" w:lineRule="auto"/>
        <w:jc w:val="both"/>
      </w:pPr>
      <w:r w:rsidRPr="0080492F">
        <w:rPr>
          <w:highlight w:val="yellow"/>
        </w:rPr>
        <w:lastRenderedPageBreak/>
        <w:t>Veldhuis (2017)</w:t>
      </w:r>
      <w:r>
        <w:t xml:space="preserve"> </w:t>
      </w:r>
      <w:r w:rsidRPr="0080492F">
        <w:t xml:space="preserve">Integrated approaches to the </w:t>
      </w:r>
      <w:proofErr w:type="spellStart"/>
      <w:r w:rsidRPr="0080492F">
        <w:t>optimisation</w:t>
      </w:r>
      <w:proofErr w:type="spellEnd"/>
      <w:r w:rsidRPr="0080492F">
        <w:t xml:space="preserve"> of regional and local food–energy–water systems</w:t>
      </w:r>
    </w:p>
    <w:p w14:paraId="207894BF" w14:textId="3BCB79C3" w:rsidR="0080492F" w:rsidRDefault="00032882" w:rsidP="0083647F">
      <w:pPr>
        <w:spacing w:after="0" w:line="240" w:lineRule="auto"/>
        <w:jc w:val="both"/>
      </w:pPr>
      <w:hyperlink r:id="rId20" w:history="1">
        <w:r w:rsidR="0080492F">
          <w:rPr>
            <w:rStyle w:val="Hyperlink"/>
          </w:rPr>
          <w:t>https://www.sciencedirect.com/science/article/pii/S2211339817300242</w:t>
        </w:r>
      </w:hyperlink>
    </w:p>
    <w:p w14:paraId="34269E7D" w14:textId="2B13EFE1" w:rsidR="001934F8" w:rsidRDefault="001934F8" w:rsidP="0083647F">
      <w:pPr>
        <w:spacing w:after="0" w:line="240" w:lineRule="auto"/>
        <w:jc w:val="both"/>
      </w:pPr>
      <w:proofErr w:type="spellStart"/>
      <w:r w:rsidRPr="001923A4">
        <w:t>Abu</w:t>
      </w:r>
      <w:r>
        <w:t>libdeh</w:t>
      </w:r>
      <w:proofErr w:type="spellEnd"/>
      <w:r>
        <w:t xml:space="preserve"> &amp; </w:t>
      </w:r>
      <w:proofErr w:type="spellStart"/>
      <w:r>
        <w:t>Zaidan</w:t>
      </w:r>
      <w:proofErr w:type="spellEnd"/>
      <w:r>
        <w:t xml:space="preserve"> (2020) </w:t>
      </w:r>
      <w:r>
        <w:fldChar w:fldCharType="begin"/>
      </w:r>
      <w:r w:rsidR="00E80A8D">
        <w:instrText xml:space="preserve"> ADDIN ZOTERO_ITEM CSL_CITATION {"citationID":"Berwh2HI","properties":{"formattedCitation":"[3]","plainCitation":"[3]","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scale","author":[{"family":"Abulibdeh","given":"Ammar"},{"family":"Zaidan","given":"Esmat"}],"issued":{"date-parts":[["2020",2,1]]}}}],"schema":"https://github.com/citation-style-language/schema/raw/master/csl-citation.json"} </w:instrText>
      </w:r>
      <w:r>
        <w:fldChar w:fldCharType="separate"/>
      </w:r>
      <w:r w:rsidR="00E80A8D" w:rsidRPr="00E80A8D">
        <w:rPr>
          <w:rFonts w:ascii="Calibri" w:hAnsi="Calibri" w:cs="Calibri"/>
        </w:rPr>
        <w:t>[3]</w:t>
      </w:r>
      <w:r>
        <w:fldChar w:fldCharType="end"/>
      </w:r>
    </w:p>
    <w:p w14:paraId="489B03B7" w14:textId="77777777" w:rsidR="001934F8" w:rsidRDefault="001934F8" w:rsidP="0083647F">
      <w:pPr>
        <w:pStyle w:val="ListParagraph"/>
        <w:numPr>
          <w:ilvl w:val="0"/>
          <w:numId w:val="30"/>
        </w:numPr>
        <w:spacing w:after="0" w:line="240" w:lineRule="auto"/>
        <w:jc w:val="both"/>
      </w:pPr>
      <w:r>
        <w:t>Uses WEF index from RAND 2018.</w:t>
      </w:r>
    </w:p>
    <w:p w14:paraId="7DEA694E" w14:textId="6B76F07C" w:rsidR="001934F8" w:rsidRDefault="001934F8" w:rsidP="0083647F">
      <w:pPr>
        <w:spacing w:after="0" w:line="240" w:lineRule="auto"/>
        <w:jc w:val="both"/>
      </w:pPr>
      <w:proofErr w:type="spellStart"/>
      <w:r>
        <w:t>Cremades</w:t>
      </w:r>
      <w:proofErr w:type="spellEnd"/>
      <w:r>
        <w:t xml:space="preserve"> et al. (2019) </w:t>
      </w:r>
      <w:r>
        <w:fldChar w:fldCharType="begin"/>
      </w:r>
      <w:r w:rsidR="00E80A8D">
        <w:instrText xml:space="preserve"> ADDIN ZOTERO_ITEM CSL_CITATION {"citationID":"xyuMQ4Vz","properties":{"formattedCitation":"[4]","plainCitation":"[4]","noteIndex":0},"citationItems":[{"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Octavian"},{"family":"Kropf","given":"Bernadette"},{"family":"Brouwer","given":"Floor"},{"family":"Marin","given":"Mirabela"}],"issued":{"date-parts":[["2019",11]]}}}],"schema":"https://github.com/citation-style-language/schema/raw/master/csl-citation.json"} </w:instrText>
      </w:r>
      <w:r>
        <w:fldChar w:fldCharType="separate"/>
      </w:r>
      <w:r w:rsidR="00E80A8D" w:rsidRPr="00E80A8D">
        <w:rPr>
          <w:rFonts w:ascii="Calibri" w:hAnsi="Calibri" w:cs="Calibri"/>
        </w:rPr>
        <w:t>[4]</w:t>
      </w:r>
      <w:r>
        <w:fldChar w:fldCharType="end"/>
      </w:r>
    </w:p>
    <w:p w14:paraId="6AB1701B" w14:textId="77777777" w:rsidR="001934F8" w:rsidRDefault="001934F8" w:rsidP="002E7360">
      <w:pPr>
        <w:spacing w:after="0" w:line="480" w:lineRule="auto"/>
        <w:jc w:val="both"/>
      </w:pPr>
    </w:p>
    <w:p w14:paraId="598A8B34" w14:textId="00B54375" w:rsidR="000B3872" w:rsidRPr="001923A4" w:rsidRDefault="000B3872" w:rsidP="002E7360">
      <w:pPr>
        <w:spacing w:after="0" w:line="480" w:lineRule="auto"/>
        <w:jc w:val="both"/>
      </w:pPr>
      <w:r>
        <w:t>--------</w:t>
      </w:r>
    </w:p>
    <w:p w14:paraId="03727A93" w14:textId="6E8798E1" w:rsidR="00EA3414" w:rsidRDefault="00EA3414" w:rsidP="00362AA2">
      <w:pPr>
        <w:spacing w:after="0" w:line="480" w:lineRule="auto"/>
        <w:ind w:firstLine="720"/>
        <w:jc w:val="both"/>
        <w:rPr>
          <w:b/>
          <w:bCs/>
          <w:u w:val="single"/>
        </w:rPr>
      </w:pPr>
      <w:r>
        <w:rPr>
          <w:b/>
          <w:bCs/>
          <w:u w:val="single"/>
        </w:rPr>
        <w:fldChar w:fldCharType="begin"/>
      </w:r>
      <w:r w:rsidR="00E80A8D">
        <w:rPr>
          <w:b/>
          <w:bCs/>
          <w:u w:val="single"/>
        </w:rPr>
        <w:instrText xml:space="preserve"> ADDIN ZOTERO_ITEM CSL_CITATION {"citationID":"QLku3L17","properties":{"formattedCitation":"[3\\uc0\\u8211{}33]","plainCitation":"[3–33]","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label":"page"},{"id":269,"uris":["http://zotero.org/users/2476381/items/I4LV3RQB"],"uri":["http://zotero.org/users/2476381/items/I4LV3RQB"],"itemData":{"id":269,"type":"article-journal","abstract":"The water-energy-food (WEF) nexus is rapidly expanding in scholarly literature and policy settings as a novel way to address complex resource and development challenges. The nexus approach aims to identify tradeoffs and synergies of water, energy, and food systems, internalize social and environmental impacts, and guide development of cross-sectoral policies. However, while the WEF nexus offers a promising conceptual approach, the use of WEF nexus methods to systematically evaluate water, energy, and food interlinkages or support development of socially and politically-relevant resource policies has been limited. This paper reviews WEF nexus methods to provide a knowledge base of existing approaches and promote further development of analytical methods that align with nexus thinking. The systematic review of 245 journal articles and book chapters reveals that (a) use of speciﬁc and reproducible methods for nexus assessment is uncommon (less than one-third); (b) nexus methods frequently fall short of capturing interactions among water, energy, and food—the very linkages they conceptually purport to address; (c) assessments strongly favor quantitative approaches (nearly three-quarters); (d) use of social science methods is limited (approximately one-quarter); and (e) many nexus methods are conﬁned to disciplinary silos—only about one-quarter combine methods from diverse disciplines and less than one-ﬁfth utilize both quantitative and qualitative approaches. To help overcome these limitations, we derive four key features of nexus analytical tools and methods—innovation, context, collaboration, and implementation—from the literature that reﬂect WEF nexus thinking. By evaluating existing nexus analytical approaches based on these features, we highlight 18 studies that demonstrate promising advances to guide future research. This paper ﬁnds that to address complex resource and development challenges, mixed-methods and transdisciplinary approaches are needed that incorporate social and political dimensions of water, energy, and food; utilize multiple and interdisciplinary approaches; and engage stakeholders and decision-makers.","container-title":"Environmental Research Letters","DOI":"10.1088/1748-9326/aaa9c6","ISSN":"1748-9326","issue":"4","language":"en","page":"043002","source":"Crossref","title":"The Water-Energy-Food Nexus: A systematic review of methods for nexus assessment","title-short":"The Water-Energy-Food Nexus","volume":"13","author":[{"family":"Albrecht","given":"Tamee R"},{"family":"Crootof","given":"Arica"},{"family":"Scott","given":"Christopher A"}],"issued":{"date-parts":[["2018",4,1]]}},"label":"page"},{"id":721,"uris":["http://zotero.org/users/2476381/items/P46VD9E5"],"uri":["http://zotero.org/users/2476381/items/P46VD9E5"],"itemData":{"id":721,"type":"article-journal","abstract":"The areas of energy, water and food policy have numerous interwoven concerns ranging from ensuring access to services, to environmental impacts to price volatility. These issues manifest in very different ways in each of the three “spheres”, but often the impacts are closely related. Identifying these interrelationships a priori is of great importance to help target synergies and avoid potential tensions. Systems thinking is required to address such a wide swath of possible topics. This paper briefly describes some of the linkages at a high-level of aggregation – primarily from a developing country perspective – and via case studies, to arrive at some promising directions for addressing the nexus. To that end, we also present the attributes of a modelling framework that specifically addresses the nexus, and can thus serve to inform more effective national policies and regulations. While environmental issues are normally the ‘cohesive principle’ from which the three areas are considered jointly, the enormous inequalities arising from a lack of access suggest that economic and security-related issues may be stronger motivators of change. Finally, consideration of the complex interactions will require new institutional capacity both in industrialised and developing countries.","collection-title":"Clean Cooking Fuels and Technologies in Developing Economies","container-title":"Energy Policy","DOI":"10.1016/j.enpol.2011.09.039","ISSN":"0301-4215","issue":"12","journalAbbreviation":"Energy Policy","language":"en","page":"7896-7906","source":"ScienceDirect","title":"Considering the energy, water and food nexus: Towards an integrated modelling approach","title-short":"Considering the energy, water and food nexus","volume":"39","author":[{"family":"Bazilian","given":"Morgan"},{"family":"Rogner","given":"Holger"},{"family":"Howells","given":"Mark"},{"family":"Hermann","given":"Sebastian"},{"family":"Arent","given":"Douglas"},{"family":"Gielen","given":"Dolf"},{"family":"Steduto","given":"Pasquale"},{"family":"Mueller","given":"Alexander"},{"family":"Komor","given":"Paul"},{"family":"Tol","given":"Richard S. J."},{"family":"Yumkella","given":"Kandeh K."}],"issued":{"date-parts":[["2011",12,1]]}},"label":"page"},{"id":270,"uris":["http://zotero.org/users/2476381/items/F9QW5I5U"],"uri":["http://zotero.org/users/2476381/items/F9QW5I5U"],"itemData":{"id":270,"type":"article-journal","container-title":"Science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label":"page"},{"id":278,"uris":["http://zotero.org/users/2476381/items/UNNGS7MY"],"uri":["http://zotero.org/users/2476381/items/UNNGS7MY"],"itemData":{"id":278,"type":"article-journal","abstract":"The “nexus” is a potentially very appropriate approach to enhance resource efﬁciency and good governance in transboundary basins. Until now, however, evidence has been conﬁned to isolated case studies and the nexus approach remains largely undeﬁned. The methodology presented in this paper, developed for preparing a series of nexus assessments of selected river basins under the Water Convention of the United Nations Economic Commission for Europe (UNECE), is a timely contribution to this ongoing debate. The nexus assessment of a transboundary basin has the objective of identifying trade-offs and impacts across sectors and countries and to propose possible policy measures and technical actions at national and transboundary levels to reduce intersectoral tensions. This is done jointly with policy makers and local experts. Compared to an Integrated Water Resource Management approach, the water energy food ecosystems nexus approach concurrently considers multiple sectors and their evolution. This offers the opportunity to better involve key economic sectors—energy and agriculture in particular—in the dialogue over transboundary water resource uses, protection and management.","container-title":"Water","DOI":"10.3390/w8020059","ISSN":"2073-4441","issue":"2","language":"en","page":"59","source":"Crossref","title":"A Methodology to Assess the Water Energy Food Ecosystems Nexus in Transboundary River Basins","volume":"8","author":[{"family":"Strasser","given":"Lucia","non-dropping-particle":"de"},{"family":"Lipponen","given":"Annukka"},{"family":"Howells","given":"Mark"},{"family":"Stec","given":"Stephen"},{"family":"Bréthaut","given":"Christian"}],"issued":{"date-parts":[["2016",2,16]]}},"label":"page"},{"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M."}],"issued":{"date-parts":[["2017",6]]}},"label":"page"},{"id":709,"uris":["http://zotero.org/users/2476381/items/6JCC72E4"],"uri":["http://zotero.org/users/2476381/items/6JCC72E4"],"itemData":{"id":709,"type":"chapter","abstract":"sThere is growing concern that traditional assessments focused on water resources alone ignore vulnerabilities related to water’s connections to food, energy, and land. The international trade in food includes embedded water, sometimes with unintended consequences. Water problems may appear in unexpected forms because of these interdependencies. The production of energy requires large volumes of water for cooling and turning turbines. Water shortages and disruptions from water-related events can interrupt power supplies with significant ramifications for the economy and society. Failure to account for the water consequences of land use decisions results in a governance gap between the land and water sectors. Vulnerabilities can occur in surprising and exaggerated ways in the water, energy, food, and land (WELF) systems that dominate today’s complex resource systems.","container-title":"Building Resilience for Uncertain Water Futures","event-place":"Cham","ISBN":"978-3-319-71234-5","language":"en","note":"DOI: 10.1007/978-3-319-71234-5_4","page":"61-89","publisher":"Springer International Publishing","publisher-place":"Cham","source":"Springer Link","title":"Hidden Vulnerabilities in the Water-Energy-Land-Food (WELF) Nexus","URL":"https://doi.org/10.1007/978-3-319-71234-5_4","author":[{"family":"Gober","given":"Patricia"}],"editor":[{"family":"Gober","given":"Patricia"}],"accessed":{"date-parts":[["2020",3,21]]},"issued":{"date-parts":[["2018"]]}},"label":"page"},{"id":702,"uris":["http://zotero.org/users/2476381/items/HCD75HNN"],"uri":["http://zotero.org/users/2476381/items/HCD75HNN"],"itemData":{"id":702,"type":"article-journal","abstract":"Depletion of natural resources needs quantification and efficiency analysis of the use of resources to improve sustainability. This paper evaluates the efficiency of Organization for Economic Co-Operation and Development (OECD) countries in terms of Water-Energy-Land-Food (WELF-Nexus) to ensure sustainability and environmental viability for both present and future generations. An input-output index system is built at a transnational level. Composite and intrinsic indicators are introduced to incorporate the interconnections and tradeoffs between sectors of the nexus and outcomes of the nexus. The nonparametric benchmarking order-α model, resulting from Data Envelopment Analysis (DEA) is used to estimate WELF-Nexus efficiency of each country, and to alleviate the intricacies of using composite and intrinsic indicators. To ensure resource generativity, an output target setting model that accommodates predefined input is proposed. Results show variation in performance among OECD members, with an annual average efficiency score of 68%, 69% and 78% in 2007, 2012, and 2016. Sensitivity analysis was performed to measure the effect of drought on WELF efficiency, a decrease of about 13% on average WELF efficiency was observed. Outputs improvement was recommended for each country: Lithuania (14%), Mexico (10%) and 11% for Hungary, Latvia, and Turkey due to their high inefficiency. The study provides a robust framework for policy making and shows that a win-win strategy for the nexus must be implemented to achieve WELF-Nexus efficiency, given the trade-offs within its sectors. Furthermore, it highlights that innovative-driven policies will enhance WELF-Nexus efficiency and sustainability.","container-title":"Science of The Total Environment","DOI":"10.1016/j.scitotenv.2019.134017","ISSN":"0048-9697","journalAbbreviation":"Science of The Total Environment","language":"en","page":"134017","source":"ScienceDirect","title":"Transnational resource generativity: Efficiency analysis and target setting of water, energy, land, and food nexus for OECD countries","title-short":"Transnational resource generativity","volume":"697","author":[{"family":"Ibrahim","given":"Mustapha D."},{"family":"Ferreira","given":"Diogo Cunha"},{"family":"Daneshvar","given":"Sahand"},{"family":"Marques","given":"Rui Cunha"}],"issued":{"date-parts":[["2019",12,20]]}},"label":"page"},{"id":272,"uris":["http://zotero.org/users/2476381/items/DWEAYS9W"],"uri":["http://zotero.org/users/2476381/items/DWEAYS9W"],"itemData":{"id":272,"type":"article-journal","container-title":"Water","DOI":"10.3390/w11112223","ISSN":"2073-4441","issue":"11","language":"en","page":"2223","source":"Crossref","title":"Integrated Solutions for the Water-Energy-Land Nexus: Are Global Models Rising to the Challenge?","title-short":"Integrated Solutions for the Water-Energy-Land Nexus","volume":"11","author":[{"family":"Johnson","given":"Nils"},{"family":"Burek","given":"Peter"},{"family":"Byers","given":"Edward"},{"family":"Falchetta","given":"Giacomo"},{"family":"Flörke","given":"Martina"},{"family":"Fujimori","given":"Shinichiro"},{"family":"Havlik","given":"Petr"},{"family":"Hejazi","given":"Mohamad"},{"family":"Hunt","given":"Julian"},{"family":"Krey","given":"Volker"},{"family":"Langan","given":"Simon"},{"family":"Nakicenovic","given":"Nebojsa"},{"family":"Palazzo","given":"Amanda"},{"family":"Popp","given":"Alexander"},{"family":"Riahi","given":"Keywan"},{"family":"Dijk","given":"Michiel","non-dropping-particle":"van"},{"family":"Vliet","given":"Michelle T.H.","non-dropping-particle":"van"},{"family":"Vuuren","given":"Detlef P.","non-dropping-particle":"van"},{"family":"Wada","given":"Yoshihide"},{"family":"Wiberg","given":"David"},{"family":"Willaarts","given":"Barbara"},{"family":"Zimm","given":"Caroline"},{"family":"Parkinson","given":"Simon"}],"issued":{"date-parts":[["2019",10,25]]}},"label":"page"},{"id":704,"uris":["http://zotero.org/users/2476381/items/TLEEXCXS"],"uri":["http://zotero.org/users/2476381/items/TLEEXCXS"],"itemData":{"id":704,"type":"article-journal","abstract":"Abstract This study presents the development of a new bottom-up large-scale hydroeconomic model, Extended Continental-scale Hydroeconomic Optimization (ECHO), that works at a subbasin scale over a continent. The strength of ECHO stems from the integration of a detailed representation of local hydrological and technological constraints with regional and global policies, while accounting for the feedbacks between water, energy, and agricultural sectors. In this study, ECHO has been applied over Africa as a case study with the aim of demonstrating the benefits of this integrated hydroeconomic modeling framework. Results of this framework are overall consistent with previous findings evaluating the cost of water supply and adaptation to global changes in Africa. Moreover, results provide critical assessments of future investment needs in both supply- and demand-side water management options, economic implications of contrasting future socioeconomic and climate change scenarios, and the potential trade-offs among economic and environmental objectives. Overall, this study demonstrates the capacity of ECHO to address challenging research questions examining the sustainability of water supply and the impacts of water management on energy and food sectors and vice versa. As such, we propose ECHO as useful tool for water-related scenario analysis and management options evaluation.","container-title":"Water Resources Research","DOI":"10.1029/2017WR022478@10.1002/(ISSN)1944-7973.HESSS4","ISSN":"0043-1397","journalAbbreviation":"Water Resources Research","note":"publisher: John Wiley &amp; Sons, Ltd","page":"7511-7533","source":"agupubs.onlinelibrary.wiley.com (Atypon)","title":"A Continental-Scale Hydroeconomic Model for Integrating Water-Energy-Land Nexus Solutions","author":[{"family":"Kahil","given":"Taher"},{"family":"Parkinson","given":"Simon"},{"family":"Satoh","given":"Yusuke"},{"family":"Greve","given":"Peter"},{"family":"Burek","given":"Peter"},{"family":"Veldkamp","given":"Ted I. E."},{"family":"Burtscher","given":"Robert"},{"family":"Byers","given":"Edward"},{"family":"Djilali","given":"Ned"},{"family":"Fischer","given":"Guenther"},{"family":"Krey","given":"Volker"},{"family":"Langan","given":"Simon"},{"family":"Riahi","given":"Keywan"},{"family":"Tramberend","given":"Sylvia"},{"family":"Wada","given":"Yoshihide"}],"issued":{"date-parts":[["2017",6,26]]}},"label":"page"},{"id":625,"uris":["http://zotero.org/users/2476381/items/QPE2KPC3"],"uri":["http://zotero.org/users/2476381/items/QPE2KPC3"],"itemData":{"id":625,"type":"book","abstract":"Global trends such as urbanization, demographic and climate change that are currently underway pose serious challenges to sustainable development and integrated resources management. The complex relations between demands, resource availability and quality and financial and physical constraints can be addressed by knowledge based policies and reform of professional practice. The nexus approach recognizes the urgent need for this knowledge and its interpretation in a policy- relevant setting that is guided by the understanding that there is a lack of blueprints for development based on integrated management of water, soil and waste resources in the Member States. Generation and application of knowledge is both a priority for individual but also institutional capacity development.","ISBN":"978-3-319-05746-0","language":"en","note":"DOI: 10.1007/978-3-319-05747-7","publisher":"Springer International Publishing","source":"www.springer.com","title":"Governing the Nexus: Water, Soil and Waste Resources Considering Global Change","title-short":"Governing the Nexus","URL":"https://www.springer.com/gp/book/9783319057460","editor":[{"family":"Kurian","given":"Mathew"},{"family":"Ardakanian","given":"Reza"}],"accessed":{"date-parts":[["2020",2,10]]},"issued":{"date-parts":[["2015"]]}},"label":"page"},{"id":706,"uris":["http://zotero.org/users/2476381/items/2XW42E7L"],"uri":["http://zotero.org/users/2476381/items/2XW42E7L"],"itemData":{"id":706,"type":"article-journal","abstract":"Over the last decades, combating climate change has been an important concern for policy makers. As a result, many policies have been designed towards this direction. Being electricity generation the focus of climate change mitigation policies, important changes are expected in this sector over the next few years as a result of the implementation of such policies. However, electricity production also generates other impacts on the water, energy and land (WEL) nexus that must be further investigated. To shed some light to this issue, this paper presents and discusses the potential impacts on the water-energy-land nexus resulting from the decarbonisation of the Spanish electricity system impacts under two different long-term scenarios. Using a Life Cycle Assessment (LCA) approach, a set of environmental impacts relevant for the nexus have been analysed for the current and future electricity generation technologies in Spain. Additionally, through the use of an optimization energy model&amp;mdash;Times-Spain&amp;mdash;the evolution of the electricity technologies in Spain until 2030, under two different scenarios and targets has been assessed. Taking into consideration such scenarios, the global warming, acidification, eutrophication, ecotoxicity, water consumption, resource depletion and land use impacts have been estimated. Results show that, over time, together with the decrease of greenhouse gas emission, acidification and eutrophication tend to decrease in both scenarios. On the contrary, ecotoxicity and resource use impacts tend to increase.","container-title":"Energies","DOI":"10.3390/en11051203","issue":"5","language":"en","note":"number: 5\npublisher: Multidisciplinary Digital Publishing Institute","page":"1203","source":"www.mdpi.com","title":"Impacts of Decarbonisation on the Water-Energy-Land (WEL) Nexus: A Case Study of the Spanish Electricity Sector","title-short":"Impacts of Decarbonisation on the Water-Energy-Land (WEL) Nexus","volume":"11","author":[{"family":"Lechón","given":"Yolanda"},{"family":"De La Rúa","given":"Cristina"},{"family":"Cabal","given":"Helena"}],"issued":{"date-parts":[["2018",5]]}},"label":"page"},{"id":626,"uris":["http://zotero.org/users/2476381/items/8YCUNYYU"],"uri":["http://zotero.org/users/2476381/items/8YCUNYYU"],"itemData":{"id":626,"type":"article-journal","abstract":"Sustainability challenges, such as feeding people with fewer resources, involve challenges at the nexus of multiple issues, such as food, water and energy. This Review explores such nexus approaches, surveying their use towards sustainable development challenges, discussing examples, and proposing a systematic procedure and future directions.","container-title":"Nature Sustainability","DOI":"10.1038/s41893-018-0135-8","ISSN":"2398-9629","issue":"9","language":"en","page":"466-476","source":"www.nature.com","title":"Nexus approaches to global sustainable development","volume":"1","author":[{"family":"Liu","given":"Jianguo"},{"family":"Hull","given":"Vanessa"},{"family":"Godfray","given":"H. Charles J."},{"family":"Tilman","given":"David"},{"family":"Gleick","given":"Peter"},{"family":"Hoff","given":"Holger"},{"family":"Pahl-Wostl","given":"Claudia"},{"family":"Xu","given":"Zhenci"},{"family":"Chung","given":"Min Gon"},{"family":"Sun","given":"Jing"},{"family":"Li","given":"Shuxin"}],"issued":{"date-parts":[["2018",9]]}},"label":"page"},{"id":273,"uris":["http://zotero.org/users/2476381/items/25H7GU6K"],"uri":["http://zotero.org/users/2476381/items/25H7GU6K"],"itemData":{"id":273,"type":"article-journal","abstract":"In their opinion paper, Liu et al. highlight the insufficient development of methods such as integrated modelling tools to assess the water–energy–food (WEF) nexus system complexity. This can be attributed to the lack of research programmes addressing the WEF nexus, especially in the European Union. To enable the development of innovative research methods, we need educational and research programmes that explicitly focus on the WEF security nexus. These programmes should promote interdisciplinary approaches that incorporate hydrology as well as sciences related to energy and food security, and environmental governance.","container-title":"Hydrological Sciences Journal","DOI":"10.1080/02626667.2018.1545096","ISSN":"0262-6667, 2150-3435","issue":"12","language":"en","page":"1866-1867","source":"Crossref","title":"Discussion of “Challenges in operationalizing the water–energy–food nexus” &lt;sup/&gt;","volume":"63","author":[{"family":"Nauditt","given":"Alexandra"}],"issued":{"date-parts":[["2018",9,10]]}},"label":"page"},{"id":628,"uris":["http://zotero.org/users/2476381/items/Q5BTMILY"],"uri":["http://zotero.org/users/2476381/items/Q5BTMILY"],"itemData":{"id":628,"type":"article-journal","abstract":"Essential for society to function, the production and consumption of food, energy, and water (FEW) are deeply intertwined, leading to calls for a nexus approach to understand and manage the complex tradeoffs and cascading effects. What research exists to date on this FEW nexus? How have scholars conceptualized these interactions at the urban scale? What are some promising approaches? Where are the research gaps? To answer these questions, we conducted a quantitative review of the academic literature on the FEW nexus (1399 publications) over more than four decades (1973–2017), followed by in-depth analysis of the most influential papers using an evaluation matrix that examined four components: 1) modeling approach; 2) scale; 3) nexus ‘trigger’; and 4) governance and policy. Scholars in the fields of environmental science predominated, while social science domains were under-represented. Most papers used quantitative rather than qualitative approaches, especially integrated assessment and systems dynamics modeling although spatial scale was generally recognized, explicit consideration of multi-scalar interactions was limited. Issues of institutional structure, governance, equity, resource access, and behavior were also underdeveloped. Bibliometric analysis of this literature revealed six distinct research communities, including a nascent urban FEW community. We replicated the analysis for this urban group, finding it to be just emerging (80% of papers have been published since 2010) and dominated by scholars in industrial ecology. These scholars focus on quantifying FEW flows of the urban metabolism in isolation rather than as a nexus, largely ignoring the political and socio-economic factors shaping these flows. We propose the urban FEW metabolism as a boundary object to draw in diverse scholarly and practitioner communities. This will advance research on complex FEW systems in four key areas: (1) integration of heterogeneous models and approaches; (2) scalar linkages between urban consumption and trans-boundary resource flows; (3) how actors and institutions shape resource access, distribution and use; and (4) co-production of knowledge with stakeholders.","container-title":"Environmental Research Letters","DOI":"10.1088/1748-9326/ab0767","ISSN":"1748-9326","issue":"7","journalAbbreviation":"Environ. Res. Lett.","language":"en","page":"073003","source":"Institute of Physics","title":"A 40-year review of food–energy–water nexus literature and its application to the urban scale","volume":"14","author":[{"family":"Newell","given":"Joshua P."},{"family":"Goldstein","given":"Benjamin"},{"family":"Foster","given":"Alec"}],"issued":{"date-parts":[["2019",7]]}},"label":"page"},{"id":634,"uris":["http://zotero.org/users/2476381/items/C3XCJUBE"],"uri":["http://zotero.org/users/2476381/items/C3XCJUBE"],"itemData":{"id":634,"type":"article-journal","abstract":"The discourse on the need for water, energy, and food security has dominated the development agenda of southern African countries, centred on improving livelihoods, building resilience, and regional integration. About 60% of the population in the Southern African Development Community (SADC) live in rural areas relying mainly on rainfed agriculture, lacking access to clean water and energy, yet the region is endowed with vast natural resources. The water-energy-food (WEF) nexus is a conceptual framework that presents opportunities for greater resource coordination, management, and policy convergence across sectors. This is particularly relevant in the SADC region as resources are transboundary and supports efforts linked to regional integration and inclusive socio-economic development and security. We conducted an appraisal of WEF-related policies and institutions in SADC and identified linkages among them. The present &amp;lsquo;silo&amp;rsquo; approach in resource management and allocation, often conducted at the national level, contributes to the region&amp;rsquo;s failure to meet its development targets, exacerbating its vulnerabilities. The lack of coordination of WEF nexus synergies and trade-offs in planning often threatens the sustainability of development initiatives. We highlighted the importance of the WEF nexus to sustainably address the sectoral coordination of resources through harmonised institutions and policies, as well as setting targets and indicators to direct and monitor nexus developments. We illustrate the significance of the nexus in promoting inclusive development and transforming vulnerable communities into resilient societies. The study recommends a set of integrated assessment models to monitor and evaluate the implementation of WEF nexus targets. Going forward, we propose the adoption of a regional WEF nexus framework.","container-title":"Water","DOI":"10.3390/w10050567","issue":"5","language":"en","page":"567","source":"www.mdpi.com","title":"The Water-Energy-Food Nexus: Climate Risks and Opportunities in Southern Africa","title-short":"The Water-Energy-Food Nexus","volume":"10","author":[{"family":"Nhamo","given":"Luxon"},{"family":"Ndlela","given":"Bekithemba"},{"family":"Nhemachena","given":"Charles"},{"family":"Mabhaudhi","given":"Tafadzwanashe"},{"family":"Mpandeli","given":"Sylvester"},{"family":"Matchaya","given":"Greenwell"}],"issued":{"date-parts":[["2018",5]]}},"label":"page"},{"id":715,"uris":["http://zotero.org/users/2476381/items/YLCI72G2"],"uri":["http://zotero.org/users/2476381/items/YLCI72G2"],"itemData":{"id":715,"type":"article-journal","abstract":"Although water is rarely traded over long distances by itself, the total weight of the water consumed to produce traded commodities exceeds the weight of any other commodity traded in the world. This concept is known as virtual water trade. Although space-/time-/commodity-based quantification has been conducted extensively, the underlying causes of this peculiar feature have thus far received little exploration. Here, we use estimates of water consumption from a global hydrological model and statistical data related to food trade to elucidate three facts that explain the fundamental nature of virtual water trade with respect to alleviating water scarcity. First, we quantitatively illustrate the unique position of water among commodities based on its unit price and quantity of sales. Water has an extremely low unit price, and a tremendous volume of water is consumed per person each day. Second, we show that rich but water-scarce countries tend to reduce local water consumption by importing virtual water. Third, we demonstrate that nations characterized by net virtual water exports have higher water resources and income per capita and that no countries fall below a certain threshold with respect to both GDP and water resources. These points suggest that the virtual water trade is explained by economic characteristics of water and that sustainable development depends on promoting the co-development of poverty alleviation and water resource development.","container-title":"Environmental Research Letters","DOI":"10.1088/1748-9326/aa625f","ISSN":"1748-9326","issue":"4","journalAbbreviation":"Environ. Res. Lett.","language":"en","note":"publisher: IOP Publishing","page":"044002","source":"Institute of Physics","title":"Economic aspects of virtual water trade","volume":"12","author":[{"family":"Oki","given":"Taikan"},{"family":"Yano","given":"Shinjiro"},{"family":"Hanasaki","given":"Naota"}],"issued":{"date-parts":[["2017",3]]}},"label":"page"},{"id":627,"uris":["http://zotero.org/users/2476381/items/LXL9E6IG"],"uri":["http://zotero.org/users/2476381/items/LXL9E6IG"],"itemData":{"id":627,"type":"article-journal","abstract":"Rapid growth in the food-energy-water (FEW) nexus literature calls for an assessment of the trajectory and impacts of this scholarship to identify key themes and future research directions. In this paper, we report on a bibliometric analysis of this literature that focuses on (1) examining publication trends and geographic focus of research, (2) identifying research hotspots and emerging themes, (3) assessing the integrated nature of research, and (4) reflecting on major developments and ways forward. We used Elsevier&amp;rsquo;s SCOPUS database to search for publications from January 2011 to May 2018 on the FEW nexus, and analyzed the final sample of 257 publications using BibExcel and Vosviewer software tools. The analysis showed steady growth in publications since 2011 with a sharp upturn in 2015 and 2016, coinciding with major funding calls. Thematic analysis of abstracts revealed a strong focus on quantitative resource interlinkages with limited attention to qualitative institutional capacities and intersectoral governance challenges. Term co-occurrence network map showed the term &amp;ldquo;investment&amp;rdquo; connected with a large number of frequently cited terms, while the term &amp;ldquo;governance&amp;rdquo; demonstrated much weaker links. We reflect on how these findings may help us better understand and address the enduring challenge of transitioning from nexus thinking to action.","container-title":"Sustainability","DOI":"10.3390/su12031112","issue":"3","language":"en","page":"1112","source":"www.mdpi.com","title":"A Bibliometric Analysis of Food-Energy-Water Nexus Literature","volume":"12","author":[{"family":"Opejin","given":"Adenike K."},{"family":"Aggarwal","given":"Rimjhim M."},{"family":"White","given":"Dave D."},{"family":"Jones","given":"J. Leah"},{"family":"Maciejewski","given":"Ross"},{"family":"Mascaro","given":"Giuseppe"},{"family":"Sarjoughian","given":"Hessam S."}],"issued":{"date-parts":[["2020",1]]}},"label":"page"},{"id":632,"uris":["http://zotero.org/users/2476381/items/WFLPYLIB"],"uri":["http://zotero.org/users/2476381/items/WFLPYLIB"],"itemData":{"id":632,"type":"article-journal","abstract":"Developing countries face a difficult challenge in meeting the growing demands for food, water, and energy, which is further compounded by climate change. Effective adaptation to change requires the efficient use of land, water, energy, and other vital resources, and coordinated efforts to minimize trade-offs and maximize synergies. However, as in many developing countries, the policy process in South Asia generally follows a sectoral approach that does not take into account the interconnections and interdependence among the three sectors. Although the concept of a water–energy–food nexus is gaining currency, and adaptation to climate change has become an urgent need, little effort has been made so far to understand the linkages between the nexus perspective and adaptation to climate change. Using the Hindu Kush Himalayan region as an example, this article seeks to increase understanding of the interlinkages in the water, energy, and food nexus, explains why it is important to consider this nexus in the context of adaptation responses, and argues that focusing on trade-offs and synergies using a nexus approach could facilitate greater climate change adaptation and help ensure food, water, and energy security by enhancing resource use efficiency and encouraging greater policy coherence. It concludes that a nexus-based adaption approach – which integrates a nexus perspective into climate change adaptation plans and an adaptation perspective into development plans – is crucial for effective adaptation. The article provides a conceptual framework for considering the nexus approach in relation to climate change adaptation, discusses the potential synergies, trade-offs, and offers a broader framework for making adaptation responses more effective.Policy relevanceThis article draws attention to the importance of the interlinkages in the water, energy, and food nexus, and the implications for sustainable development and adaptation. The potential synergies and complementarities among the sectors should be used to guide formulation of effective adaptation options. The issues highlight the need for a shift in policy approaches from a sectoral focus, which can result in competing and counterproductive actions, to an integrated approach with policy coherence among the sectors that uses knowledge of the interlinkages to maximize gain, optimize trade-offs, and avoid negative impacts.","container-title":"Climate Policy","DOI":"10.1080/14693062.2015.1029865","ISSN":"1469-3062","issue":"6","page":"682-702","source":"Taylor and Francis+NEJM","title":"The nexus approach to water–energy–food security: an option for adaptation to climate change","title-short":"The nexus approach to water–energy–food security","volume":"16","author":[{"family":"Rasul","given":"Golam"},{"family":"Sharma","given":"Bikash"}],"issued":{"date-parts":[["2016",8,17]]}},"label":"page"},{"id":274,"uris":["http://zotero.org/users/2476381/items/TVU5UXIR"],"uri":["http://zotero.org/users/2476381/items/TVU5UXIR"],"itemData":{"id":274,"type":"article-journal","container-title":"Current Opinion in Environmental Sustainability","DOI":"10.1016/j.cosust.2013.11.002","ISSN":"18773435","issue":"6","language":"en","page":"617-624","source":"Crossref","title":"The nexus across water, energy, land and food (WELF): potential for improved resource use efficiency?","title-short":"The nexus across water, energy, land and food (WELF)","volume":"5","author":[{"family":"Ringler","given":"Claudia"},{"family":"Bhaduri","given":"Anik"},{"family":"Lawford","given":"Richard"}],"issued":{"date-parts":[["2013",12]]}},"label":"page"},{"id":713,"uris":["http://zotero.org/users/2476381/items/REUUZUUT"],"uri":["http://zotero.org/users/2476381/items/REUUZUUT"],"itemData":{"id":713,"type":"article-journal","abstract":"Water use and agricultural practices in the Mediterranean area are unsustainable. The situation is worsened by the increased frequency of droughts and floods, as well as desertification and soil depletion, associated with climate change. The aim of Partnership for Research and Innovation in the Mediterranean Area (PRIMA) is to foster an integrated programme of sustainable food production and water provision in the framework of the water-energy-food nexus. A monitoring tool developed under PRIMA is based on the Sustainable Development Goals, two of which are specifically dedicated to food security (SDG 2) and sustainable management of water (SDG 6). The 12 indicators that have been chosen to be monitored in the Mediterranean area are: Multidimensional Poverty Index (MPI); population overweight (%); land use (%); GHG emissions (total and AFOLU)(tCO2e); cereal yield (kg/ha); agriculture value added (US$/worker); fertilizer consumption (kg/haarable land); crop water productivity (kg/m3); annual freshwater withdrawal for agriculture (%); population served using with safely managed water service (rural, %); population served using with safely managed sanitation (rural, %); amount of agricultural residues used for energy purposes (t). Datasets for these indicators are collected by international bodies such as the World Bank, WHO, FAO and UNFCCC; recent series are available for almost all Mediterranean countries and are constantly updated. The aim of the proposed monitoring tool is to keep track of the impact generated in by PRIMA research and innovation projects Mediterranean countries.","container-title":"Ecological Indicators","DOI":"10.1016/j.ecolind.2018.04.035","ISSN":"1470-160X","journalAbbreviation":"Ecological Indicators","language":"en","page":"689-697","source":"ScienceDirect","title":"Linking the water-energy-food nexus and sustainable development indicators for the Mediterranean region","volume":"91","author":[{"family":"Saladini","given":"F."},{"family":"Betti","given":"G."},{"family":"Ferragina","given":"E."},{"family":"Bouraoui","given":"F."},{"family":"Cupertino","given":"S."},{"family":"Canitano","given":"G."},{"family":"Gigliotti","given":"M."},{"family":"Autino","given":"A."},{"family":"Pulselli","given":"F. M."},{"family":"Riccaboni","given":"A."},{"family":"Bidoglio","given":"G."},{"family":"Bastianoni","given":"S."}],"issued":{"date-parts":[["2018",8,1]]}},"label":"page"},{"id":629,"uris":["http://zotero.org/users/2476381/items/AQZNDNIG"],"uri":["http://zotero.org/users/2476381/items/AQZNDNIG"],"itemData":{"id":629,"type":"article-journal","abstract":"Water–energy–food nexus has received global attention, as the interdependency of these resources is crucial to developing conceptual tools for environmental sustainability. Thus, water–energy–food nexus underpins economic development and improves life and well-being. We provide a critical assessment of extant literature on water–energy–food nexus using bibliometric analysis within the last 2 years. Using the keyword “Water-Energy-Food” from 2017 to 2020 in Scopus, data on 235 documents after preprocessing were used for further investigations. We found that scholarly research on water–energy–food nexus is expanding rapidly because of its policy implications. However, results and policy effects were heterogeneous because of a lack of a common conceptual framework of water–energy–food nexus—making the conceptual tool more challenging. Although renewable energy technologies have been described as the antidote for achieving environmental sustainability, however, a sustainability assessment revealed that while fossil fuel energy technologies compete with water withdrawal and consumption, some renewables compete with food for land-use—a situation that requires cost and benefits policy estimation. This article thus highlights that the effect of water–energy–food nexus on environmental sustainability depends on several socioeconomic factors that require attention.","container-title":"Current Opinion in Environmental Science &amp; Health","DOI":"10.1016/j.coesh.2019.10.008","ISSN":"2468-5844","journalAbbreviation":"Current Opinion in Environmental Science &amp; Health","language":"en","page":"29-34","source":"ScienceDirect","title":"Bibliometric analysis of water–energy–food nexus: Sustainability assessment of renewable energy","title-short":"Bibliometric analysis of water–energy–food nexus","volume":"13","author":[{"family":"Sarkodie","given":"Samuel Asumadu"},{"family":"Owusu","given":"Phebe Asantewaa"}],"issued":{"date-parts":[["2020",2,1]]}},"label":"page"},{"id":275,"uris":["http://zotero.org/users/2476381/items/WJDKUDQC"],"uri":["http://zotero.org/users/2476381/items/WJDKUDQC"],"itemData":{"id":275,"type":"chapter","container-title":"Governing the Nexus","event-place":"Cham","ISBN":"978-3-319-05746-0","language":"en","note":"DOI: 10.1007/978-3-319-05747-7_2","page":"15-38","publisher":"Springer International Publishing","publisher-place":"Cham","source":"Crossref","title":"The Water-Energy-Food Nexus: Enhancing Adaptive Capacity to Complex Global Challenges","title-short":"The Water-Energy-Food Nexus","URL":"http://link.springer.com/10.1007/978-3-319-05747-7_2","editor":[{"family":"Kurian","given":"Mathew"},{"family":"Ardakanian","given":"Reza"}],"author":[{"family":"Scott","given":"Christopher A."},{"family":"Kurian","given":"Mathew"},{"family":"Wescoat","given":"James L."}],"accessed":{"date-parts":[["2019",12,18]]},"issued":{"date-parts":[["2015"]]}},"label":"page"},{"id":624,"uris":["http://zotero.org/users/2476381/items/QQ8KVCI9"],"uri":["http://zotero.org/users/2476381/items/QQ8KVCI9"],"itemData":{"id":624,"type":"article-journal","container-title":"Governing the Nexus: Water, Soil and Waste Resources Considering Global Change","DOI":"10.1007/978-3-319-05747-7_3","language":"English (US)","page":"15-38","source":"arizona.pure.elsevier.com","title":"The Water-Energy-Food Nexus: Enhancing Adaptive Capacity to Complex Global Challenges","title-short":"The Water-Energy-Food Nexus","author":[{"family":"Scott","given":"Christopher A."},{"family":"Kurian","given":"Mathew"},{"family":"Wescoat","given":"James L."}],"issued":{"date-parts":[["2015",1,1]]}},"label":"page"},{"id":277,"uris":["http://zotero.org/users/2476381/items/WG5KJX72"],"uri":["http://zotero.org/users/2476381/items/WG5KJX72"],"itemData":{"id":277,"type":"article-journal","container-title":"Frontiers in Environmental Science","DOI":"10.3389/fenvs.2019.00008","ISSN":"2296-665X","language":"en","source":"Crossref","title":"The Development of the Water-Energy-Food Nexus as a Framework for Achieving Resource Security: A Review","title-short":"The Development of the Water-Energy-Food Nexus as a Framework for Achieving Resource Security","URL":"https://www.frontiersin.org/article/10.3389/fenvs.2019.00008/full","volume":"7","author":[{"family":"Simpson","given":"Gareth B."},{"family":"Jewitt","given":"Graham P. W."}],"accessed":{"date-parts":[["2019",12,18]]},"issued":{"date-parts":[["2019",2,8]]}},"label":"page"},{"id":279,"uris":["http://zotero.org/users/2476381/items/GIUMXUK4"],"uri":["http://zotero.org/users/2476381/items/GIUMXUK4"],"itemData":{"id":279,"type":"article-journal","abstract":"Water, energy, food, land and climate form a tightly-connected nexus in which actions on one sector impact other sectors, creating feedbacks and unanticipated consequences. This is especially because at present, much scientiﬁc research and many policies are constrained to single discipline/sector silos that are often not interacting (e.g., water-related research/policy). However, experimenting with the interaction and determining how a change in one sector could impact another may require unreasonable time frames, be very difﬁcult in practice and may be potentially dangerous, triggering any one of a number of unanticipated side-effects. Current modelling often neglects knowledge from practice. Therefore, a safe environment is required to test the potential cross-sectoral implications of policy decisions in one sector on other sectors. Serious games offer such an environment by creating realistic ‘simulations’, where long-term impacts of policies may be tested and rated. This paper describes how the ongoing (2016–2020) Horizon2020 project SIM4NEXUS will develop serious games investigating potential plausible cross-nexus implications and synergies due to policy interventions for 12 multi-scale case studies ranging from regional to global. What sets these games apart is that stakeholders and partners are involved in all aspects of the modelling deﬁnition and process, from case study conceptualisation, quantitative model development including the implementation and validation of each serious game. Learning from playing a serious game is justiﬁed by adopting a proof-of-concept for a speciﬁc regional case study in Sardinia (Italy). The value of multi-stakeholder involvement is demonstrated, and critical lessons learned for serious game development in general are presented.","container-title":"Water","DOI":"10.3390/w10020139","ISSN":"2073-4441","issue":"2","language":"en","page":"139","source":"Crossref","title":"Multi-Stakeholder Development of a Serious Game to Explore the Water-Energy-Food-Land-Climate Nexus: The SIM4NEXUS Approach","title-short":"Multi-Stakeholder Development of a Serious Game to Explore the Water-Energy-Food-Land-Climate Nexus","volume":"10","author":[{"family":"Sušnik","given":"Janez"},{"family":"Chew","given":"Chengzi"},{"family":"Domingo","given":"Xavier"},{"family":"Mereu","given":"Simone"},{"family":"Trabucco","given":"Antonio"},{"family":"Evans","given":"Barry"},{"family":"Vamvakeridou-Lyroudia","given":"Lydia"},{"family":"Savić","given":"Dragan"},{"family":"Laspidou","given":"Chrysi"},{"family":"Brouwer","given":"Floor"}],"issued":{"date-parts":[["2018",2,1]]}},"label":"page"},{"id":623,"uris":["http://zotero.org/users/2476381/items/SDW98TS9"],"uri":["http://zotero.org/users/2476381/items/SDW98TS9"],"itemData":{"id":623,"type":"article-journal","abstract":"&lt;p&gt;&lt;strong&gt;Abstract.&lt;/strong&gt; The energy-water-land nexus represents a critical leverage future policies must draw upon to reduce trade-offs between sustainable development objectives. Yet, existing long-term planning tools do not provide the scope or level of integration across the nexus to unravel important development constraints. Moreover, existing tools and data are not always made openly available or are implemented across disparate modeling platforms that can be difficult to link directly with modern scientific computing tools and databases. In this paper, we present the Nexus Solutions Tool (NEST): a new open modeling platform that integrates multi-scale energy-water-land resource optimization with distributed hydrological modeling. The new approach provides insights into the vulnerability of water, energy and land resources to future socioeconomic and climatic change and how multi-sectoral policies, technological solutions and investments can improve the resilience and sustainability of transformation pathways while avoiding counterproductive interactions among sectors. NEST can be applied at different spatial and temporal resolutions, and is designed specifically to tap into the growing body of open access geospatial data available through national inventories and the earth system modeling community. A case study analysis of the Indus River Basin in South Asia demonstrates the capability of the model to capture important interlinkages across system transformation pathways towards the United Nations' Sustainable Development Goals, including the intersections between local and regional transboundary policies and incremental investment costs from rapidly increasing regional consumption projected over the coming decades.&lt;/p&gt;","container-title":"Geoscientific Model Development Discussions","DOI":"https://doi.org/10.5194/gmd-2019-134","ISSN":"1991-959X","language":"English","page":"1-33","source":"www.geosci-model-dev-discuss.net","title":"The Nexus Solutions Tool (NEST): An open platform for optimizing multi-scale energy-water-land system transformations","title-short":"The Nexus Solutions Tool (NEST)","author":[{"family":"Vinca","given":"Adriano"},{"family":"Parkinson","given":"Simon"},{"family":"Byers","given":"Edward"},{"family":"Burek","given":"Peter"},{"family":"Khan","given":"Zarrar"},{"family":"Krey","given":"Volker"},{"family":"Diuana","given":"Fabio A."},{"family":"Wang","given":"Yaoping"},{"family":"Ilyas","given":"Ansir"},{"family":"Köberle","given":"Alexandre C."},{"family":"Staffell","given":"Iain"},{"family":"Pfenninger","given":"Stefan"},{"family":"Muhammad","given":"Abubakr"},{"family":"Rowe","given":"Andrew"},{"family":"Schaeffer","given":"Roberto"},{"family":"Rao","given":"Narasimha D."},{"family":"Wada","given":"Yoshihide"},{"family":"Djilali","given":"Ned"},{"family":"Riahi","given":"Keywan"}],"issued":{"date-parts":[["2019",7,15]]}},"label":"page"},{"id":280,"uris":["http://zotero.org/users/2476381/items/I7RP3CBU"],"uri":["http://zotero.org/users/2476381/items/I7RP3CBU"],"itemData":{"id":280,"type":"article-journal","abstract":"Interactions between agriculture, energy, and tropical environments occur within a larger, interconnected food–energy–water (FEW) system context. These interactions both affect and are shaped by the FEW nexus (connected FEW natural processes, engineering and infrastructure, and institutions and governance), motivating the collective inclusion of many processes and institutions in the discussion of any individual member. Moreover, the important role of the tropics in the global environment and global food security raises the stakes of management, providing further impetus for a thorough, FEW nexus approach. We herein discuss FEW issues which are key to proper FEW nexus management in the tropics, including fundamental earth system processes, agricultural expansion and deforestation, the potential benefits and drawbacks of hydropower development, and technology and policy advancements.","container-title":"Tropical Conservation Science","DOI":"10.1177/1940082917720665","ISSN":"1940-0829, 1940-0829","language":"en","page":"194008291772066","source":"Crossref","title":"The Food–Energy–Water Nexus: A Framework to Address Sustainable Development in the Tropics","title-short":"The Food–Energy–Water Nexus","volume":"10","author":[{"family":"Wallington","given":"Kevin"},{"family":"Cai","given":"Ximing"}],"issued":{"date-parts":[["2017",1]]}},"label":"page"},{"id":710,"uris":["http://zotero.org/users/2476381/items/HZCHJVIG"],"uri":["http://zotero.org/users/2476381/items/HZCHJVIG"],"itemData":{"id":710,"type":"article-journal","abstract":"Population and economic growth pose unique challenges in securing sufficient water, energy, and food to meet demand at the sub-national (regional), national, and supra-national level. An increasing share of this demand is met through trade and imports. The unprecedented rapid growth, extent, and complexity of global value chains (GVCs) since the 1980s have reshaped global trade. The GVCs – and new economic patterns of regionalization – affect the demands on water, energy, and food within countries and across global supply chains. East Asia is of particular interest due to the region’s rapid economic growth, substantial population size, high interdependence of the region’s economies, and varying degree of resource availability. While greater interdependence across the region has increased the efficiency of production and trade, these activities require the input of water-energy-food and generate disturbances in the environment. The transnational inter-regional input-output approach is utilized in a tele-connected Water-Energy-Food Nexus (WEFN) analysis of the East Asia GVC to assess competing demands for these resources and environmental outcomes. This analysis demonstrates the hidden virtual flows of water, energy, and food embodied in intra-regional and transnational inter-regional trade. China’s current national export oriented economic growth strategy in East Asia is not sustainable from the WEFN perspective. China is a net virtual exporter of nexus resources to Japan and South Korea. China’s prioritization of economic growth and trade in low value added and pollution intensive sectors consumes a great amount of nexus resources within its territory to satisfy consumers’ demands in Japan and South Korea. Japan’s Kanto and Kinki regions and South Korea’s Sudokwon region were the major beneficiaries while China bore the environmental burden associated with the production of exports. For example, net virtual exports from China’s East region included over 1.2billionm3 of scarce water and 61.3million metric (CO2 equivalent) tons of greenhouse gases (i.e. CO2, NH4, and N2O) and 2 million metric tons of SOx emissions. Trade is an important mechanism for overcoming resource bottlenecks, but, taking into account environmental linkages, regional specialization is not necessarily mutually beneficial. This analysis demonstrates a mismatch between regional water-energy-food availability and final resource consumption and the lack of attention for environmental impacts in national economic growth strategies. Resource scarce countries like China must, therefore, incorporate trade-off decisions between pursuing national economic growth, incurring environmental degradation, and food security into strategic regional development policies.","container-title":"Applied Energy","DOI":"10.1016/j.apenergy.2017.05.159","ISSN":"0306-2619","journalAbbreviation":"Applied Energy","language":"en","page":"550-567","source":"ScienceDirect","title":"The Water-Energy-Food Nexus in East Asia: A tele-connected value chain analysis using inter-regional input-output analysis","title-short":"The Water-Energy-Food Nexus in East Asia","volume":"210","author":[{"family":"White","given":"David J."},{"family":"Hubacek","given":"Klaus"},{"family":"Feng","given":"Kuishuang"},{"family":"Sun","given":"Laixiang"},{"family":"Meng","given":"Bo"}],"issued":{"date-parts":[["2018",1,15]]}},"label":"page"},{"id":631,"uris":["http://zotero.org/users/2476381/items/TA3MUM29"],"uri":["http://zotero.org/users/2476381/items/TA3MUM29"],"itemData":{"id":631,"type":"article-journal","abstract":"Hydropower plays an important role as the global energy system moves towards a less carbon-intensive and sustainable future as promoted under the Sustainable Development Goals (SDGs). This article provides a systematic review of the impacts from policy, climate change and Water-Energy-Food (W-E-F) nexus on hydropower development at global scale. Asia, Africa and Latin America are hotspots promoting hydropower development with capacity expansion, while Europe and North America focus on performance improvement and environment impacts mitigation. Climate change is projected to improve gross hydropower potential (GHP) at high latitude of North Hemisphere and tropical Africa and decrease that in the US, South Africa and south and central Europe. Analysis from W-E-F nexus highlights the importance of integrated approaches as well as cross-sectoral coordination so as to improve resources use efficiency and achieve sustainable hydropower development. These three factors together shape the future of hydropower and need to be considered for planning and operation purpose.","container-title":"Renewable Energy","DOI":"10.1016/j.renene.2017.10.030","ISSN":"0960-1481","journalAbbreviation":"Renewable Energy","language":"en","page":"827-834","source":"ScienceDirect","title":"Impacts of climate change, policy and Water-Energy-Food nexus on hydropower development","volume":"116","author":[{"family":"Zhang","given":"Xiao"},{"family":"Li","given":"Hong-Yi"},{"family":"Deng","given":"Zhiqun Daniel"},{"family":"Ringler","given":"Claudia"},{"family":"Gao","given":"Yang"},{"family":"Hejazi","given":"Mohamad I."},{"family":"Leung","given":"L. Ruby"}],"issued":{"date-parts":[["2018",2,1]]}},"label":"page"},{"id":633,"uris":["http://zotero.org/users/2476381/items/PV7SHXXF"],"uri":["http://zotero.org/users/2476381/items/PV7SHXXF"],"itemData":{"id":633,"type":"article-journal","container-title":"Theses and Dissertations","title":"Climate Impacts on the Water-Food Nexus","URL":"https://preserve.lehigh.edu/etd/5625","author":[{"family":"Zhu","given":"Xiao"}],"issued":{"date-parts":[["2020",1,1]]}},"label":"page"}],"schema":"https://github.com/citation-style-language/schema/raw/master/csl-citation.json"} </w:instrText>
      </w:r>
      <w:r>
        <w:rPr>
          <w:b/>
          <w:bCs/>
          <w:u w:val="single"/>
        </w:rPr>
        <w:fldChar w:fldCharType="separate"/>
      </w:r>
      <w:r w:rsidR="00E80A8D" w:rsidRPr="00E80A8D">
        <w:rPr>
          <w:rFonts w:ascii="Calibri" w:hAnsi="Calibri" w:cs="Calibri"/>
          <w:szCs w:val="24"/>
        </w:rPr>
        <w:t>[3–33]</w:t>
      </w:r>
      <w:r>
        <w:rPr>
          <w:b/>
          <w:bCs/>
          <w:u w:val="single"/>
        </w:rPr>
        <w:fldChar w:fldCharType="end"/>
      </w:r>
    </w:p>
    <w:p w14:paraId="2DEBF371" w14:textId="77777777" w:rsidR="00E80A8D" w:rsidRPr="00E80A8D" w:rsidRDefault="00EA3414" w:rsidP="00E80A8D">
      <w:pPr>
        <w:pStyle w:val="Bibliography"/>
        <w:rPr>
          <w:rFonts w:ascii="Times New Roman" w:hAnsi="Times New Roman" w:cs="Times New Roman"/>
          <w:sz w:val="24"/>
        </w:rPr>
      </w:pPr>
      <w:r>
        <w:rPr>
          <w:b/>
          <w:bCs/>
          <w:u w:val="single"/>
        </w:rPr>
        <w:fldChar w:fldCharType="begin"/>
      </w:r>
      <w:r w:rsidR="001923A4">
        <w:rPr>
          <w:b/>
          <w:bCs/>
          <w:u w:val="single"/>
        </w:rPr>
        <w:instrText xml:space="preserve"> ADDIN ZOTERO_BIBL {"uncited":[],"omitted":[],"custom":[]} CSL_BIBLIOGRAPHY </w:instrText>
      </w:r>
      <w:r>
        <w:rPr>
          <w:b/>
          <w:bCs/>
          <w:u w:val="single"/>
        </w:rPr>
        <w:fldChar w:fldCharType="separate"/>
      </w:r>
      <w:r w:rsidR="00E80A8D" w:rsidRPr="00E80A8D">
        <w:rPr>
          <w:rFonts w:ascii="Times New Roman" w:hAnsi="Times New Roman" w:cs="Times New Roman"/>
          <w:sz w:val="24"/>
        </w:rPr>
        <w:t>[1]</w:t>
      </w:r>
      <w:r w:rsidR="00E80A8D" w:rsidRPr="00E80A8D">
        <w:rPr>
          <w:rFonts w:ascii="Times New Roman" w:hAnsi="Times New Roman" w:cs="Times New Roman"/>
          <w:sz w:val="24"/>
        </w:rPr>
        <w:tab/>
        <w:t xml:space="preserve">E. Byers, M. Gidden, D. </w:t>
      </w:r>
      <w:proofErr w:type="spellStart"/>
      <w:r w:rsidR="00E80A8D" w:rsidRPr="00E80A8D">
        <w:rPr>
          <w:rFonts w:ascii="Times New Roman" w:hAnsi="Times New Roman" w:cs="Times New Roman"/>
          <w:sz w:val="24"/>
        </w:rPr>
        <w:t>Leclère</w:t>
      </w:r>
      <w:proofErr w:type="spellEnd"/>
      <w:r w:rsidR="00E80A8D" w:rsidRPr="00E80A8D">
        <w:rPr>
          <w:rFonts w:ascii="Times New Roman" w:hAnsi="Times New Roman" w:cs="Times New Roman"/>
          <w:sz w:val="24"/>
        </w:rPr>
        <w:t xml:space="preserve">, J. </w:t>
      </w:r>
      <w:proofErr w:type="spellStart"/>
      <w:r w:rsidR="00E80A8D" w:rsidRPr="00E80A8D">
        <w:rPr>
          <w:rFonts w:ascii="Times New Roman" w:hAnsi="Times New Roman" w:cs="Times New Roman"/>
          <w:sz w:val="24"/>
        </w:rPr>
        <w:t>Balkovic</w:t>
      </w:r>
      <w:proofErr w:type="spellEnd"/>
      <w:r w:rsidR="00E80A8D" w:rsidRPr="00E80A8D">
        <w:rPr>
          <w:rFonts w:ascii="Times New Roman" w:hAnsi="Times New Roman" w:cs="Times New Roman"/>
          <w:sz w:val="24"/>
        </w:rPr>
        <w:t xml:space="preserve">, P. </w:t>
      </w:r>
      <w:proofErr w:type="spellStart"/>
      <w:r w:rsidR="00E80A8D" w:rsidRPr="00E80A8D">
        <w:rPr>
          <w:rFonts w:ascii="Times New Roman" w:hAnsi="Times New Roman" w:cs="Times New Roman"/>
          <w:sz w:val="24"/>
        </w:rPr>
        <w:t>Burek</w:t>
      </w:r>
      <w:proofErr w:type="spellEnd"/>
      <w:r w:rsidR="00E80A8D" w:rsidRPr="00E80A8D">
        <w:rPr>
          <w:rFonts w:ascii="Times New Roman" w:hAnsi="Times New Roman" w:cs="Times New Roman"/>
          <w:sz w:val="24"/>
        </w:rPr>
        <w:t xml:space="preserve">, K. </w:t>
      </w:r>
      <w:proofErr w:type="spellStart"/>
      <w:r w:rsidR="00E80A8D" w:rsidRPr="00E80A8D">
        <w:rPr>
          <w:rFonts w:ascii="Times New Roman" w:hAnsi="Times New Roman" w:cs="Times New Roman"/>
          <w:sz w:val="24"/>
        </w:rPr>
        <w:t>Ebi</w:t>
      </w:r>
      <w:proofErr w:type="spellEnd"/>
      <w:r w:rsidR="00E80A8D" w:rsidRPr="00E80A8D">
        <w:rPr>
          <w:rFonts w:ascii="Times New Roman" w:hAnsi="Times New Roman" w:cs="Times New Roman"/>
          <w:sz w:val="24"/>
        </w:rPr>
        <w:t xml:space="preserve">, P. </w:t>
      </w:r>
      <w:proofErr w:type="spellStart"/>
      <w:r w:rsidR="00E80A8D" w:rsidRPr="00E80A8D">
        <w:rPr>
          <w:rFonts w:ascii="Times New Roman" w:hAnsi="Times New Roman" w:cs="Times New Roman"/>
          <w:sz w:val="24"/>
        </w:rPr>
        <w:t>Greve</w:t>
      </w:r>
      <w:proofErr w:type="spellEnd"/>
      <w:r w:rsidR="00E80A8D" w:rsidRPr="00E80A8D">
        <w:rPr>
          <w:rFonts w:ascii="Times New Roman" w:hAnsi="Times New Roman" w:cs="Times New Roman"/>
          <w:sz w:val="24"/>
        </w:rPr>
        <w:t xml:space="preserve">, D. Grey, P. </w:t>
      </w:r>
      <w:proofErr w:type="spellStart"/>
      <w:r w:rsidR="00E80A8D" w:rsidRPr="00E80A8D">
        <w:rPr>
          <w:rFonts w:ascii="Times New Roman" w:hAnsi="Times New Roman" w:cs="Times New Roman"/>
          <w:sz w:val="24"/>
        </w:rPr>
        <w:t>Havlik</w:t>
      </w:r>
      <w:proofErr w:type="spellEnd"/>
      <w:r w:rsidR="00E80A8D" w:rsidRPr="00E80A8D">
        <w:rPr>
          <w:rFonts w:ascii="Times New Roman" w:hAnsi="Times New Roman" w:cs="Times New Roman"/>
          <w:sz w:val="24"/>
        </w:rPr>
        <w:t xml:space="preserve">, A. Hillers, N. Johnson, T. </w:t>
      </w:r>
      <w:proofErr w:type="spellStart"/>
      <w:r w:rsidR="00E80A8D" w:rsidRPr="00E80A8D">
        <w:rPr>
          <w:rFonts w:ascii="Times New Roman" w:hAnsi="Times New Roman" w:cs="Times New Roman"/>
          <w:sz w:val="24"/>
        </w:rPr>
        <w:t>Kahil</w:t>
      </w:r>
      <w:proofErr w:type="spellEnd"/>
      <w:r w:rsidR="00E80A8D" w:rsidRPr="00E80A8D">
        <w:rPr>
          <w:rFonts w:ascii="Times New Roman" w:hAnsi="Times New Roman" w:cs="Times New Roman"/>
          <w:sz w:val="24"/>
        </w:rPr>
        <w:t xml:space="preserve">, V. </w:t>
      </w:r>
      <w:proofErr w:type="spellStart"/>
      <w:r w:rsidR="00E80A8D" w:rsidRPr="00E80A8D">
        <w:rPr>
          <w:rFonts w:ascii="Times New Roman" w:hAnsi="Times New Roman" w:cs="Times New Roman"/>
          <w:sz w:val="24"/>
        </w:rPr>
        <w:t>Krey</w:t>
      </w:r>
      <w:proofErr w:type="spellEnd"/>
      <w:r w:rsidR="00E80A8D" w:rsidRPr="00E80A8D">
        <w:rPr>
          <w:rFonts w:ascii="Times New Roman" w:hAnsi="Times New Roman" w:cs="Times New Roman"/>
          <w:sz w:val="24"/>
        </w:rPr>
        <w:t xml:space="preserve">, S. </w:t>
      </w:r>
      <w:proofErr w:type="spellStart"/>
      <w:r w:rsidR="00E80A8D" w:rsidRPr="00E80A8D">
        <w:rPr>
          <w:rFonts w:ascii="Times New Roman" w:hAnsi="Times New Roman" w:cs="Times New Roman"/>
          <w:sz w:val="24"/>
        </w:rPr>
        <w:t>Langan</w:t>
      </w:r>
      <w:proofErr w:type="spellEnd"/>
      <w:r w:rsidR="00E80A8D" w:rsidRPr="00E80A8D">
        <w:rPr>
          <w:rFonts w:ascii="Times New Roman" w:hAnsi="Times New Roman" w:cs="Times New Roman"/>
          <w:sz w:val="24"/>
        </w:rPr>
        <w:t xml:space="preserve">, N. </w:t>
      </w:r>
      <w:proofErr w:type="spellStart"/>
      <w:r w:rsidR="00E80A8D" w:rsidRPr="00E80A8D">
        <w:rPr>
          <w:rFonts w:ascii="Times New Roman" w:hAnsi="Times New Roman" w:cs="Times New Roman"/>
          <w:sz w:val="24"/>
        </w:rPr>
        <w:t>Nakicenovic</w:t>
      </w:r>
      <w:proofErr w:type="spellEnd"/>
      <w:r w:rsidR="00E80A8D" w:rsidRPr="00E80A8D">
        <w:rPr>
          <w:rFonts w:ascii="Times New Roman" w:hAnsi="Times New Roman" w:cs="Times New Roman"/>
          <w:sz w:val="24"/>
        </w:rPr>
        <w:t xml:space="preserve">, R. Novak, M. </w:t>
      </w:r>
      <w:proofErr w:type="spellStart"/>
      <w:r w:rsidR="00E80A8D" w:rsidRPr="00E80A8D">
        <w:rPr>
          <w:rFonts w:ascii="Times New Roman" w:hAnsi="Times New Roman" w:cs="Times New Roman"/>
          <w:sz w:val="24"/>
        </w:rPr>
        <w:t>Obersteiner</w:t>
      </w:r>
      <w:proofErr w:type="spellEnd"/>
      <w:r w:rsidR="00E80A8D" w:rsidRPr="00E80A8D">
        <w:rPr>
          <w:rFonts w:ascii="Times New Roman" w:hAnsi="Times New Roman" w:cs="Times New Roman"/>
          <w:sz w:val="24"/>
        </w:rPr>
        <w:t xml:space="preserve">, S. Pachauri, A. Palazzo, S. Parkinson, N.D. Rao, J. </w:t>
      </w:r>
      <w:proofErr w:type="spellStart"/>
      <w:r w:rsidR="00E80A8D" w:rsidRPr="00E80A8D">
        <w:rPr>
          <w:rFonts w:ascii="Times New Roman" w:hAnsi="Times New Roman" w:cs="Times New Roman"/>
          <w:sz w:val="24"/>
        </w:rPr>
        <w:t>Rogelj</w:t>
      </w:r>
      <w:proofErr w:type="spellEnd"/>
      <w:r w:rsidR="00E80A8D" w:rsidRPr="00E80A8D">
        <w:rPr>
          <w:rFonts w:ascii="Times New Roman" w:hAnsi="Times New Roman" w:cs="Times New Roman"/>
          <w:sz w:val="24"/>
        </w:rPr>
        <w:t xml:space="preserve">, Y. Satoh, Y. Wada, B. </w:t>
      </w:r>
      <w:proofErr w:type="spellStart"/>
      <w:r w:rsidR="00E80A8D" w:rsidRPr="00E80A8D">
        <w:rPr>
          <w:rFonts w:ascii="Times New Roman" w:hAnsi="Times New Roman" w:cs="Times New Roman"/>
          <w:sz w:val="24"/>
        </w:rPr>
        <w:t>Willaarts</w:t>
      </w:r>
      <w:proofErr w:type="spellEnd"/>
      <w:r w:rsidR="00E80A8D" w:rsidRPr="00E80A8D">
        <w:rPr>
          <w:rFonts w:ascii="Times New Roman" w:hAnsi="Times New Roman" w:cs="Times New Roman"/>
          <w:sz w:val="24"/>
        </w:rPr>
        <w:t xml:space="preserve">, K. </w:t>
      </w:r>
      <w:proofErr w:type="spellStart"/>
      <w:r w:rsidR="00E80A8D" w:rsidRPr="00E80A8D">
        <w:rPr>
          <w:rFonts w:ascii="Times New Roman" w:hAnsi="Times New Roman" w:cs="Times New Roman"/>
          <w:sz w:val="24"/>
        </w:rPr>
        <w:t>Riahi</w:t>
      </w:r>
      <w:proofErr w:type="spellEnd"/>
      <w:r w:rsidR="00E80A8D" w:rsidRPr="00E80A8D">
        <w:rPr>
          <w:rFonts w:ascii="Times New Roman" w:hAnsi="Times New Roman" w:cs="Times New Roman"/>
          <w:sz w:val="24"/>
        </w:rPr>
        <w:t>, Global exposure and vulnerability to multi-sector development and climate change hotspots, Environmental Research Letters. 13 (2018) 055012. https://doi.org/10.1088/1748-9326/aabf45.</w:t>
      </w:r>
    </w:p>
    <w:p w14:paraId="4FE70506"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w:t>
      </w:r>
      <w:r w:rsidRPr="00E80A8D">
        <w:rPr>
          <w:rFonts w:ascii="Times New Roman" w:hAnsi="Times New Roman" w:cs="Times New Roman"/>
          <w:sz w:val="24"/>
        </w:rPr>
        <w:tab/>
        <w:t xml:space="preserve">H.H. Willis, D.G. Groves, J.S. </w:t>
      </w:r>
      <w:proofErr w:type="spellStart"/>
      <w:r w:rsidRPr="00E80A8D">
        <w:rPr>
          <w:rFonts w:ascii="Times New Roman" w:hAnsi="Times New Roman" w:cs="Times New Roman"/>
          <w:sz w:val="24"/>
        </w:rPr>
        <w:t>Ringel</w:t>
      </w:r>
      <w:proofErr w:type="spellEnd"/>
      <w:r w:rsidRPr="00E80A8D">
        <w:rPr>
          <w:rFonts w:ascii="Times New Roman" w:hAnsi="Times New Roman" w:cs="Times New Roman"/>
          <w:sz w:val="24"/>
        </w:rPr>
        <w:t xml:space="preserve">, Z. Mao, S. </w:t>
      </w:r>
      <w:proofErr w:type="spellStart"/>
      <w:r w:rsidRPr="00E80A8D">
        <w:rPr>
          <w:rFonts w:ascii="Times New Roman" w:hAnsi="Times New Roman" w:cs="Times New Roman"/>
          <w:sz w:val="24"/>
        </w:rPr>
        <w:t>Efron</w:t>
      </w:r>
      <w:proofErr w:type="spellEnd"/>
      <w:r w:rsidRPr="00E80A8D">
        <w:rPr>
          <w:rFonts w:ascii="Times New Roman" w:hAnsi="Times New Roman" w:cs="Times New Roman"/>
          <w:sz w:val="24"/>
        </w:rPr>
        <w:t xml:space="preserve">, M. Abbott, Developing the </w:t>
      </w:r>
      <w:proofErr w:type="spellStart"/>
      <w:r w:rsidRPr="00E80A8D">
        <w:rPr>
          <w:rFonts w:ascii="Times New Roman" w:hAnsi="Times New Roman" w:cs="Times New Roman"/>
          <w:sz w:val="24"/>
        </w:rPr>
        <w:t>Pardee</w:t>
      </w:r>
      <w:proofErr w:type="spellEnd"/>
      <w:r w:rsidRPr="00E80A8D">
        <w:rPr>
          <w:rFonts w:ascii="Times New Roman" w:hAnsi="Times New Roman" w:cs="Times New Roman"/>
          <w:sz w:val="24"/>
        </w:rPr>
        <w:t xml:space="preserve"> RAND Food-Energy-Water Security Index: Toward a Global Standardized, Quantitative, and Transparent Resource Assessment, (2016).</w:t>
      </w:r>
    </w:p>
    <w:p w14:paraId="6CB8A240"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w:t>
      </w:r>
      <w:r w:rsidRPr="00E80A8D">
        <w:rPr>
          <w:rFonts w:ascii="Times New Roman" w:hAnsi="Times New Roman" w:cs="Times New Roman"/>
          <w:sz w:val="24"/>
        </w:rPr>
        <w:tab/>
        <w:t xml:space="preserve">A. </w:t>
      </w:r>
      <w:proofErr w:type="spellStart"/>
      <w:r w:rsidRPr="00E80A8D">
        <w:rPr>
          <w:rFonts w:ascii="Times New Roman" w:hAnsi="Times New Roman" w:cs="Times New Roman"/>
          <w:sz w:val="24"/>
        </w:rPr>
        <w:t>Abulibdeh</w:t>
      </w:r>
      <w:proofErr w:type="spellEnd"/>
      <w:r w:rsidRPr="00E80A8D">
        <w:rPr>
          <w:rFonts w:ascii="Times New Roman" w:hAnsi="Times New Roman" w:cs="Times New Roman"/>
          <w:sz w:val="24"/>
        </w:rPr>
        <w:t xml:space="preserve">, E. </w:t>
      </w:r>
      <w:proofErr w:type="spellStart"/>
      <w:r w:rsidRPr="00E80A8D">
        <w:rPr>
          <w:rFonts w:ascii="Times New Roman" w:hAnsi="Times New Roman" w:cs="Times New Roman"/>
          <w:sz w:val="24"/>
        </w:rPr>
        <w:t>Zaidan</w:t>
      </w:r>
      <w:proofErr w:type="spellEnd"/>
      <w:r w:rsidRPr="00E80A8D">
        <w:rPr>
          <w:rFonts w:ascii="Times New Roman" w:hAnsi="Times New Roman" w:cs="Times New Roman"/>
          <w:sz w:val="24"/>
        </w:rPr>
        <w:t>, Managing the water-energy-food nexus on an integrated geographical scale, Environmental Development. (2020) 100498. https://doi.org/10.1016/j.envdev.2020.100498.</w:t>
      </w:r>
    </w:p>
    <w:p w14:paraId="023560BF"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[4]</w:t>
      </w:r>
      <w:r w:rsidRPr="00E80A8D">
        <w:rPr>
          <w:rFonts w:ascii="Times New Roman" w:hAnsi="Times New Roman" w:cs="Times New Roman"/>
          <w:sz w:val="24"/>
        </w:rPr>
        <w:tab/>
        <w:t xml:space="preserve">R. </w:t>
      </w:r>
      <w:proofErr w:type="spellStart"/>
      <w:r w:rsidRPr="00E80A8D">
        <w:rPr>
          <w:rFonts w:ascii="Times New Roman" w:hAnsi="Times New Roman" w:cs="Times New Roman"/>
          <w:sz w:val="24"/>
        </w:rPr>
        <w:t>Cremades</w:t>
      </w:r>
      <w:proofErr w:type="spellEnd"/>
      <w:r w:rsidRPr="00E80A8D">
        <w:rPr>
          <w:rFonts w:ascii="Times New Roman" w:hAnsi="Times New Roman" w:cs="Times New Roman"/>
          <w:sz w:val="24"/>
        </w:rPr>
        <w:t xml:space="preserve">, H. </w:t>
      </w:r>
      <w:proofErr w:type="spellStart"/>
      <w:r w:rsidRPr="00E80A8D">
        <w:rPr>
          <w:rFonts w:ascii="Times New Roman" w:hAnsi="Times New Roman" w:cs="Times New Roman"/>
          <w:sz w:val="24"/>
        </w:rPr>
        <w:t>Mitter</w:t>
      </w:r>
      <w:proofErr w:type="spellEnd"/>
      <w:r w:rsidRPr="00E80A8D">
        <w:rPr>
          <w:rFonts w:ascii="Times New Roman" w:hAnsi="Times New Roman" w:cs="Times New Roman"/>
          <w:sz w:val="24"/>
        </w:rPr>
        <w:t xml:space="preserve">, N.C. </w:t>
      </w:r>
      <w:proofErr w:type="spellStart"/>
      <w:r w:rsidRPr="00E80A8D">
        <w:rPr>
          <w:rFonts w:ascii="Times New Roman" w:hAnsi="Times New Roman" w:cs="Times New Roman"/>
          <w:sz w:val="24"/>
        </w:rPr>
        <w:t>Tudose</w:t>
      </w:r>
      <w:proofErr w:type="spellEnd"/>
      <w:r w:rsidRPr="00E80A8D">
        <w:rPr>
          <w:rFonts w:ascii="Times New Roman" w:hAnsi="Times New Roman" w:cs="Times New Roman"/>
          <w:sz w:val="24"/>
        </w:rPr>
        <w:t xml:space="preserve">, A. Sanchez-Plaza, A. Graves, A. </w:t>
      </w:r>
      <w:proofErr w:type="spellStart"/>
      <w:r w:rsidRPr="00E80A8D">
        <w:rPr>
          <w:rFonts w:ascii="Times New Roman" w:hAnsi="Times New Roman" w:cs="Times New Roman"/>
          <w:sz w:val="24"/>
        </w:rPr>
        <w:t>Broekman</w:t>
      </w:r>
      <w:proofErr w:type="spellEnd"/>
      <w:r w:rsidRPr="00E80A8D">
        <w:rPr>
          <w:rFonts w:ascii="Times New Roman" w:hAnsi="Times New Roman" w:cs="Times New Roman"/>
          <w:sz w:val="24"/>
        </w:rPr>
        <w:t xml:space="preserve">, S. Bender, C. </w:t>
      </w:r>
      <w:proofErr w:type="spellStart"/>
      <w:r w:rsidRPr="00E80A8D">
        <w:rPr>
          <w:rFonts w:ascii="Times New Roman" w:hAnsi="Times New Roman" w:cs="Times New Roman"/>
          <w:sz w:val="24"/>
        </w:rPr>
        <w:t>Giupponi</w:t>
      </w:r>
      <w:proofErr w:type="spellEnd"/>
      <w:r w:rsidRPr="00E80A8D">
        <w:rPr>
          <w:rFonts w:ascii="Times New Roman" w:hAnsi="Times New Roman" w:cs="Times New Roman"/>
          <w:sz w:val="24"/>
        </w:rPr>
        <w:t xml:space="preserve">, P. </w:t>
      </w:r>
      <w:proofErr w:type="spellStart"/>
      <w:r w:rsidRPr="00E80A8D">
        <w:rPr>
          <w:rFonts w:ascii="Times New Roman" w:hAnsi="Times New Roman" w:cs="Times New Roman"/>
          <w:sz w:val="24"/>
        </w:rPr>
        <w:t>Koundouri</w:t>
      </w:r>
      <w:proofErr w:type="spellEnd"/>
      <w:r w:rsidRPr="00E80A8D">
        <w:rPr>
          <w:rFonts w:ascii="Times New Roman" w:hAnsi="Times New Roman" w:cs="Times New Roman"/>
          <w:sz w:val="24"/>
        </w:rPr>
        <w:t xml:space="preserve">, M. </w:t>
      </w:r>
      <w:proofErr w:type="spellStart"/>
      <w:r w:rsidRPr="00E80A8D">
        <w:rPr>
          <w:rFonts w:ascii="Times New Roman" w:hAnsi="Times New Roman" w:cs="Times New Roman"/>
          <w:sz w:val="24"/>
        </w:rPr>
        <w:t>Bahri</w:t>
      </w:r>
      <w:proofErr w:type="spellEnd"/>
      <w:r w:rsidRPr="00E80A8D">
        <w:rPr>
          <w:rFonts w:ascii="Times New Roman" w:hAnsi="Times New Roman" w:cs="Times New Roman"/>
          <w:sz w:val="24"/>
        </w:rPr>
        <w:t xml:space="preserve">, S. Cheval, J. </w:t>
      </w:r>
      <w:proofErr w:type="spellStart"/>
      <w:r w:rsidRPr="00E80A8D">
        <w:rPr>
          <w:rFonts w:ascii="Times New Roman" w:hAnsi="Times New Roman" w:cs="Times New Roman"/>
          <w:sz w:val="24"/>
        </w:rPr>
        <w:t>Cortekar</w:t>
      </w:r>
      <w:proofErr w:type="spellEnd"/>
      <w:r w:rsidRPr="00E80A8D">
        <w:rPr>
          <w:rFonts w:ascii="Times New Roman" w:hAnsi="Times New Roman" w:cs="Times New Roman"/>
          <w:sz w:val="24"/>
        </w:rPr>
        <w:t xml:space="preserve">, Y. Moreno, O. Melo, K. </w:t>
      </w:r>
      <w:proofErr w:type="spellStart"/>
      <w:r w:rsidRPr="00E80A8D">
        <w:rPr>
          <w:rFonts w:ascii="Times New Roman" w:hAnsi="Times New Roman" w:cs="Times New Roman"/>
          <w:sz w:val="24"/>
        </w:rPr>
        <w:t>Karner</w:t>
      </w:r>
      <w:proofErr w:type="spellEnd"/>
      <w:r w:rsidRPr="00E80A8D">
        <w:rPr>
          <w:rFonts w:ascii="Times New Roman" w:hAnsi="Times New Roman" w:cs="Times New Roman"/>
          <w:sz w:val="24"/>
        </w:rPr>
        <w:t xml:space="preserve">, C. Ungurean, S.O. </w:t>
      </w:r>
      <w:proofErr w:type="spellStart"/>
      <w:r w:rsidRPr="00E80A8D">
        <w:rPr>
          <w:rFonts w:ascii="Times New Roman" w:hAnsi="Times New Roman" w:cs="Times New Roman"/>
          <w:sz w:val="24"/>
        </w:rPr>
        <w:t>Davidescu</w:t>
      </w:r>
      <w:proofErr w:type="spellEnd"/>
      <w:r w:rsidRPr="00E80A8D">
        <w:rPr>
          <w:rFonts w:ascii="Times New Roman" w:hAnsi="Times New Roman" w:cs="Times New Roman"/>
          <w:sz w:val="24"/>
        </w:rPr>
        <w:t xml:space="preserve">, B. </w:t>
      </w:r>
      <w:proofErr w:type="spellStart"/>
      <w:r w:rsidRPr="00E80A8D">
        <w:rPr>
          <w:rFonts w:ascii="Times New Roman" w:hAnsi="Times New Roman" w:cs="Times New Roman"/>
          <w:sz w:val="24"/>
        </w:rPr>
        <w:t>Kropf</w:t>
      </w:r>
      <w:proofErr w:type="spellEnd"/>
      <w:r w:rsidRPr="00E80A8D">
        <w:rPr>
          <w:rFonts w:ascii="Times New Roman" w:hAnsi="Times New Roman" w:cs="Times New Roman"/>
          <w:sz w:val="24"/>
        </w:rPr>
        <w:t>, F. Brouwer, M. Marin, Ten principles to integrate the water-energy-land nexus with climate services for co-producing local and regional integrated assessments, Science of The Total Environment. 693 (2019) 133662. https://doi.org/10.1016/j.scitotenv.2019.133662.</w:t>
      </w:r>
    </w:p>
    <w:p w14:paraId="54CD3DA7"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[5]</w:t>
      </w:r>
      <w:r w:rsidRPr="00E80A8D">
        <w:rPr>
          <w:rFonts w:ascii="Times New Roman" w:hAnsi="Times New Roman" w:cs="Times New Roman"/>
          <w:sz w:val="24"/>
        </w:rPr>
        <w:tab/>
        <w:t xml:space="preserve">T.R. Albrecht, A. </w:t>
      </w:r>
      <w:proofErr w:type="spellStart"/>
      <w:r w:rsidRPr="00E80A8D">
        <w:rPr>
          <w:rFonts w:ascii="Times New Roman" w:hAnsi="Times New Roman" w:cs="Times New Roman"/>
          <w:sz w:val="24"/>
        </w:rPr>
        <w:t>Crootof</w:t>
      </w:r>
      <w:proofErr w:type="spellEnd"/>
      <w:r w:rsidRPr="00E80A8D">
        <w:rPr>
          <w:rFonts w:ascii="Times New Roman" w:hAnsi="Times New Roman" w:cs="Times New Roman"/>
          <w:sz w:val="24"/>
        </w:rPr>
        <w:t>, C.A. Scott, The Water-Energy-Food Nexus: A systematic review of methods for nexus assessment, Environmental Research Letters. 13 (2018) 043002. https://doi.org/10.1088/1748-9326/aaa9c6.</w:t>
      </w:r>
    </w:p>
    <w:p w14:paraId="60C30756"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[6]</w:t>
      </w:r>
      <w:r w:rsidRPr="00E80A8D">
        <w:rPr>
          <w:rFonts w:ascii="Times New Roman" w:hAnsi="Times New Roman" w:cs="Times New Roman"/>
          <w:sz w:val="24"/>
        </w:rPr>
        <w:tab/>
        <w:t xml:space="preserve">M. </w:t>
      </w:r>
      <w:proofErr w:type="spellStart"/>
      <w:r w:rsidRPr="00E80A8D">
        <w:rPr>
          <w:rFonts w:ascii="Times New Roman" w:hAnsi="Times New Roman" w:cs="Times New Roman"/>
          <w:sz w:val="24"/>
        </w:rPr>
        <w:t>Bazilian</w:t>
      </w:r>
      <w:proofErr w:type="spellEnd"/>
      <w:r w:rsidRPr="00E80A8D">
        <w:rPr>
          <w:rFonts w:ascii="Times New Roman" w:hAnsi="Times New Roman" w:cs="Times New Roman"/>
          <w:sz w:val="24"/>
        </w:rPr>
        <w:t xml:space="preserve">, H. </w:t>
      </w:r>
      <w:proofErr w:type="spellStart"/>
      <w:r w:rsidRPr="00E80A8D">
        <w:rPr>
          <w:rFonts w:ascii="Times New Roman" w:hAnsi="Times New Roman" w:cs="Times New Roman"/>
          <w:sz w:val="24"/>
        </w:rPr>
        <w:t>Rogner</w:t>
      </w:r>
      <w:proofErr w:type="spellEnd"/>
      <w:r w:rsidRPr="00E80A8D">
        <w:rPr>
          <w:rFonts w:ascii="Times New Roman" w:hAnsi="Times New Roman" w:cs="Times New Roman"/>
          <w:sz w:val="24"/>
        </w:rPr>
        <w:t xml:space="preserve">, M. Howells, S. Hermann, D. </w:t>
      </w:r>
      <w:proofErr w:type="spellStart"/>
      <w:r w:rsidRPr="00E80A8D">
        <w:rPr>
          <w:rFonts w:ascii="Times New Roman" w:hAnsi="Times New Roman" w:cs="Times New Roman"/>
          <w:sz w:val="24"/>
        </w:rPr>
        <w:t>Arent</w:t>
      </w:r>
      <w:proofErr w:type="spellEnd"/>
      <w:r w:rsidRPr="00E80A8D">
        <w:rPr>
          <w:rFonts w:ascii="Times New Roman" w:hAnsi="Times New Roman" w:cs="Times New Roman"/>
          <w:sz w:val="24"/>
        </w:rPr>
        <w:t xml:space="preserve">, D. </w:t>
      </w:r>
      <w:proofErr w:type="spellStart"/>
      <w:r w:rsidRPr="00E80A8D">
        <w:rPr>
          <w:rFonts w:ascii="Times New Roman" w:hAnsi="Times New Roman" w:cs="Times New Roman"/>
          <w:sz w:val="24"/>
        </w:rPr>
        <w:t>Gielen</w:t>
      </w:r>
      <w:proofErr w:type="spellEnd"/>
      <w:r w:rsidRPr="00E80A8D">
        <w:rPr>
          <w:rFonts w:ascii="Times New Roman" w:hAnsi="Times New Roman" w:cs="Times New Roman"/>
          <w:sz w:val="24"/>
        </w:rPr>
        <w:t xml:space="preserve">, P. </w:t>
      </w:r>
      <w:proofErr w:type="spellStart"/>
      <w:r w:rsidRPr="00E80A8D">
        <w:rPr>
          <w:rFonts w:ascii="Times New Roman" w:hAnsi="Times New Roman" w:cs="Times New Roman"/>
          <w:sz w:val="24"/>
        </w:rPr>
        <w:t>Steduto</w:t>
      </w:r>
      <w:proofErr w:type="spellEnd"/>
      <w:r w:rsidRPr="00E80A8D">
        <w:rPr>
          <w:rFonts w:ascii="Times New Roman" w:hAnsi="Times New Roman" w:cs="Times New Roman"/>
          <w:sz w:val="24"/>
        </w:rPr>
        <w:t xml:space="preserve">, A. Mueller, P. </w:t>
      </w:r>
      <w:proofErr w:type="spellStart"/>
      <w:r w:rsidRPr="00E80A8D">
        <w:rPr>
          <w:rFonts w:ascii="Times New Roman" w:hAnsi="Times New Roman" w:cs="Times New Roman"/>
          <w:sz w:val="24"/>
        </w:rPr>
        <w:t>Komor</w:t>
      </w:r>
      <w:proofErr w:type="spellEnd"/>
      <w:r w:rsidRPr="00E80A8D">
        <w:rPr>
          <w:rFonts w:ascii="Times New Roman" w:hAnsi="Times New Roman" w:cs="Times New Roman"/>
          <w:sz w:val="24"/>
        </w:rPr>
        <w:t>, R.S.J. Tol, K.K. Yumkella, Considering the energy, water and food nexus: Towards an integrated modelling approach, Energy Policy. 39 (2011) 7896–7906. https://doi.org/10.1016/j.enpol.2011.09.039.</w:t>
      </w:r>
    </w:p>
    <w:p w14:paraId="34FD4CA7"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[7]</w:t>
      </w:r>
      <w:r w:rsidRPr="00E80A8D">
        <w:rPr>
          <w:rFonts w:ascii="Times New Roman" w:hAnsi="Times New Roman" w:cs="Times New Roman"/>
          <w:sz w:val="24"/>
        </w:rPr>
        <w:tab/>
        <w:t xml:space="preserve">L. de Strasser, A. </w:t>
      </w:r>
      <w:proofErr w:type="spellStart"/>
      <w:r w:rsidRPr="00E80A8D">
        <w:rPr>
          <w:rFonts w:ascii="Times New Roman" w:hAnsi="Times New Roman" w:cs="Times New Roman"/>
          <w:sz w:val="24"/>
        </w:rPr>
        <w:t>Lipponen</w:t>
      </w:r>
      <w:proofErr w:type="spellEnd"/>
      <w:r w:rsidRPr="00E80A8D">
        <w:rPr>
          <w:rFonts w:ascii="Times New Roman" w:hAnsi="Times New Roman" w:cs="Times New Roman"/>
          <w:sz w:val="24"/>
        </w:rPr>
        <w:t xml:space="preserve">, M. Howells, S. </w:t>
      </w:r>
      <w:proofErr w:type="spellStart"/>
      <w:r w:rsidRPr="00E80A8D">
        <w:rPr>
          <w:rFonts w:ascii="Times New Roman" w:hAnsi="Times New Roman" w:cs="Times New Roman"/>
          <w:sz w:val="24"/>
        </w:rPr>
        <w:t>Stec</w:t>
      </w:r>
      <w:proofErr w:type="spellEnd"/>
      <w:r w:rsidRPr="00E80A8D">
        <w:rPr>
          <w:rFonts w:ascii="Times New Roman" w:hAnsi="Times New Roman" w:cs="Times New Roman"/>
          <w:sz w:val="24"/>
        </w:rPr>
        <w:t xml:space="preserve">, C. </w:t>
      </w:r>
      <w:proofErr w:type="spellStart"/>
      <w:r w:rsidRPr="00E80A8D">
        <w:rPr>
          <w:rFonts w:ascii="Times New Roman" w:hAnsi="Times New Roman" w:cs="Times New Roman"/>
          <w:sz w:val="24"/>
        </w:rPr>
        <w:t>Bréthaut</w:t>
      </w:r>
      <w:proofErr w:type="spellEnd"/>
      <w:r w:rsidRPr="00E80A8D">
        <w:rPr>
          <w:rFonts w:ascii="Times New Roman" w:hAnsi="Times New Roman" w:cs="Times New Roman"/>
          <w:sz w:val="24"/>
        </w:rPr>
        <w:t>, A Methodology to Assess the Water Energy Food Ecosystems Nexus in Transboundary River Basins, Water. 8 (2016) 59. https://doi.org/10.3390/w8020059.</w:t>
      </w:r>
    </w:p>
    <w:p w14:paraId="74727769"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[8]</w:t>
      </w:r>
      <w:r w:rsidRPr="00E80A8D">
        <w:rPr>
          <w:rFonts w:ascii="Times New Roman" w:hAnsi="Times New Roman" w:cs="Times New Roman"/>
          <w:sz w:val="24"/>
        </w:rPr>
        <w:tab/>
        <w:t xml:space="preserve">A. Endo, I. </w:t>
      </w:r>
      <w:proofErr w:type="spellStart"/>
      <w:r w:rsidRPr="00E80A8D">
        <w:rPr>
          <w:rFonts w:ascii="Times New Roman" w:hAnsi="Times New Roman" w:cs="Times New Roman"/>
          <w:sz w:val="24"/>
        </w:rPr>
        <w:t>Tsurita</w:t>
      </w:r>
      <w:proofErr w:type="spellEnd"/>
      <w:r w:rsidRPr="00E80A8D">
        <w:rPr>
          <w:rFonts w:ascii="Times New Roman" w:hAnsi="Times New Roman" w:cs="Times New Roman"/>
          <w:sz w:val="24"/>
        </w:rPr>
        <w:t xml:space="preserve">, K. Burnett, P.M. </w:t>
      </w:r>
      <w:proofErr w:type="spellStart"/>
      <w:r w:rsidRPr="00E80A8D">
        <w:rPr>
          <w:rFonts w:ascii="Times New Roman" w:hAnsi="Times New Roman" w:cs="Times New Roman"/>
          <w:sz w:val="24"/>
        </w:rPr>
        <w:t>Orencio</w:t>
      </w:r>
      <w:proofErr w:type="spellEnd"/>
      <w:r w:rsidRPr="00E80A8D">
        <w:rPr>
          <w:rFonts w:ascii="Times New Roman" w:hAnsi="Times New Roman" w:cs="Times New Roman"/>
          <w:sz w:val="24"/>
        </w:rPr>
        <w:t>, A review of the current state of research on the water, energy, and food nexus, Journal of Hydrology: Regional Studies. 11 (2017) 20–30. https://doi.org/10.1016/j.ejrh.2015.11.010.</w:t>
      </w:r>
    </w:p>
    <w:p w14:paraId="665BE1B1"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[9]</w:t>
      </w:r>
      <w:r w:rsidRPr="00E80A8D">
        <w:rPr>
          <w:rFonts w:ascii="Times New Roman" w:hAnsi="Times New Roman" w:cs="Times New Roman"/>
          <w:sz w:val="24"/>
        </w:rPr>
        <w:tab/>
        <w:t>P. Gober, Hidden Vulnerabilities in the Water-Energy-Land-Food (WELF) Nexus, in: P. Gober (Ed.), Building Resilience for Uncertain Water Futures, Springer International Publishing, Cham, 2018: pp. 61–89. https://doi.org/10.1007/978-3-319-71234-5_4.</w:t>
      </w:r>
    </w:p>
    <w:p w14:paraId="6DEE2887"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lastRenderedPageBreak/>
        <w:t>[10]</w:t>
      </w:r>
      <w:r w:rsidRPr="00E80A8D">
        <w:rPr>
          <w:rFonts w:ascii="Times New Roman" w:hAnsi="Times New Roman" w:cs="Times New Roman"/>
          <w:sz w:val="24"/>
        </w:rPr>
        <w:tab/>
        <w:t xml:space="preserve">M.D. Ibrahim, D.C. Ferreira, S. </w:t>
      </w:r>
      <w:proofErr w:type="spellStart"/>
      <w:r w:rsidRPr="00E80A8D">
        <w:rPr>
          <w:rFonts w:ascii="Times New Roman" w:hAnsi="Times New Roman" w:cs="Times New Roman"/>
          <w:sz w:val="24"/>
        </w:rPr>
        <w:t>Daneshvar</w:t>
      </w:r>
      <w:proofErr w:type="spellEnd"/>
      <w:r w:rsidRPr="00E80A8D">
        <w:rPr>
          <w:rFonts w:ascii="Times New Roman" w:hAnsi="Times New Roman" w:cs="Times New Roman"/>
          <w:sz w:val="24"/>
        </w:rPr>
        <w:t>, R.C. Marques, Transnational resource generativity: Efficiency analysis and target setting of water, energy, land, and food nexus for OECD countries, Science of The Total Environment. 697 (2019) 134017. https://doi.org/10.1016/j.scitotenv.2019.134017.</w:t>
      </w:r>
    </w:p>
    <w:p w14:paraId="6495AC17"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[11]</w:t>
      </w:r>
      <w:r w:rsidRPr="00E80A8D">
        <w:rPr>
          <w:rFonts w:ascii="Times New Roman" w:hAnsi="Times New Roman" w:cs="Times New Roman"/>
          <w:sz w:val="24"/>
        </w:rPr>
        <w:tab/>
        <w:t xml:space="preserve">N. Johnson, P. </w:t>
      </w:r>
      <w:proofErr w:type="spellStart"/>
      <w:r w:rsidRPr="00E80A8D">
        <w:rPr>
          <w:rFonts w:ascii="Times New Roman" w:hAnsi="Times New Roman" w:cs="Times New Roman"/>
          <w:sz w:val="24"/>
        </w:rPr>
        <w:t>Burek</w:t>
      </w:r>
      <w:proofErr w:type="spellEnd"/>
      <w:r w:rsidRPr="00E80A8D">
        <w:rPr>
          <w:rFonts w:ascii="Times New Roman" w:hAnsi="Times New Roman" w:cs="Times New Roman"/>
          <w:sz w:val="24"/>
        </w:rPr>
        <w:t xml:space="preserve">, E. Byers, G. </w:t>
      </w:r>
      <w:proofErr w:type="spellStart"/>
      <w:r w:rsidRPr="00E80A8D">
        <w:rPr>
          <w:rFonts w:ascii="Times New Roman" w:hAnsi="Times New Roman" w:cs="Times New Roman"/>
          <w:sz w:val="24"/>
        </w:rPr>
        <w:t>Falchetta</w:t>
      </w:r>
      <w:proofErr w:type="spellEnd"/>
      <w:r w:rsidRPr="00E80A8D">
        <w:rPr>
          <w:rFonts w:ascii="Times New Roman" w:hAnsi="Times New Roman" w:cs="Times New Roman"/>
          <w:sz w:val="24"/>
        </w:rPr>
        <w:t xml:space="preserve">, M. </w:t>
      </w:r>
      <w:proofErr w:type="spellStart"/>
      <w:r w:rsidRPr="00E80A8D">
        <w:rPr>
          <w:rFonts w:ascii="Times New Roman" w:hAnsi="Times New Roman" w:cs="Times New Roman"/>
          <w:sz w:val="24"/>
        </w:rPr>
        <w:t>Flörke</w:t>
      </w:r>
      <w:proofErr w:type="spellEnd"/>
      <w:r w:rsidRPr="00E80A8D">
        <w:rPr>
          <w:rFonts w:ascii="Times New Roman" w:hAnsi="Times New Roman" w:cs="Times New Roman"/>
          <w:sz w:val="24"/>
        </w:rPr>
        <w:t xml:space="preserve">, S. Fujimori, P. </w:t>
      </w:r>
      <w:proofErr w:type="spellStart"/>
      <w:r w:rsidRPr="00E80A8D">
        <w:rPr>
          <w:rFonts w:ascii="Times New Roman" w:hAnsi="Times New Roman" w:cs="Times New Roman"/>
          <w:sz w:val="24"/>
        </w:rPr>
        <w:t>Havlik</w:t>
      </w:r>
      <w:proofErr w:type="spellEnd"/>
      <w:r w:rsidRPr="00E80A8D">
        <w:rPr>
          <w:rFonts w:ascii="Times New Roman" w:hAnsi="Times New Roman" w:cs="Times New Roman"/>
          <w:sz w:val="24"/>
        </w:rPr>
        <w:t xml:space="preserve">, M. Hejazi, J. Hunt, V. </w:t>
      </w:r>
      <w:proofErr w:type="spellStart"/>
      <w:r w:rsidRPr="00E80A8D">
        <w:rPr>
          <w:rFonts w:ascii="Times New Roman" w:hAnsi="Times New Roman" w:cs="Times New Roman"/>
          <w:sz w:val="24"/>
        </w:rPr>
        <w:t>Krey</w:t>
      </w:r>
      <w:proofErr w:type="spellEnd"/>
      <w:r w:rsidRPr="00E80A8D">
        <w:rPr>
          <w:rFonts w:ascii="Times New Roman" w:hAnsi="Times New Roman" w:cs="Times New Roman"/>
          <w:sz w:val="24"/>
        </w:rPr>
        <w:t xml:space="preserve">, S. </w:t>
      </w:r>
      <w:proofErr w:type="spellStart"/>
      <w:r w:rsidRPr="00E80A8D">
        <w:rPr>
          <w:rFonts w:ascii="Times New Roman" w:hAnsi="Times New Roman" w:cs="Times New Roman"/>
          <w:sz w:val="24"/>
        </w:rPr>
        <w:t>Langan</w:t>
      </w:r>
      <w:proofErr w:type="spellEnd"/>
      <w:r w:rsidRPr="00E80A8D">
        <w:rPr>
          <w:rFonts w:ascii="Times New Roman" w:hAnsi="Times New Roman" w:cs="Times New Roman"/>
          <w:sz w:val="24"/>
        </w:rPr>
        <w:t xml:space="preserve">, N. </w:t>
      </w:r>
      <w:proofErr w:type="spellStart"/>
      <w:r w:rsidRPr="00E80A8D">
        <w:rPr>
          <w:rFonts w:ascii="Times New Roman" w:hAnsi="Times New Roman" w:cs="Times New Roman"/>
          <w:sz w:val="24"/>
        </w:rPr>
        <w:t>Nakicenovic</w:t>
      </w:r>
      <w:proofErr w:type="spellEnd"/>
      <w:r w:rsidRPr="00E80A8D">
        <w:rPr>
          <w:rFonts w:ascii="Times New Roman" w:hAnsi="Times New Roman" w:cs="Times New Roman"/>
          <w:sz w:val="24"/>
        </w:rPr>
        <w:t xml:space="preserve">, A. Palazzo, A. Popp, K. </w:t>
      </w:r>
      <w:proofErr w:type="spellStart"/>
      <w:r w:rsidRPr="00E80A8D">
        <w:rPr>
          <w:rFonts w:ascii="Times New Roman" w:hAnsi="Times New Roman" w:cs="Times New Roman"/>
          <w:sz w:val="24"/>
        </w:rPr>
        <w:t>Riahi</w:t>
      </w:r>
      <w:proofErr w:type="spellEnd"/>
      <w:r w:rsidRPr="00E80A8D">
        <w:rPr>
          <w:rFonts w:ascii="Times New Roman" w:hAnsi="Times New Roman" w:cs="Times New Roman"/>
          <w:sz w:val="24"/>
        </w:rPr>
        <w:t xml:space="preserve">, M. van Dijk, M.T.H. van Vliet, D.P. van Vuuren, Y. Wada, D. </w:t>
      </w:r>
      <w:proofErr w:type="spellStart"/>
      <w:r w:rsidRPr="00E80A8D">
        <w:rPr>
          <w:rFonts w:ascii="Times New Roman" w:hAnsi="Times New Roman" w:cs="Times New Roman"/>
          <w:sz w:val="24"/>
        </w:rPr>
        <w:t>Wiberg</w:t>
      </w:r>
      <w:proofErr w:type="spellEnd"/>
      <w:r w:rsidRPr="00E80A8D">
        <w:rPr>
          <w:rFonts w:ascii="Times New Roman" w:hAnsi="Times New Roman" w:cs="Times New Roman"/>
          <w:sz w:val="24"/>
        </w:rPr>
        <w:t xml:space="preserve">, B. </w:t>
      </w:r>
      <w:proofErr w:type="spellStart"/>
      <w:r w:rsidRPr="00E80A8D">
        <w:rPr>
          <w:rFonts w:ascii="Times New Roman" w:hAnsi="Times New Roman" w:cs="Times New Roman"/>
          <w:sz w:val="24"/>
        </w:rPr>
        <w:t>Willaarts</w:t>
      </w:r>
      <w:proofErr w:type="spellEnd"/>
      <w:r w:rsidRPr="00E80A8D">
        <w:rPr>
          <w:rFonts w:ascii="Times New Roman" w:hAnsi="Times New Roman" w:cs="Times New Roman"/>
          <w:sz w:val="24"/>
        </w:rPr>
        <w:t xml:space="preserve">, C. </w:t>
      </w:r>
      <w:proofErr w:type="spellStart"/>
      <w:r w:rsidRPr="00E80A8D">
        <w:rPr>
          <w:rFonts w:ascii="Times New Roman" w:hAnsi="Times New Roman" w:cs="Times New Roman"/>
          <w:sz w:val="24"/>
        </w:rPr>
        <w:t>Zimm</w:t>
      </w:r>
      <w:proofErr w:type="spellEnd"/>
      <w:r w:rsidRPr="00E80A8D">
        <w:rPr>
          <w:rFonts w:ascii="Times New Roman" w:hAnsi="Times New Roman" w:cs="Times New Roman"/>
          <w:sz w:val="24"/>
        </w:rPr>
        <w:t>, S. Parkinson, Integrated Solutions for the Water-Energy-Land Nexus: Are Global Models Rising to the Challenge?, Water. 11 (2019) 2223. https://doi.org/10.3390/w11112223.</w:t>
      </w:r>
    </w:p>
    <w:p w14:paraId="5CF7E1AB"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[12]</w:t>
      </w:r>
      <w:r w:rsidRPr="00E80A8D">
        <w:rPr>
          <w:rFonts w:ascii="Times New Roman" w:hAnsi="Times New Roman" w:cs="Times New Roman"/>
          <w:sz w:val="24"/>
        </w:rPr>
        <w:tab/>
        <w:t xml:space="preserve">T. </w:t>
      </w:r>
      <w:proofErr w:type="spellStart"/>
      <w:r w:rsidRPr="00E80A8D">
        <w:rPr>
          <w:rFonts w:ascii="Times New Roman" w:hAnsi="Times New Roman" w:cs="Times New Roman"/>
          <w:sz w:val="24"/>
        </w:rPr>
        <w:t>Kahil</w:t>
      </w:r>
      <w:proofErr w:type="spellEnd"/>
      <w:r w:rsidRPr="00E80A8D">
        <w:rPr>
          <w:rFonts w:ascii="Times New Roman" w:hAnsi="Times New Roman" w:cs="Times New Roman"/>
          <w:sz w:val="24"/>
        </w:rPr>
        <w:t xml:space="preserve">, S. Parkinson, Y. Satoh, P. </w:t>
      </w:r>
      <w:proofErr w:type="spellStart"/>
      <w:r w:rsidRPr="00E80A8D">
        <w:rPr>
          <w:rFonts w:ascii="Times New Roman" w:hAnsi="Times New Roman" w:cs="Times New Roman"/>
          <w:sz w:val="24"/>
        </w:rPr>
        <w:t>Greve</w:t>
      </w:r>
      <w:proofErr w:type="spellEnd"/>
      <w:r w:rsidRPr="00E80A8D">
        <w:rPr>
          <w:rFonts w:ascii="Times New Roman" w:hAnsi="Times New Roman" w:cs="Times New Roman"/>
          <w:sz w:val="24"/>
        </w:rPr>
        <w:t xml:space="preserve">, P. </w:t>
      </w:r>
      <w:proofErr w:type="spellStart"/>
      <w:r w:rsidRPr="00E80A8D">
        <w:rPr>
          <w:rFonts w:ascii="Times New Roman" w:hAnsi="Times New Roman" w:cs="Times New Roman"/>
          <w:sz w:val="24"/>
        </w:rPr>
        <w:t>Burek</w:t>
      </w:r>
      <w:proofErr w:type="spellEnd"/>
      <w:r w:rsidRPr="00E80A8D">
        <w:rPr>
          <w:rFonts w:ascii="Times New Roman" w:hAnsi="Times New Roman" w:cs="Times New Roman"/>
          <w:sz w:val="24"/>
        </w:rPr>
        <w:t xml:space="preserve">, T.I.E. </w:t>
      </w:r>
      <w:proofErr w:type="spellStart"/>
      <w:r w:rsidRPr="00E80A8D">
        <w:rPr>
          <w:rFonts w:ascii="Times New Roman" w:hAnsi="Times New Roman" w:cs="Times New Roman"/>
          <w:sz w:val="24"/>
        </w:rPr>
        <w:t>Veldkamp</w:t>
      </w:r>
      <w:proofErr w:type="spellEnd"/>
      <w:r w:rsidRPr="00E80A8D">
        <w:rPr>
          <w:rFonts w:ascii="Times New Roman" w:hAnsi="Times New Roman" w:cs="Times New Roman"/>
          <w:sz w:val="24"/>
        </w:rPr>
        <w:t xml:space="preserve">, R. </w:t>
      </w:r>
      <w:proofErr w:type="spellStart"/>
      <w:r w:rsidRPr="00E80A8D">
        <w:rPr>
          <w:rFonts w:ascii="Times New Roman" w:hAnsi="Times New Roman" w:cs="Times New Roman"/>
          <w:sz w:val="24"/>
        </w:rPr>
        <w:t>Burtscher</w:t>
      </w:r>
      <w:proofErr w:type="spellEnd"/>
      <w:r w:rsidRPr="00E80A8D">
        <w:rPr>
          <w:rFonts w:ascii="Times New Roman" w:hAnsi="Times New Roman" w:cs="Times New Roman"/>
          <w:sz w:val="24"/>
        </w:rPr>
        <w:t xml:space="preserve">, E. Byers, N. </w:t>
      </w:r>
      <w:proofErr w:type="spellStart"/>
      <w:r w:rsidRPr="00E80A8D">
        <w:rPr>
          <w:rFonts w:ascii="Times New Roman" w:hAnsi="Times New Roman" w:cs="Times New Roman"/>
          <w:sz w:val="24"/>
        </w:rPr>
        <w:t>Djilali</w:t>
      </w:r>
      <w:proofErr w:type="spellEnd"/>
      <w:r w:rsidRPr="00E80A8D">
        <w:rPr>
          <w:rFonts w:ascii="Times New Roman" w:hAnsi="Times New Roman" w:cs="Times New Roman"/>
          <w:sz w:val="24"/>
        </w:rPr>
        <w:t xml:space="preserve">, G. Fischer, V. </w:t>
      </w:r>
      <w:proofErr w:type="spellStart"/>
      <w:r w:rsidRPr="00E80A8D">
        <w:rPr>
          <w:rFonts w:ascii="Times New Roman" w:hAnsi="Times New Roman" w:cs="Times New Roman"/>
          <w:sz w:val="24"/>
        </w:rPr>
        <w:t>Krey</w:t>
      </w:r>
      <w:proofErr w:type="spellEnd"/>
      <w:r w:rsidRPr="00E80A8D">
        <w:rPr>
          <w:rFonts w:ascii="Times New Roman" w:hAnsi="Times New Roman" w:cs="Times New Roman"/>
          <w:sz w:val="24"/>
        </w:rPr>
        <w:t xml:space="preserve">, S. </w:t>
      </w:r>
      <w:proofErr w:type="spellStart"/>
      <w:r w:rsidRPr="00E80A8D">
        <w:rPr>
          <w:rFonts w:ascii="Times New Roman" w:hAnsi="Times New Roman" w:cs="Times New Roman"/>
          <w:sz w:val="24"/>
        </w:rPr>
        <w:t>Langan</w:t>
      </w:r>
      <w:proofErr w:type="spellEnd"/>
      <w:r w:rsidRPr="00E80A8D">
        <w:rPr>
          <w:rFonts w:ascii="Times New Roman" w:hAnsi="Times New Roman" w:cs="Times New Roman"/>
          <w:sz w:val="24"/>
        </w:rPr>
        <w:t xml:space="preserve">, K. </w:t>
      </w:r>
      <w:proofErr w:type="spellStart"/>
      <w:r w:rsidRPr="00E80A8D">
        <w:rPr>
          <w:rFonts w:ascii="Times New Roman" w:hAnsi="Times New Roman" w:cs="Times New Roman"/>
          <w:sz w:val="24"/>
        </w:rPr>
        <w:t>Riahi</w:t>
      </w:r>
      <w:proofErr w:type="spellEnd"/>
      <w:r w:rsidRPr="00E80A8D">
        <w:rPr>
          <w:rFonts w:ascii="Times New Roman" w:hAnsi="Times New Roman" w:cs="Times New Roman"/>
          <w:sz w:val="24"/>
        </w:rPr>
        <w:t xml:space="preserve">, S. </w:t>
      </w:r>
      <w:proofErr w:type="spellStart"/>
      <w:r w:rsidRPr="00E80A8D">
        <w:rPr>
          <w:rFonts w:ascii="Times New Roman" w:hAnsi="Times New Roman" w:cs="Times New Roman"/>
          <w:sz w:val="24"/>
        </w:rPr>
        <w:t>Tramberend</w:t>
      </w:r>
      <w:proofErr w:type="spellEnd"/>
      <w:r w:rsidRPr="00E80A8D">
        <w:rPr>
          <w:rFonts w:ascii="Times New Roman" w:hAnsi="Times New Roman" w:cs="Times New Roman"/>
          <w:sz w:val="24"/>
        </w:rPr>
        <w:t xml:space="preserve">, Y. Wada, A Continental-Scale </w:t>
      </w:r>
      <w:proofErr w:type="spellStart"/>
      <w:r w:rsidRPr="00E80A8D">
        <w:rPr>
          <w:rFonts w:ascii="Times New Roman" w:hAnsi="Times New Roman" w:cs="Times New Roman"/>
          <w:sz w:val="24"/>
        </w:rPr>
        <w:t>Hydroeconomic</w:t>
      </w:r>
      <w:proofErr w:type="spellEnd"/>
      <w:r w:rsidRPr="00E80A8D">
        <w:rPr>
          <w:rFonts w:ascii="Times New Roman" w:hAnsi="Times New Roman" w:cs="Times New Roman"/>
          <w:sz w:val="24"/>
        </w:rPr>
        <w:t xml:space="preserve"> Model for Integrating Water-Energy-Land Nexus Solutions, Water Resources Research. (2017) 7511–7533. https://doi.org/10.1029/2017WR022478@10.1002/(ISSN)1944-7973.HESSS4.</w:t>
      </w:r>
    </w:p>
    <w:p w14:paraId="2C994BDE"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[13]</w:t>
      </w:r>
      <w:r w:rsidRPr="00E80A8D">
        <w:rPr>
          <w:rFonts w:ascii="Times New Roman" w:hAnsi="Times New Roman" w:cs="Times New Roman"/>
          <w:sz w:val="24"/>
        </w:rPr>
        <w:tab/>
        <w:t xml:space="preserve">M. Kurian, R. </w:t>
      </w:r>
      <w:proofErr w:type="spellStart"/>
      <w:r w:rsidRPr="00E80A8D">
        <w:rPr>
          <w:rFonts w:ascii="Times New Roman" w:hAnsi="Times New Roman" w:cs="Times New Roman"/>
          <w:sz w:val="24"/>
        </w:rPr>
        <w:t>Ardakanian</w:t>
      </w:r>
      <w:proofErr w:type="spellEnd"/>
      <w:r w:rsidRPr="00E80A8D">
        <w:rPr>
          <w:rFonts w:ascii="Times New Roman" w:hAnsi="Times New Roman" w:cs="Times New Roman"/>
          <w:sz w:val="24"/>
        </w:rPr>
        <w:t>, eds., Governing the Nexus: Water, Soil and Waste Resources Considering Global Change, Springer International Publishing, 2015. https://doi.org/10.1007/978-3-319-05747-7.</w:t>
      </w:r>
    </w:p>
    <w:p w14:paraId="100048F6"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[14]</w:t>
      </w:r>
      <w:r w:rsidRPr="00E80A8D">
        <w:rPr>
          <w:rFonts w:ascii="Times New Roman" w:hAnsi="Times New Roman" w:cs="Times New Roman"/>
          <w:sz w:val="24"/>
        </w:rPr>
        <w:tab/>
        <w:t xml:space="preserve">Y. </w:t>
      </w:r>
      <w:proofErr w:type="spellStart"/>
      <w:r w:rsidRPr="00E80A8D">
        <w:rPr>
          <w:rFonts w:ascii="Times New Roman" w:hAnsi="Times New Roman" w:cs="Times New Roman"/>
          <w:sz w:val="24"/>
        </w:rPr>
        <w:t>Lechón</w:t>
      </w:r>
      <w:proofErr w:type="spellEnd"/>
      <w:r w:rsidRPr="00E80A8D">
        <w:rPr>
          <w:rFonts w:ascii="Times New Roman" w:hAnsi="Times New Roman" w:cs="Times New Roman"/>
          <w:sz w:val="24"/>
        </w:rPr>
        <w:t xml:space="preserve">, C. De La </w:t>
      </w:r>
      <w:proofErr w:type="spellStart"/>
      <w:r w:rsidRPr="00E80A8D">
        <w:rPr>
          <w:rFonts w:ascii="Times New Roman" w:hAnsi="Times New Roman" w:cs="Times New Roman"/>
          <w:sz w:val="24"/>
        </w:rPr>
        <w:t>Rúa</w:t>
      </w:r>
      <w:proofErr w:type="spellEnd"/>
      <w:r w:rsidRPr="00E80A8D">
        <w:rPr>
          <w:rFonts w:ascii="Times New Roman" w:hAnsi="Times New Roman" w:cs="Times New Roman"/>
          <w:sz w:val="24"/>
        </w:rPr>
        <w:t xml:space="preserve">, H. Cabal, Impacts of </w:t>
      </w:r>
      <w:proofErr w:type="spellStart"/>
      <w:r w:rsidRPr="00E80A8D">
        <w:rPr>
          <w:rFonts w:ascii="Times New Roman" w:hAnsi="Times New Roman" w:cs="Times New Roman"/>
          <w:sz w:val="24"/>
        </w:rPr>
        <w:t>Decarbonisation</w:t>
      </w:r>
      <w:proofErr w:type="spellEnd"/>
      <w:r w:rsidRPr="00E80A8D">
        <w:rPr>
          <w:rFonts w:ascii="Times New Roman" w:hAnsi="Times New Roman" w:cs="Times New Roman"/>
          <w:sz w:val="24"/>
        </w:rPr>
        <w:t xml:space="preserve"> on the Water-Energy-Land (WEL) Nexus: A Case Study of the Spanish Electricity Sector, Energies. 11 (2018) 1203. https://doi.org/10.3390/en11051203.</w:t>
      </w:r>
    </w:p>
    <w:p w14:paraId="75FBB984"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[15]</w:t>
      </w:r>
      <w:r w:rsidRPr="00E80A8D">
        <w:rPr>
          <w:rFonts w:ascii="Times New Roman" w:hAnsi="Times New Roman" w:cs="Times New Roman"/>
          <w:sz w:val="24"/>
        </w:rPr>
        <w:tab/>
        <w:t xml:space="preserve">J. Liu, V. Hull, H.C.J. </w:t>
      </w:r>
      <w:proofErr w:type="spellStart"/>
      <w:r w:rsidRPr="00E80A8D">
        <w:rPr>
          <w:rFonts w:ascii="Times New Roman" w:hAnsi="Times New Roman" w:cs="Times New Roman"/>
          <w:sz w:val="24"/>
        </w:rPr>
        <w:t>Godfray</w:t>
      </w:r>
      <w:proofErr w:type="spellEnd"/>
      <w:r w:rsidRPr="00E80A8D">
        <w:rPr>
          <w:rFonts w:ascii="Times New Roman" w:hAnsi="Times New Roman" w:cs="Times New Roman"/>
          <w:sz w:val="24"/>
        </w:rPr>
        <w:t xml:space="preserve">, D. Tilman, P. </w:t>
      </w:r>
      <w:proofErr w:type="spellStart"/>
      <w:r w:rsidRPr="00E80A8D">
        <w:rPr>
          <w:rFonts w:ascii="Times New Roman" w:hAnsi="Times New Roman" w:cs="Times New Roman"/>
          <w:sz w:val="24"/>
        </w:rPr>
        <w:t>Gleick</w:t>
      </w:r>
      <w:proofErr w:type="spellEnd"/>
      <w:r w:rsidRPr="00E80A8D">
        <w:rPr>
          <w:rFonts w:ascii="Times New Roman" w:hAnsi="Times New Roman" w:cs="Times New Roman"/>
          <w:sz w:val="24"/>
        </w:rPr>
        <w:t xml:space="preserve">, H. Hoff, C. </w:t>
      </w:r>
      <w:proofErr w:type="spellStart"/>
      <w:r w:rsidRPr="00E80A8D">
        <w:rPr>
          <w:rFonts w:ascii="Times New Roman" w:hAnsi="Times New Roman" w:cs="Times New Roman"/>
          <w:sz w:val="24"/>
        </w:rPr>
        <w:t>Pahl-Wostl</w:t>
      </w:r>
      <w:proofErr w:type="spellEnd"/>
      <w:r w:rsidRPr="00E80A8D">
        <w:rPr>
          <w:rFonts w:ascii="Times New Roman" w:hAnsi="Times New Roman" w:cs="Times New Roman"/>
          <w:sz w:val="24"/>
        </w:rPr>
        <w:t>, Z. Xu, M.G. Chung, J. Sun, S. Li, Nexus approaches to global sustainable development, Nature Sustainability. 1 (2018) 466–476. https://doi.org/10.1038/s41893-018-0135-8.</w:t>
      </w:r>
    </w:p>
    <w:p w14:paraId="5508E6FA"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[16]</w:t>
      </w:r>
      <w:r w:rsidRPr="00E80A8D">
        <w:rPr>
          <w:rFonts w:ascii="Times New Roman" w:hAnsi="Times New Roman" w:cs="Times New Roman"/>
          <w:sz w:val="24"/>
        </w:rPr>
        <w:tab/>
        <w:t xml:space="preserve">A. </w:t>
      </w:r>
      <w:proofErr w:type="spellStart"/>
      <w:r w:rsidRPr="00E80A8D">
        <w:rPr>
          <w:rFonts w:ascii="Times New Roman" w:hAnsi="Times New Roman" w:cs="Times New Roman"/>
          <w:sz w:val="24"/>
        </w:rPr>
        <w:t>Nauditt</w:t>
      </w:r>
      <w:proofErr w:type="spellEnd"/>
      <w:r w:rsidRPr="00E80A8D">
        <w:rPr>
          <w:rFonts w:ascii="Times New Roman" w:hAnsi="Times New Roman" w:cs="Times New Roman"/>
          <w:sz w:val="24"/>
        </w:rPr>
        <w:t>, Discussion of “Challenges in operationalizing the water–energy–food nexus” &lt;sup/&gt;, Hydrological Sciences Journal. 63 (2018) 1866–1867. https://doi.org/10.1080/02626667.2018.1545096.</w:t>
      </w:r>
    </w:p>
    <w:p w14:paraId="5191DF8F"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[17]</w:t>
      </w:r>
      <w:r w:rsidRPr="00E80A8D">
        <w:rPr>
          <w:rFonts w:ascii="Times New Roman" w:hAnsi="Times New Roman" w:cs="Times New Roman"/>
          <w:sz w:val="24"/>
        </w:rPr>
        <w:tab/>
        <w:t>J.P. Newell, B. Goldstein, A. Foster, A 40-year review of food–energy–water nexus literature and its application to the urban scale, Environ. Res. Lett. 14 (2019) 073003. https://doi.org/10.1088/1748-9326/ab0767.</w:t>
      </w:r>
    </w:p>
    <w:p w14:paraId="643A4983"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[18]</w:t>
      </w:r>
      <w:r w:rsidRPr="00E80A8D">
        <w:rPr>
          <w:rFonts w:ascii="Times New Roman" w:hAnsi="Times New Roman" w:cs="Times New Roman"/>
          <w:sz w:val="24"/>
        </w:rPr>
        <w:tab/>
        <w:t xml:space="preserve">L. </w:t>
      </w:r>
      <w:proofErr w:type="spellStart"/>
      <w:r w:rsidRPr="00E80A8D">
        <w:rPr>
          <w:rFonts w:ascii="Times New Roman" w:hAnsi="Times New Roman" w:cs="Times New Roman"/>
          <w:sz w:val="24"/>
        </w:rPr>
        <w:t>Nhamo</w:t>
      </w:r>
      <w:proofErr w:type="spellEnd"/>
      <w:r w:rsidRPr="00E80A8D">
        <w:rPr>
          <w:rFonts w:ascii="Times New Roman" w:hAnsi="Times New Roman" w:cs="Times New Roman"/>
          <w:sz w:val="24"/>
        </w:rPr>
        <w:t xml:space="preserve">, B. Ndlela, C. </w:t>
      </w:r>
      <w:proofErr w:type="spellStart"/>
      <w:r w:rsidRPr="00E80A8D">
        <w:rPr>
          <w:rFonts w:ascii="Times New Roman" w:hAnsi="Times New Roman" w:cs="Times New Roman"/>
          <w:sz w:val="24"/>
        </w:rPr>
        <w:t>Nhemachena</w:t>
      </w:r>
      <w:proofErr w:type="spellEnd"/>
      <w:r w:rsidRPr="00E80A8D">
        <w:rPr>
          <w:rFonts w:ascii="Times New Roman" w:hAnsi="Times New Roman" w:cs="Times New Roman"/>
          <w:sz w:val="24"/>
        </w:rPr>
        <w:t xml:space="preserve">, T. </w:t>
      </w:r>
      <w:proofErr w:type="spellStart"/>
      <w:r w:rsidRPr="00E80A8D">
        <w:rPr>
          <w:rFonts w:ascii="Times New Roman" w:hAnsi="Times New Roman" w:cs="Times New Roman"/>
          <w:sz w:val="24"/>
        </w:rPr>
        <w:t>Mabhaudhi</w:t>
      </w:r>
      <w:proofErr w:type="spellEnd"/>
      <w:r w:rsidRPr="00E80A8D">
        <w:rPr>
          <w:rFonts w:ascii="Times New Roman" w:hAnsi="Times New Roman" w:cs="Times New Roman"/>
          <w:sz w:val="24"/>
        </w:rPr>
        <w:t xml:space="preserve">, S. </w:t>
      </w:r>
      <w:proofErr w:type="spellStart"/>
      <w:r w:rsidRPr="00E80A8D">
        <w:rPr>
          <w:rFonts w:ascii="Times New Roman" w:hAnsi="Times New Roman" w:cs="Times New Roman"/>
          <w:sz w:val="24"/>
        </w:rPr>
        <w:t>Mpandeli</w:t>
      </w:r>
      <w:proofErr w:type="spellEnd"/>
      <w:r w:rsidRPr="00E80A8D">
        <w:rPr>
          <w:rFonts w:ascii="Times New Roman" w:hAnsi="Times New Roman" w:cs="Times New Roman"/>
          <w:sz w:val="24"/>
        </w:rPr>
        <w:t xml:space="preserve">, G. </w:t>
      </w:r>
      <w:proofErr w:type="spellStart"/>
      <w:r w:rsidRPr="00E80A8D">
        <w:rPr>
          <w:rFonts w:ascii="Times New Roman" w:hAnsi="Times New Roman" w:cs="Times New Roman"/>
          <w:sz w:val="24"/>
        </w:rPr>
        <w:t>Matchaya</w:t>
      </w:r>
      <w:proofErr w:type="spellEnd"/>
      <w:r w:rsidRPr="00E80A8D">
        <w:rPr>
          <w:rFonts w:ascii="Times New Roman" w:hAnsi="Times New Roman" w:cs="Times New Roman"/>
          <w:sz w:val="24"/>
        </w:rPr>
        <w:t>, The Water-Energy-Food Nexus: Climate Risks and Opportunities in Southern Africa, Water. 10 (2018) 567. https://doi.org/10.3390/w10050567.</w:t>
      </w:r>
    </w:p>
    <w:p w14:paraId="2B231B41"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[19]</w:t>
      </w:r>
      <w:r w:rsidRPr="00E80A8D">
        <w:rPr>
          <w:rFonts w:ascii="Times New Roman" w:hAnsi="Times New Roman" w:cs="Times New Roman"/>
          <w:sz w:val="24"/>
        </w:rPr>
        <w:tab/>
        <w:t xml:space="preserve">T. Oki, S. Yano, N. </w:t>
      </w:r>
      <w:proofErr w:type="spellStart"/>
      <w:r w:rsidRPr="00E80A8D">
        <w:rPr>
          <w:rFonts w:ascii="Times New Roman" w:hAnsi="Times New Roman" w:cs="Times New Roman"/>
          <w:sz w:val="24"/>
        </w:rPr>
        <w:t>Hanasaki</w:t>
      </w:r>
      <w:proofErr w:type="spellEnd"/>
      <w:r w:rsidRPr="00E80A8D">
        <w:rPr>
          <w:rFonts w:ascii="Times New Roman" w:hAnsi="Times New Roman" w:cs="Times New Roman"/>
          <w:sz w:val="24"/>
        </w:rPr>
        <w:t>, Economic aspects of virtual water trade, Environ. Res. Lett. 12 (2017) 044002. https://doi.org/10.1088/1748-9326/aa625f.</w:t>
      </w:r>
    </w:p>
    <w:p w14:paraId="7CD95F55"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[20]</w:t>
      </w:r>
      <w:r w:rsidRPr="00E80A8D">
        <w:rPr>
          <w:rFonts w:ascii="Times New Roman" w:hAnsi="Times New Roman" w:cs="Times New Roman"/>
          <w:sz w:val="24"/>
        </w:rPr>
        <w:tab/>
        <w:t xml:space="preserve">A.K. Opejin, R.M. Aggarwal, D.D. White, J.L. Jones, R. </w:t>
      </w:r>
      <w:proofErr w:type="spellStart"/>
      <w:r w:rsidRPr="00E80A8D">
        <w:rPr>
          <w:rFonts w:ascii="Times New Roman" w:hAnsi="Times New Roman" w:cs="Times New Roman"/>
          <w:sz w:val="24"/>
        </w:rPr>
        <w:t>Maciejewski</w:t>
      </w:r>
      <w:proofErr w:type="spellEnd"/>
      <w:r w:rsidRPr="00E80A8D">
        <w:rPr>
          <w:rFonts w:ascii="Times New Roman" w:hAnsi="Times New Roman" w:cs="Times New Roman"/>
          <w:sz w:val="24"/>
        </w:rPr>
        <w:t xml:space="preserve">, G. Mascaro, H.S. </w:t>
      </w:r>
      <w:proofErr w:type="spellStart"/>
      <w:r w:rsidRPr="00E80A8D">
        <w:rPr>
          <w:rFonts w:ascii="Times New Roman" w:hAnsi="Times New Roman" w:cs="Times New Roman"/>
          <w:sz w:val="24"/>
        </w:rPr>
        <w:t>Sarjoughian</w:t>
      </w:r>
      <w:proofErr w:type="spellEnd"/>
      <w:r w:rsidRPr="00E80A8D">
        <w:rPr>
          <w:rFonts w:ascii="Times New Roman" w:hAnsi="Times New Roman" w:cs="Times New Roman"/>
          <w:sz w:val="24"/>
        </w:rPr>
        <w:t>, A Bibliometric Analysis of Food-Energy-Water Nexus Literature, Sustainability. 12 (2020) 1112. https://doi.org/10.3390/su12031112.</w:t>
      </w:r>
    </w:p>
    <w:p w14:paraId="3A2B2E19"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[21]</w:t>
      </w:r>
      <w:r w:rsidRPr="00E80A8D">
        <w:rPr>
          <w:rFonts w:ascii="Times New Roman" w:hAnsi="Times New Roman" w:cs="Times New Roman"/>
          <w:sz w:val="24"/>
        </w:rPr>
        <w:tab/>
        <w:t>G. Rasul, B. Sharma, The nexus approach to water–energy–food security: an option for adaptation to climate change, Climate Policy. 16 (2016) 682–702. https://doi.org/10.1080/14693062.2015.1029865.</w:t>
      </w:r>
    </w:p>
    <w:p w14:paraId="2594566A"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[22]</w:t>
      </w:r>
      <w:r w:rsidRPr="00E80A8D">
        <w:rPr>
          <w:rFonts w:ascii="Times New Roman" w:hAnsi="Times New Roman" w:cs="Times New Roman"/>
          <w:sz w:val="24"/>
        </w:rPr>
        <w:tab/>
        <w:t xml:space="preserve">C. Ringler, A. </w:t>
      </w:r>
      <w:proofErr w:type="spellStart"/>
      <w:r w:rsidRPr="00E80A8D">
        <w:rPr>
          <w:rFonts w:ascii="Times New Roman" w:hAnsi="Times New Roman" w:cs="Times New Roman"/>
          <w:sz w:val="24"/>
        </w:rPr>
        <w:t>Bhaduri</w:t>
      </w:r>
      <w:proofErr w:type="spellEnd"/>
      <w:r w:rsidRPr="00E80A8D">
        <w:rPr>
          <w:rFonts w:ascii="Times New Roman" w:hAnsi="Times New Roman" w:cs="Times New Roman"/>
          <w:sz w:val="24"/>
        </w:rPr>
        <w:t>, R. Lawford, The nexus across water, energy, land and food (WELF): potential for improved resource use efficiency?, Current Opinion in Environmental Sustainability. 5 (2013) 617–624. https://doi.org/10.1016/j.cosust.2013.11.002.</w:t>
      </w:r>
    </w:p>
    <w:p w14:paraId="46C3F879"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[23]</w:t>
      </w:r>
      <w:r w:rsidRPr="00E80A8D">
        <w:rPr>
          <w:rFonts w:ascii="Times New Roman" w:hAnsi="Times New Roman" w:cs="Times New Roman"/>
          <w:sz w:val="24"/>
        </w:rPr>
        <w:tab/>
        <w:t xml:space="preserve">F. </w:t>
      </w:r>
      <w:proofErr w:type="spellStart"/>
      <w:r w:rsidRPr="00E80A8D">
        <w:rPr>
          <w:rFonts w:ascii="Times New Roman" w:hAnsi="Times New Roman" w:cs="Times New Roman"/>
          <w:sz w:val="24"/>
        </w:rPr>
        <w:t>Saladini</w:t>
      </w:r>
      <w:proofErr w:type="spellEnd"/>
      <w:r w:rsidRPr="00E80A8D">
        <w:rPr>
          <w:rFonts w:ascii="Times New Roman" w:hAnsi="Times New Roman" w:cs="Times New Roman"/>
          <w:sz w:val="24"/>
        </w:rPr>
        <w:t xml:space="preserve">, G. </w:t>
      </w:r>
      <w:proofErr w:type="spellStart"/>
      <w:r w:rsidRPr="00E80A8D">
        <w:rPr>
          <w:rFonts w:ascii="Times New Roman" w:hAnsi="Times New Roman" w:cs="Times New Roman"/>
          <w:sz w:val="24"/>
        </w:rPr>
        <w:t>Betti</w:t>
      </w:r>
      <w:proofErr w:type="spellEnd"/>
      <w:r w:rsidRPr="00E80A8D">
        <w:rPr>
          <w:rFonts w:ascii="Times New Roman" w:hAnsi="Times New Roman" w:cs="Times New Roman"/>
          <w:sz w:val="24"/>
        </w:rPr>
        <w:t xml:space="preserve">, E. </w:t>
      </w:r>
      <w:proofErr w:type="spellStart"/>
      <w:r w:rsidRPr="00E80A8D">
        <w:rPr>
          <w:rFonts w:ascii="Times New Roman" w:hAnsi="Times New Roman" w:cs="Times New Roman"/>
          <w:sz w:val="24"/>
        </w:rPr>
        <w:t>Ferragina</w:t>
      </w:r>
      <w:proofErr w:type="spellEnd"/>
      <w:r w:rsidRPr="00E80A8D">
        <w:rPr>
          <w:rFonts w:ascii="Times New Roman" w:hAnsi="Times New Roman" w:cs="Times New Roman"/>
          <w:sz w:val="24"/>
        </w:rPr>
        <w:t xml:space="preserve">, F. </w:t>
      </w:r>
      <w:proofErr w:type="spellStart"/>
      <w:r w:rsidRPr="00E80A8D">
        <w:rPr>
          <w:rFonts w:ascii="Times New Roman" w:hAnsi="Times New Roman" w:cs="Times New Roman"/>
          <w:sz w:val="24"/>
        </w:rPr>
        <w:t>Bouraoui</w:t>
      </w:r>
      <w:proofErr w:type="spellEnd"/>
      <w:r w:rsidRPr="00E80A8D">
        <w:rPr>
          <w:rFonts w:ascii="Times New Roman" w:hAnsi="Times New Roman" w:cs="Times New Roman"/>
          <w:sz w:val="24"/>
        </w:rPr>
        <w:t xml:space="preserve">, S. Cupertino, G. </w:t>
      </w:r>
      <w:proofErr w:type="spellStart"/>
      <w:r w:rsidRPr="00E80A8D">
        <w:rPr>
          <w:rFonts w:ascii="Times New Roman" w:hAnsi="Times New Roman" w:cs="Times New Roman"/>
          <w:sz w:val="24"/>
        </w:rPr>
        <w:t>Canitano</w:t>
      </w:r>
      <w:proofErr w:type="spellEnd"/>
      <w:r w:rsidRPr="00E80A8D">
        <w:rPr>
          <w:rFonts w:ascii="Times New Roman" w:hAnsi="Times New Roman" w:cs="Times New Roman"/>
          <w:sz w:val="24"/>
        </w:rPr>
        <w:t xml:space="preserve">, M. Gigliotti, A. </w:t>
      </w:r>
      <w:proofErr w:type="spellStart"/>
      <w:r w:rsidRPr="00E80A8D">
        <w:rPr>
          <w:rFonts w:ascii="Times New Roman" w:hAnsi="Times New Roman" w:cs="Times New Roman"/>
          <w:sz w:val="24"/>
        </w:rPr>
        <w:t>Autino</w:t>
      </w:r>
      <w:proofErr w:type="spellEnd"/>
      <w:r w:rsidRPr="00E80A8D">
        <w:rPr>
          <w:rFonts w:ascii="Times New Roman" w:hAnsi="Times New Roman" w:cs="Times New Roman"/>
          <w:sz w:val="24"/>
        </w:rPr>
        <w:t xml:space="preserve">, F.M. </w:t>
      </w:r>
      <w:proofErr w:type="spellStart"/>
      <w:r w:rsidRPr="00E80A8D">
        <w:rPr>
          <w:rFonts w:ascii="Times New Roman" w:hAnsi="Times New Roman" w:cs="Times New Roman"/>
          <w:sz w:val="24"/>
        </w:rPr>
        <w:t>Pulselli</w:t>
      </w:r>
      <w:proofErr w:type="spellEnd"/>
      <w:r w:rsidRPr="00E80A8D">
        <w:rPr>
          <w:rFonts w:ascii="Times New Roman" w:hAnsi="Times New Roman" w:cs="Times New Roman"/>
          <w:sz w:val="24"/>
        </w:rPr>
        <w:t xml:space="preserve">, A. </w:t>
      </w:r>
      <w:proofErr w:type="spellStart"/>
      <w:r w:rsidRPr="00E80A8D">
        <w:rPr>
          <w:rFonts w:ascii="Times New Roman" w:hAnsi="Times New Roman" w:cs="Times New Roman"/>
          <w:sz w:val="24"/>
        </w:rPr>
        <w:t>Riccaboni</w:t>
      </w:r>
      <w:proofErr w:type="spellEnd"/>
      <w:r w:rsidRPr="00E80A8D">
        <w:rPr>
          <w:rFonts w:ascii="Times New Roman" w:hAnsi="Times New Roman" w:cs="Times New Roman"/>
          <w:sz w:val="24"/>
        </w:rPr>
        <w:t xml:space="preserve">, G. </w:t>
      </w:r>
      <w:proofErr w:type="spellStart"/>
      <w:r w:rsidRPr="00E80A8D">
        <w:rPr>
          <w:rFonts w:ascii="Times New Roman" w:hAnsi="Times New Roman" w:cs="Times New Roman"/>
          <w:sz w:val="24"/>
        </w:rPr>
        <w:t>Bidoglio</w:t>
      </w:r>
      <w:proofErr w:type="spellEnd"/>
      <w:r w:rsidRPr="00E80A8D">
        <w:rPr>
          <w:rFonts w:ascii="Times New Roman" w:hAnsi="Times New Roman" w:cs="Times New Roman"/>
          <w:sz w:val="24"/>
        </w:rPr>
        <w:t xml:space="preserve">, S. </w:t>
      </w:r>
      <w:proofErr w:type="spellStart"/>
      <w:r w:rsidRPr="00E80A8D">
        <w:rPr>
          <w:rFonts w:ascii="Times New Roman" w:hAnsi="Times New Roman" w:cs="Times New Roman"/>
          <w:sz w:val="24"/>
        </w:rPr>
        <w:t>Bastianoni</w:t>
      </w:r>
      <w:proofErr w:type="spellEnd"/>
      <w:r w:rsidRPr="00E80A8D">
        <w:rPr>
          <w:rFonts w:ascii="Times New Roman" w:hAnsi="Times New Roman" w:cs="Times New Roman"/>
          <w:sz w:val="24"/>
        </w:rPr>
        <w:t>, Linking the water-energy-</w:t>
      </w:r>
      <w:r w:rsidRPr="00E80A8D">
        <w:rPr>
          <w:rFonts w:ascii="Times New Roman" w:hAnsi="Times New Roman" w:cs="Times New Roman"/>
          <w:sz w:val="24"/>
        </w:rPr>
        <w:lastRenderedPageBreak/>
        <w:t>food nexus and sustainable development indicators for the Mediterranean region, Ecological Indicators. 91 (2018) 689–697. https://doi.org/10.1016/j.ecolind.2018.04.035.</w:t>
      </w:r>
    </w:p>
    <w:p w14:paraId="67201D3C"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[24]</w:t>
      </w:r>
      <w:r w:rsidRPr="00E80A8D">
        <w:rPr>
          <w:rFonts w:ascii="Times New Roman" w:hAnsi="Times New Roman" w:cs="Times New Roman"/>
          <w:sz w:val="24"/>
        </w:rPr>
        <w:tab/>
        <w:t>S.A. Sarkodie, P.A. Owusu, Bibliometric analysis of water–energy–food nexus: Sustainability assessment of renewable energy, Current Opinion in Environmental Science &amp; Health. 13 (2020) 29–34. https://doi.org/10.1016/j.coesh.2019.10.008.</w:t>
      </w:r>
    </w:p>
    <w:p w14:paraId="560E7A7C"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[25]</w:t>
      </w:r>
      <w:r w:rsidRPr="00E80A8D">
        <w:rPr>
          <w:rFonts w:ascii="Times New Roman" w:hAnsi="Times New Roman" w:cs="Times New Roman"/>
          <w:sz w:val="24"/>
        </w:rPr>
        <w:tab/>
        <w:t xml:space="preserve">C.A. Scott, M. Kurian, J.L. </w:t>
      </w:r>
      <w:proofErr w:type="spellStart"/>
      <w:r w:rsidRPr="00E80A8D">
        <w:rPr>
          <w:rFonts w:ascii="Times New Roman" w:hAnsi="Times New Roman" w:cs="Times New Roman"/>
          <w:sz w:val="24"/>
        </w:rPr>
        <w:t>Wescoat</w:t>
      </w:r>
      <w:proofErr w:type="spellEnd"/>
      <w:r w:rsidRPr="00E80A8D">
        <w:rPr>
          <w:rFonts w:ascii="Times New Roman" w:hAnsi="Times New Roman" w:cs="Times New Roman"/>
          <w:sz w:val="24"/>
        </w:rPr>
        <w:t xml:space="preserve">, The Water-Energy-Food Nexus: Enhancing Adaptive Capacity to Complex Global Challenges, in: M. Kurian, R. </w:t>
      </w:r>
      <w:proofErr w:type="spellStart"/>
      <w:r w:rsidRPr="00E80A8D">
        <w:rPr>
          <w:rFonts w:ascii="Times New Roman" w:hAnsi="Times New Roman" w:cs="Times New Roman"/>
          <w:sz w:val="24"/>
        </w:rPr>
        <w:t>Ardakanian</w:t>
      </w:r>
      <w:proofErr w:type="spellEnd"/>
      <w:r w:rsidRPr="00E80A8D">
        <w:rPr>
          <w:rFonts w:ascii="Times New Roman" w:hAnsi="Times New Roman" w:cs="Times New Roman"/>
          <w:sz w:val="24"/>
        </w:rPr>
        <w:t xml:space="preserve"> (Eds.), Governing the Nexus, Springer International Publishing, Cham, 2015: pp. 15–38. https://doi.org/10.1007/978-3-319-05747-7_2.</w:t>
      </w:r>
    </w:p>
    <w:p w14:paraId="047DD246"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[26]</w:t>
      </w:r>
      <w:r w:rsidRPr="00E80A8D">
        <w:rPr>
          <w:rFonts w:ascii="Times New Roman" w:hAnsi="Times New Roman" w:cs="Times New Roman"/>
          <w:sz w:val="24"/>
        </w:rPr>
        <w:tab/>
        <w:t xml:space="preserve">C.A. Scott, M. Kurian, J.L. </w:t>
      </w:r>
      <w:proofErr w:type="spellStart"/>
      <w:r w:rsidRPr="00E80A8D">
        <w:rPr>
          <w:rFonts w:ascii="Times New Roman" w:hAnsi="Times New Roman" w:cs="Times New Roman"/>
          <w:sz w:val="24"/>
        </w:rPr>
        <w:t>Wescoat</w:t>
      </w:r>
      <w:proofErr w:type="spellEnd"/>
      <w:r w:rsidRPr="00E80A8D">
        <w:rPr>
          <w:rFonts w:ascii="Times New Roman" w:hAnsi="Times New Roman" w:cs="Times New Roman"/>
          <w:sz w:val="24"/>
        </w:rPr>
        <w:t>, The Water-Energy-Food Nexus: Enhancing Adaptive Capacity to Complex Global Challenges, Governing the Nexus: Water, Soil and Waste Resources Considering Global Change. (2015) 15–38. https://doi.org/10.1007/978-3-319-05747-7_3.</w:t>
      </w:r>
    </w:p>
    <w:p w14:paraId="69F87821"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[27]</w:t>
      </w:r>
      <w:r w:rsidRPr="00E80A8D">
        <w:rPr>
          <w:rFonts w:ascii="Times New Roman" w:hAnsi="Times New Roman" w:cs="Times New Roman"/>
          <w:sz w:val="24"/>
        </w:rPr>
        <w:tab/>
        <w:t>G.B. Simpson, G.P.W. Jewitt, The Development of the Water-Energy-Food Nexus as a Framework for Achieving Resource Security: A Review, Frontiers in Environmental Science. 7 (2019). https://doi.org/10.3389/fenvs.2019.00008.</w:t>
      </w:r>
    </w:p>
    <w:p w14:paraId="7C258CBC"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[28]</w:t>
      </w:r>
      <w:r w:rsidRPr="00E80A8D">
        <w:rPr>
          <w:rFonts w:ascii="Times New Roman" w:hAnsi="Times New Roman" w:cs="Times New Roman"/>
          <w:sz w:val="24"/>
        </w:rPr>
        <w:tab/>
        <w:t xml:space="preserve">J. </w:t>
      </w:r>
      <w:proofErr w:type="spellStart"/>
      <w:r w:rsidRPr="00E80A8D">
        <w:rPr>
          <w:rFonts w:ascii="Times New Roman" w:hAnsi="Times New Roman" w:cs="Times New Roman"/>
          <w:sz w:val="24"/>
        </w:rPr>
        <w:t>Sušnik</w:t>
      </w:r>
      <w:proofErr w:type="spellEnd"/>
      <w:r w:rsidRPr="00E80A8D">
        <w:rPr>
          <w:rFonts w:ascii="Times New Roman" w:hAnsi="Times New Roman" w:cs="Times New Roman"/>
          <w:sz w:val="24"/>
        </w:rPr>
        <w:t xml:space="preserve">, C. Chew, X. Domingo, S. </w:t>
      </w:r>
      <w:proofErr w:type="spellStart"/>
      <w:r w:rsidRPr="00E80A8D">
        <w:rPr>
          <w:rFonts w:ascii="Times New Roman" w:hAnsi="Times New Roman" w:cs="Times New Roman"/>
          <w:sz w:val="24"/>
        </w:rPr>
        <w:t>Mereu</w:t>
      </w:r>
      <w:proofErr w:type="spellEnd"/>
      <w:r w:rsidRPr="00E80A8D">
        <w:rPr>
          <w:rFonts w:ascii="Times New Roman" w:hAnsi="Times New Roman" w:cs="Times New Roman"/>
          <w:sz w:val="24"/>
        </w:rPr>
        <w:t xml:space="preserve">, A. </w:t>
      </w:r>
      <w:proofErr w:type="spellStart"/>
      <w:r w:rsidRPr="00E80A8D">
        <w:rPr>
          <w:rFonts w:ascii="Times New Roman" w:hAnsi="Times New Roman" w:cs="Times New Roman"/>
          <w:sz w:val="24"/>
        </w:rPr>
        <w:t>Trabucco</w:t>
      </w:r>
      <w:proofErr w:type="spellEnd"/>
      <w:r w:rsidRPr="00E80A8D">
        <w:rPr>
          <w:rFonts w:ascii="Times New Roman" w:hAnsi="Times New Roman" w:cs="Times New Roman"/>
          <w:sz w:val="24"/>
        </w:rPr>
        <w:t xml:space="preserve">, B. Evans, L. </w:t>
      </w:r>
      <w:proofErr w:type="spellStart"/>
      <w:r w:rsidRPr="00E80A8D">
        <w:rPr>
          <w:rFonts w:ascii="Times New Roman" w:hAnsi="Times New Roman" w:cs="Times New Roman"/>
          <w:sz w:val="24"/>
        </w:rPr>
        <w:t>Vamvakeridou-Lyroudia</w:t>
      </w:r>
      <w:proofErr w:type="spellEnd"/>
      <w:r w:rsidRPr="00E80A8D">
        <w:rPr>
          <w:rFonts w:ascii="Times New Roman" w:hAnsi="Times New Roman" w:cs="Times New Roman"/>
          <w:sz w:val="24"/>
        </w:rPr>
        <w:t xml:space="preserve">, D. </w:t>
      </w:r>
      <w:proofErr w:type="spellStart"/>
      <w:r w:rsidRPr="00E80A8D">
        <w:rPr>
          <w:rFonts w:ascii="Times New Roman" w:hAnsi="Times New Roman" w:cs="Times New Roman"/>
          <w:sz w:val="24"/>
        </w:rPr>
        <w:t>Savić</w:t>
      </w:r>
      <w:proofErr w:type="spellEnd"/>
      <w:r w:rsidRPr="00E80A8D">
        <w:rPr>
          <w:rFonts w:ascii="Times New Roman" w:hAnsi="Times New Roman" w:cs="Times New Roman"/>
          <w:sz w:val="24"/>
        </w:rPr>
        <w:t xml:space="preserve">, C. </w:t>
      </w:r>
      <w:proofErr w:type="spellStart"/>
      <w:r w:rsidRPr="00E80A8D">
        <w:rPr>
          <w:rFonts w:ascii="Times New Roman" w:hAnsi="Times New Roman" w:cs="Times New Roman"/>
          <w:sz w:val="24"/>
        </w:rPr>
        <w:t>Laspidou</w:t>
      </w:r>
      <w:proofErr w:type="spellEnd"/>
      <w:r w:rsidRPr="00E80A8D">
        <w:rPr>
          <w:rFonts w:ascii="Times New Roman" w:hAnsi="Times New Roman" w:cs="Times New Roman"/>
          <w:sz w:val="24"/>
        </w:rPr>
        <w:t>, F. Brouwer, Multi-Stakeholder Development of a Serious Game to Explore the Water-Energy-Food-Land-Climate Nexus: The SIM4NEXUS Approach, Water. 10 (2018) 139. https://doi.org/10.3390/w10020139.</w:t>
      </w:r>
    </w:p>
    <w:p w14:paraId="47950713"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[29]</w:t>
      </w:r>
      <w:r w:rsidRPr="00E80A8D">
        <w:rPr>
          <w:rFonts w:ascii="Times New Roman" w:hAnsi="Times New Roman" w:cs="Times New Roman"/>
          <w:sz w:val="24"/>
        </w:rPr>
        <w:tab/>
        <w:t xml:space="preserve">A. </w:t>
      </w:r>
      <w:proofErr w:type="spellStart"/>
      <w:r w:rsidRPr="00E80A8D">
        <w:rPr>
          <w:rFonts w:ascii="Times New Roman" w:hAnsi="Times New Roman" w:cs="Times New Roman"/>
          <w:sz w:val="24"/>
        </w:rPr>
        <w:t>Vinca</w:t>
      </w:r>
      <w:proofErr w:type="spellEnd"/>
      <w:r w:rsidRPr="00E80A8D">
        <w:rPr>
          <w:rFonts w:ascii="Times New Roman" w:hAnsi="Times New Roman" w:cs="Times New Roman"/>
          <w:sz w:val="24"/>
        </w:rPr>
        <w:t xml:space="preserve">, S. Parkinson, E. Byers, P. </w:t>
      </w:r>
      <w:proofErr w:type="spellStart"/>
      <w:r w:rsidRPr="00E80A8D">
        <w:rPr>
          <w:rFonts w:ascii="Times New Roman" w:hAnsi="Times New Roman" w:cs="Times New Roman"/>
          <w:sz w:val="24"/>
        </w:rPr>
        <w:t>Burek</w:t>
      </w:r>
      <w:proofErr w:type="spellEnd"/>
      <w:r w:rsidRPr="00E80A8D">
        <w:rPr>
          <w:rFonts w:ascii="Times New Roman" w:hAnsi="Times New Roman" w:cs="Times New Roman"/>
          <w:sz w:val="24"/>
        </w:rPr>
        <w:t xml:space="preserve">, Z. Khan, V. </w:t>
      </w:r>
      <w:proofErr w:type="spellStart"/>
      <w:r w:rsidRPr="00E80A8D">
        <w:rPr>
          <w:rFonts w:ascii="Times New Roman" w:hAnsi="Times New Roman" w:cs="Times New Roman"/>
          <w:sz w:val="24"/>
        </w:rPr>
        <w:t>Krey</w:t>
      </w:r>
      <w:proofErr w:type="spellEnd"/>
      <w:r w:rsidRPr="00E80A8D">
        <w:rPr>
          <w:rFonts w:ascii="Times New Roman" w:hAnsi="Times New Roman" w:cs="Times New Roman"/>
          <w:sz w:val="24"/>
        </w:rPr>
        <w:t xml:space="preserve">, F.A. </w:t>
      </w:r>
      <w:proofErr w:type="spellStart"/>
      <w:r w:rsidRPr="00E80A8D">
        <w:rPr>
          <w:rFonts w:ascii="Times New Roman" w:hAnsi="Times New Roman" w:cs="Times New Roman"/>
          <w:sz w:val="24"/>
        </w:rPr>
        <w:t>Diuana</w:t>
      </w:r>
      <w:proofErr w:type="spellEnd"/>
      <w:r w:rsidRPr="00E80A8D">
        <w:rPr>
          <w:rFonts w:ascii="Times New Roman" w:hAnsi="Times New Roman" w:cs="Times New Roman"/>
          <w:sz w:val="24"/>
        </w:rPr>
        <w:t xml:space="preserve">, Y. Wang, A. Ilyas, A.C. </w:t>
      </w:r>
      <w:proofErr w:type="spellStart"/>
      <w:r w:rsidRPr="00E80A8D">
        <w:rPr>
          <w:rFonts w:ascii="Times New Roman" w:hAnsi="Times New Roman" w:cs="Times New Roman"/>
          <w:sz w:val="24"/>
        </w:rPr>
        <w:t>Köberle</w:t>
      </w:r>
      <w:proofErr w:type="spellEnd"/>
      <w:r w:rsidRPr="00E80A8D">
        <w:rPr>
          <w:rFonts w:ascii="Times New Roman" w:hAnsi="Times New Roman" w:cs="Times New Roman"/>
          <w:sz w:val="24"/>
        </w:rPr>
        <w:t xml:space="preserve">, I. </w:t>
      </w:r>
      <w:proofErr w:type="spellStart"/>
      <w:r w:rsidRPr="00E80A8D">
        <w:rPr>
          <w:rFonts w:ascii="Times New Roman" w:hAnsi="Times New Roman" w:cs="Times New Roman"/>
          <w:sz w:val="24"/>
        </w:rPr>
        <w:t>Staffell</w:t>
      </w:r>
      <w:proofErr w:type="spellEnd"/>
      <w:r w:rsidRPr="00E80A8D">
        <w:rPr>
          <w:rFonts w:ascii="Times New Roman" w:hAnsi="Times New Roman" w:cs="Times New Roman"/>
          <w:sz w:val="24"/>
        </w:rPr>
        <w:t xml:space="preserve">, S. </w:t>
      </w:r>
      <w:proofErr w:type="spellStart"/>
      <w:r w:rsidRPr="00E80A8D">
        <w:rPr>
          <w:rFonts w:ascii="Times New Roman" w:hAnsi="Times New Roman" w:cs="Times New Roman"/>
          <w:sz w:val="24"/>
        </w:rPr>
        <w:t>Pfenninger</w:t>
      </w:r>
      <w:proofErr w:type="spellEnd"/>
      <w:r w:rsidRPr="00E80A8D">
        <w:rPr>
          <w:rFonts w:ascii="Times New Roman" w:hAnsi="Times New Roman" w:cs="Times New Roman"/>
          <w:sz w:val="24"/>
        </w:rPr>
        <w:t xml:space="preserve">, A. Muhammad, A. Rowe, R. Schaeffer, N.D. Rao, Y. Wada, N. </w:t>
      </w:r>
      <w:proofErr w:type="spellStart"/>
      <w:r w:rsidRPr="00E80A8D">
        <w:rPr>
          <w:rFonts w:ascii="Times New Roman" w:hAnsi="Times New Roman" w:cs="Times New Roman"/>
          <w:sz w:val="24"/>
        </w:rPr>
        <w:t>Djilali</w:t>
      </w:r>
      <w:proofErr w:type="spellEnd"/>
      <w:r w:rsidRPr="00E80A8D">
        <w:rPr>
          <w:rFonts w:ascii="Times New Roman" w:hAnsi="Times New Roman" w:cs="Times New Roman"/>
          <w:sz w:val="24"/>
        </w:rPr>
        <w:t xml:space="preserve">, K. </w:t>
      </w:r>
      <w:proofErr w:type="spellStart"/>
      <w:r w:rsidRPr="00E80A8D">
        <w:rPr>
          <w:rFonts w:ascii="Times New Roman" w:hAnsi="Times New Roman" w:cs="Times New Roman"/>
          <w:sz w:val="24"/>
        </w:rPr>
        <w:t>Riahi</w:t>
      </w:r>
      <w:proofErr w:type="spellEnd"/>
      <w:r w:rsidRPr="00E80A8D">
        <w:rPr>
          <w:rFonts w:ascii="Times New Roman" w:hAnsi="Times New Roman" w:cs="Times New Roman"/>
          <w:sz w:val="24"/>
        </w:rPr>
        <w:t>, The Nexus Solutions Tool (NEST): An open platform for optimizing multi-scale energy-water-land system transformations, Geoscientific Model Development Discussions. (2019) 1–33. https://doi.org/10.5194/gmd-2019-134.</w:t>
      </w:r>
    </w:p>
    <w:p w14:paraId="3B3D4AA1"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[30]</w:t>
      </w:r>
      <w:r w:rsidRPr="00E80A8D">
        <w:rPr>
          <w:rFonts w:ascii="Times New Roman" w:hAnsi="Times New Roman" w:cs="Times New Roman"/>
          <w:sz w:val="24"/>
        </w:rPr>
        <w:tab/>
        <w:t>K. Wallington, X. Cai, The Food–Energy–Water Nexus: A Framework to Address Sustainable Development in the Tropics, Tropical Conservation Science. 10 (2017) 194008291772066. https://doi.org/10.1177/1940082917720665.</w:t>
      </w:r>
    </w:p>
    <w:p w14:paraId="3964DD74"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[31]</w:t>
      </w:r>
      <w:r w:rsidRPr="00E80A8D">
        <w:rPr>
          <w:rFonts w:ascii="Times New Roman" w:hAnsi="Times New Roman" w:cs="Times New Roman"/>
          <w:sz w:val="24"/>
        </w:rPr>
        <w:tab/>
        <w:t xml:space="preserve">D.J. White, K. </w:t>
      </w:r>
      <w:proofErr w:type="spellStart"/>
      <w:r w:rsidRPr="00E80A8D">
        <w:rPr>
          <w:rFonts w:ascii="Times New Roman" w:hAnsi="Times New Roman" w:cs="Times New Roman"/>
          <w:sz w:val="24"/>
        </w:rPr>
        <w:t>Hubacek</w:t>
      </w:r>
      <w:proofErr w:type="spellEnd"/>
      <w:r w:rsidRPr="00E80A8D">
        <w:rPr>
          <w:rFonts w:ascii="Times New Roman" w:hAnsi="Times New Roman" w:cs="Times New Roman"/>
          <w:sz w:val="24"/>
        </w:rPr>
        <w:t>, K. Feng, L. Sun, B. Meng, The Water-Energy-Food Nexus in East Asia: A tele-connected value chain analysis using inter-regional input-output analysis, Applied Energy. 210 (2018) 550–567. https://doi.org/10.1016/j.apenergy.2017.05.159.</w:t>
      </w:r>
    </w:p>
    <w:p w14:paraId="6D90723F"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[32]</w:t>
      </w:r>
      <w:r w:rsidRPr="00E80A8D">
        <w:rPr>
          <w:rFonts w:ascii="Times New Roman" w:hAnsi="Times New Roman" w:cs="Times New Roman"/>
          <w:sz w:val="24"/>
        </w:rPr>
        <w:tab/>
        <w:t>X. Zhang, H.-Y. Li, Z.D. Deng, C. Ringler, Y. Gao, M.I. Hejazi, L.R. Leung, Impacts of climate change, policy and Water-Energy-Food nexus on hydropower development, Renewable Energy. 116 (2018) 827–834. https://doi.org/10.1016/j.renene.2017.10.030.</w:t>
      </w:r>
    </w:p>
    <w:p w14:paraId="597BC330"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[33]</w:t>
      </w:r>
      <w:r w:rsidRPr="00E80A8D">
        <w:rPr>
          <w:rFonts w:ascii="Times New Roman" w:hAnsi="Times New Roman" w:cs="Times New Roman"/>
          <w:sz w:val="24"/>
        </w:rPr>
        <w:tab/>
        <w:t>X. Zhu, Climate Impacts on the Water-Food Nexus, Theses and Dissertations. (2020). https://preserve.lehigh.edu/etd/5625.</w:t>
      </w:r>
    </w:p>
    <w:p w14:paraId="6EDE2700" w14:textId="7BFBDC47" w:rsidR="00EA3414" w:rsidRPr="00362AA2" w:rsidRDefault="00EA3414" w:rsidP="00362AA2">
      <w:pPr>
        <w:spacing w:after="0" w:line="480" w:lineRule="auto"/>
        <w:ind w:firstLine="720"/>
        <w:jc w:val="both"/>
        <w:rPr>
          <w:b/>
          <w:bCs/>
          <w:u w:val="single"/>
        </w:rPr>
      </w:pPr>
      <w:r>
        <w:rPr>
          <w:b/>
          <w:bCs/>
          <w:u w:val="single"/>
        </w:rPr>
        <w:fldChar w:fldCharType="end"/>
      </w:r>
    </w:p>
    <w:p w14:paraId="3B072799" w14:textId="26BFD8C1" w:rsidR="00C15A42" w:rsidRPr="00C15A42" w:rsidRDefault="00C15A42" w:rsidP="00C15A42"/>
    <w:p w14:paraId="433B19EC" w14:textId="3812B01B" w:rsidR="00F7514B" w:rsidRDefault="00F7514B" w:rsidP="008B722F">
      <w:pPr>
        <w:pStyle w:val="Heading1"/>
        <w:spacing w:before="0" w:after="0" w:line="480" w:lineRule="auto"/>
        <w:jc w:val="both"/>
      </w:pPr>
      <w:bookmarkStart w:id="5" w:name="_Toc25072379"/>
      <w:bookmarkStart w:id="6" w:name="_Ref35500363"/>
      <w:bookmarkStart w:id="7" w:name="_Ref35500398"/>
      <w:r>
        <w:t>Methodology</w:t>
      </w:r>
      <w:bookmarkEnd w:id="5"/>
      <w:bookmarkEnd w:id="6"/>
      <w:bookmarkEnd w:id="7"/>
    </w:p>
    <w:p w14:paraId="1F443636" w14:textId="77777777" w:rsidR="00E966AD" w:rsidRDefault="00E966AD" w:rsidP="00EF61A1">
      <w:pPr>
        <w:spacing w:after="0" w:line="480" w:lineRule="auto"/>
        <w:ind w:firstLine="720"/>
        <w:jc w:val="both"/>
        <w:rPr>
          <w:lang w:val="en"/>
        </w:rPr>
      </w:pPr>
      <w:bookmarkStart w:id="8" w:name="_Ref28005294"/>
    </w:p>
    <w:bookmarkEnd w:id="8"/>
    <w:p w14:paraId="0D6F7F38" w14:textId="0CEDF150" w:rsidR="006226CE" w:rsidRDefault="001C1197" w:rsidP="00E966AD">
      <w:pPr>
        <w:spacing w:after="0" w:line="480" w:lineRule="auto"/>
        <w:ind w:firstLine="720"/>
        <w:jc w:val="both"/>
        <w:rPr>
          <w:lang w:val="en"/>
        </w:rPr>
      </w:pPr>
      <w:proofErr w:type="spellStart"/>
      <w:r>
        <w:rPr>
          <w:lang w:val="en"/>
        </w:rPr>
        <w:t>Xxxxxx</w:t>
      </w:r>
      <w:proofErr w:type="spellEnd"/>
    </w:p>
    <w:p w14:paraId="77B32768" w14:textId="77777777" w:rsidR="00F52B87" w:rsidRDefault="00F52B87" w:rsidP="00ED6A8D">
      <w:pPr>
        <w:spacing w:after="0" w:line="480" w:lineRule="auto"/>
        <w:jc w:val="both"/>
        <w:rPr>
          <w:lang w:val="en"/>
        </w:rPr>
      </w:pPr>
    </w:p>
    <w:p w14:paraId="1B53433D" w14:textId="043B9BCB" w:rsidR="00AF62B1" w:rsidRDefault="00AF62B1" w:rsidP="008B722F">
      <w:pPr>
        <w:pStyle w:val="Heading1"/>
        <w:spacing w:before="0" w:after="0" w:line="480" w:lineRule="auto"/>
        <w:jc w:val="both"/>
      </w:pPr>
      <w:r>
        <w:t>Results</w:t>
      </w:r>
      <w:r w:rsidR="00030393">
        <w:t xml:space="preserve"> &amp; Discussion</w:t>
      </w:r>
    </w:p>
    <w:p w14:paraId="206A0C64" w14:textId="77777777" w:rsidR="00E966AD" w:rsidRDefault="00E966AD" w:rsidP="00DD20D9">
      <w:pPr>
        <w:spacing w:after="0" w:line="480" w:lineRule="auto"/>
        <w:ind w:firstLine="720"/>
        <w:jc w:val="both"/>
      </w:pPr>
    </w:p>
    <w:p w14:paraId="7DB35672" w14:textId="7798C602" w:rsidR="00E4360C" w:rsidRDefault="001C1197" w:rsidP="00E966AD">
      <w:pPr>
        <w:spacing w:after="0" w:line="480" w:lineRule="auto"/>
        <w:ind w:firstLine="720"/>
        <w:jc w:val="both"/>
      </w:pPr>
      <w:proofErr w:type="spellStart"/>
      <w:r>
        <w:t>Xxxxx</w:t>
      </w:r>
      <w:proofErr w:type="spellEnd"/>
    </w:p>
    <w:p w14:paraId="378C45FD" w14:textId="77777777" w:rsidR="005F3009" w:rsidRPr="005F3009" w:rsidRDefault="005F3009" w:rsidP="005F3009"/>
    <w:p w14:paraId="745AC786" w14:textId="1BB9EDD3" w:rsidR="00AF62B1" w:rsidRDefault="00AF62B1" w:rsidP="008B722F">
      <w:pPr>
        <w:pStyle w:val="Heading1"/>
        <w:spacing w:before="0" w:after="0" w:line="480" w:lineRule="auto"/>
        <w:jc w:val="both"/>
      </w:pPr>
      <w:r>
        <w:t>Conclusion</w:t>
      </w:r>
      <w:r w:rsidR="00200112">
        <w:t>s</w:t>
      </w:r>
    </w:p>
    <w:p w14:paraId="59A54C53" w14:textId="77777777" w:rsidR="00AF62B1" w:rsidRDefault="00AF62B1" w:rsidP="008B722F">
      <w:pPr>
        <w:spacing w:line="480" w:lineRule="auto"/>
        <w:jc w:val="both"/>
      </w:pPr>
    </w:p>
    <w:p w14:paraId="05452E83" w14:textId="2B87B9AF" w:rsidR="008B383F" w:rsidRDefault="001C1197" w:rsidP="00E966AD">
      <w:pPr>
        <w:spacing w:after="0" w:line="480" w:lineRule="auto"/>
        <w:ind w:firstLine="720"/>
        <w:jc w:val="both"/>
        <w:rPr>
          <w:rFonts w:cs="TimesNewRomanPSMT"/>
        </w:rPr>
      </w:pPr>
      <w:proofErr w:type="spellStart"/>
      <w:r>
        <w:rPr>
          <w:lang w:val="en"/>
        </w:rPr>
        <w:t>Xxxxx</w:t>
      </w:r>
      <w:proofErr w:type="spellEnd"/>
    </w:p>
    <w:p w14:paraId="3F45CDFA" w14:textId="73FBCE27" w:rsidR="005F5DCE" w:rsidRDefault="005F5DCE" w:rsidP="005F5DCE">
      <w:pPr>
        <w:spacing w:after="0" w:line="480" w:lineRule="auto"/>
        <w:jc w:val="both"/>
        <w:rPr>
          <w:rFonts w:cs="TimesNewRomanPSMT"/>
        </w:rPr>
      </w:pPr>
    </w:p>
    <w:p w14:paraId="64FF7927" w14:textId="5B2677D9" w:rsidR="005F5DCE" w:rsidRDefault="005F5DCE" w:rsidP="005F5DCE">
      <w:pPr>
        <w:pStyle w:val="Heading1"/>
        <w:spacing w:before="0" w:after="0" w:line="480" w:lineRule="auto"/>
        <w:jc w:val="both"/>
      </w:pPr>
      <w:r>
        <w:t>Acknowledgments</w:t>
      </w:r>
    </w:p>
    <w:p w14:paraId="37D7BFCF" w14:textId="77777777" w:rsidR="005F5DCE" w:rsidRDefault="005F5DCE" w:rsidP="005F5DCE">
      <w:pPr>
        <w:spacing w:line="480" w:lineRule="auto"/>
        <w:jc w:val="both"/>
      </w:pPr>
    </w:p>
    <w:p w14:paraId="02BB76DF" w14:textId="45AA919E" w:rsidR="008D30B4" w:rsidRDefault="001C1197">
      <w:pPr>
        <w:spacing w:after="0" w:line="480" w:lineRule="auto"/>
        <w:jc w:val="both"/>
      </w:pPr>
      <w:proofErr w:type="spellStart"/>
      <w:r>
        <w:t>Xxxxx</w:t>
      </w:r>
      <w:proofErr w:type="spellEnd"/>
    </w:p>
    <w:p w14:paraId="11A2AFA8" w14:textId="29397BE7" w:rsidR="009425AE" w:rsidRDefault="009425AE">
      <w:pPr>
        <w:spacing w:after="0" w:line="480" w:lineRule="auto"/>
        <w:jc w:val="both"/>
      </w:pPr>
    </w:p>
    <w:p w14:paraId="15038BB4" w14:textId="25383194" w:rsidR="009425AE" w:rsidRDefault="009425AE" w:rsidP="009425AE">
      <w:pPr>
        <w:pStyle w:val="Heading1"/>
        <w:spacing w:before="0" w:after="0" w:line="480" w:lineRule="auto"/>
        <w:jc w:val="both"/>
      </w:pPr>
      <w:r>
        <w:t>D</w:t>
      </w:r>
      <w:r w:rsidRPr="009425AE">
        <w:t>ata availability statement</w:t>
      </w:r>
    </w:p>
    <w:p w14:paraId="441323D9" w14:textId="77777777" w:rsidR="009425AE" w:rsidRDefault="009425AE" w:rsidP="009425AE">
      <w:pPr>
        <w:spacing w:line="480" w:lineRule="auto"/>
        <w:jc w:val="both"/>
      </w:pPr>
    </w:p>
    <w:p w14:paraId="1D53056B" w14:textId="5C43D268" w:rsidR="009425AE" w:rsidRDefault="009425AE" w:rsidP="00E43365">
      <w:pPr>
        <w:spacing w:after="0" w:line="480" w:lineRule="auto"/>
        <w:jc w:val="both"/>
        <w:rPr>
          <w:rFonts w:cs="TimesNewRomanPSMT"/>
        </w:rPr>
      </w:pPr>
      <w:r>
        <w:t xml:space="preserve">All data that support the findings of this study are included as part of the supplementary information. </w:t>
      </w:r>
    </w:p>
    <w:p w14:paraId="300A3338" w14:textId="23B77E83" w:rsidR="00D827CC" w:rsidRDefault="00D827CC" w:rsidP="00557693">
      <w:pPr>
        <w:spacing w:after="0" w:line="480" w:lineRule="auto"/>
        <w:ind w:firstLine="720"/>
        <w:jc w:val="both"/>
        <w:rPr>
          <w:lang w:val="en"/>
        </w:rPr>
      </w:pPr>
      <w:r>
        <w:rPr>
          <w:lang w:val="en"/>
        </w:rPr>
        <w:br w:type="page"/>
      </w:r>
    </w:p>
    <w:p w14:paraId="335FFC00" w14:textId="77777777" w:rsidR="00F7514B" w:rsidRPr="00A7517D" w:rsidRDefault="00F7514B" w:rsidP="008B722F">
      <w:pPr>
        <w:pStyle w:val="Heading1"/>
        <w:numPr>
          <w:ilvl w:val="0"/>
          <w:numId w:val="0"/>
        </w:numPr>
        <w:spacing w:before="0" w:after="0"/>
        <w:ind w:left="432" w:hanging="432"/>
        <w:jc w:val="both"/>
      </w:pPr>
      <w:bookmarkStart w:id="9" w:name="_Toc25072383"/>
      <w:r w:rsidRPr="00A7517D">
        <w:lastRenderedPageBreak/>
        <w:t>References</w:t>
      </w:r>
      <w:bookmarkEnd w:id="9"/>
    </w:p>
    <w:p w14:paraId="74119654" w14:textId="77777777" w:rsidR="004C04C4" w:rsidRPr="00D5754A" w:rsidRDefault="004C04C4">
      <w:pPr>
        <w:pStyle w:val="Bibliography"/>
      </w:pPr>
    </w:p>
    <w:bookmarkEnd w:id="0"/>
    <w:p w14:paraId="3BD8A738" w14:textId="17E66DCB" w:rsidR="00F7514B" w:rsidRPr="00777E76" w:rsidRDefault="00F7514B" w:rsidP="00EF61A1">
      <w:pPr>
        <w:pStyle w:val="SI1"/>
        <w:pBdr>
          <w:bottom w:val="none" w:sz="0" w:space="0" w:color="auto"/>
        </w:pBdr>
      </w:pPr>
    </w:p>
    <w:sectPr w:rsidR="00F7514B" w:rsidRPr="00777E76" w:rsidSect="00ED1699">
      <w:headerReference w:type="default" r:id="rId21"/>
      <w:footerReference w:type="default" r:id="rId22"/>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C80DC" w16cex:dateUtc="2020-03-30T18:29:00Z"/>
  <w16cex:commentExtensible w16cex:durableId="222C8122" w16cex:dateUtc="2020-03-30T18:30:00Z"/>
  <w16cex:commentExtensible w16cex:durableId="222C850A" w16cex:dateUtc="2020-03-30T18:47:00Z"/>
  <w16cex:commentExtensible w16cex:durableId="222C8744" w16cex:dateUtc="2020-03-30T18:57:00Z"/>
  <w16cex:commentExtensible w16cex:durableId="222C757C" w16cex:dateUtc="2020-03-30T17:41:00Z"/>
  <w16cex:commentExtensible w16cex:durableId="222C8854" w16cex:dateUtc="2020-03-30T19:01:00Z"/>
  <w16cex:commentExtensible w16cex:durableId="222C8901" w16cex:dateUtc="2020-03-30T19:04:00Z"/>
  <w16cex:commentExtensible w16cex:durableId="222C8D21" w16cex:dateUtc="2020-03-30T19:22:00Z"/>
  <w16cex:commentExtensible w16cex:durableId="222DE32D" w16cex:dateUtc="2020-03-31T19:41:00Z"/>
  <w16cex:commentExtensible w16cex:durableId="222CB165" w16cex:dateUtc="2020-03-30T21:56:00Z"/>
  <w16cex:commentExtensible w16cex:durableId="222CB918" w16cex:dateUtc="2020-03-30T22:29:00Z"/>
  <w16cex:commentExtensible w16cex:durableId="222CB95F" w16cex:dateUtc="2020-03-30T22:30:00Z"/>
  <w16cex:commentExtensible w16cex:durableId="222C34B3" w16cex:dateUtc="2020-03-30T13:04:00Z"/>
  <w16cex:commentExtensible w16cex:durableId="222CC64C" w16cex:dateUtc="2020-03-30T23:26:00Z"/>
  <w16cex:commentExtensible w16cex:durableId="222CBD79" w16cex:dateUtc="2020-03-30T22:48:00Z"/>
  <w16cex:commentExtensible w16cex:durableId="222CBE50" w16cex:dateUtc="2020-03-30T22:52:00Z"/>
  <w16cex:commentExtensible w16cex:durableId="222CBFD5" w16cex:dateUtc="2020-03-30T22:58:00Z"/>
  <w16cex:commentExtensible w16cex:durableId="222CC3FE" w16cex:dateUtc="2020-03-30T23:16:00Z"/>
  <w16cex:commentExtensible w16cex:durableId="222CC386" w16cex:dateUtc="2020-03-30T23:14:00Z"/>
  <w16cex:commentExtensible w16cex:durableId="222DAFF6" w16cex:dateUtc="2020-03-31T16:03:00Z"/>
  <w16cex:commentExtensible w16cex:durableId="222CCF03" w16cex:dateUtc="2020-03-31T00:03:00Z"/>
  <w16cex:commentExtensible w16cex:durableId="222DB494" w16cex:dateUtc="2020-03-31T16:22:00Z"/>
  <w16cex:commentExtensible w16cex:durableId="222CC751" w16cex:dateUtc="2020-03-30T23:30:00Z"/>
  <w16cex:commentExtensible w16cex:durableId="222CC6EA" w16cex:dateUtc="2020-03-30T23:28:00Z"/>
  <w16cex:commentExtensible w16cex:durableId="222CBCC9" w16cex:dateUtc="2020-03-30T22:45:00Z"/>
  <w16cex:commentExtensible w16cex:durableId="222DC391" w16cex:dateUtc="2020-03-31T17:26:00Z"/>
  <w16cex:commentExtensible w16cex:durableId="222C8566" w16cex:dateUtc="2020-03-30T18:49:00Z"/>
  <w16cex:commentExtensible w16cex:durableId="222DD470" w16cex:dateUtc="2020-03-31T18:38:00Z"/>
  <w16cex:commentExtensible w16cex:durableId="222DD2C0" w16cex:dateUtc="2020-03-31T18:31:00Z"/>
  <w16cex:commentExtensible w16cex:durableId="222DD187" w16cex:dateUtc="2020-03-31T18:26:00Z"/>
  <w16cex:commentExtensible w16cex:durableId="222DD1AE" w16cex:dateUtc="2020-03-31T18:26:00Z"/>
  <w16cex:commentExtensible w16cex:durableId="222DD2E7" w16cex:dateUtc="2020-03-31T18:32:00Z"/>
  <w16cex:commentExtensible w16cex:durableId="222DB803" w16cex:dateUtc="2020-03-31T16:37:00Z"/>
  <w16cex:commentExtensible w16cex:durableId="222DB6BD" w16cex:dateUtc="2020-03-31T16:31:00Z"/>
  <w16cex:commentExtensible w16cex:durableId="222DCB62" w16cex:dateUtc="2020-03-31T18:00:00Z"/>
  <w16cex:commentExtensible w16cex:durableId="222DCEB0" w16cex:dateUtc="2020-03-31T18:14:00Z"/>
  <w16cex:commentExtensible w16cex:durableId="222DD064" w16cex:dateUtc="2020-03-31T18:21:00Z"/>
  <w16cex:commentExtensible w16cex:durableId="222DD6E6" w16cex:dateUtc="2020-03-31T18:49:00Z"/>
  <w16cex:commentExtensible w16cex:durableId="222DD977" w16cex:dateUtc="2020-03-31T19:00:00Z"/>
  <w16cex:commentExtensible w16cex:durableId="222DD89F" w16cex:dateUtc="2020-03-31T18: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03347" w14:textId="77777777" w:rsidR="00032882" w:rsidRDefault="00032882" w:rsidP="00F7514B">
      <w:pPr>
        <w:spacing w:after="0" w:line="240" w:lineRule="auto"/>
      </w:pPr>
      <w:r>
        <w:separator/>
      </w:r>
    </w:p>
  </w:endnote>
  <w:endnote w:type="continuationSeparator" w:id="0">
    <w:p w14:paraId="60E23360" w14:textId="77777777" w:rsidR="00032882" w:rsidRDefault="00032882" w:rsidP="00F7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4507EA8A" w:rsidR="006E27D1" w:rsidRDefault="006E27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A1F8A22" w14:textId="77777777" w:rsidR="006E27D1" w:rsidRDefault="006E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86F42" w14:textId="77777777" w:rsidR="00032882" w:rsidRDefault="00032882" w:rsidP="00F7514B">
      <w:pPr>
        <w:spacing w:after="0" w:line="240" w:lineRule="auto"/>
      </w:pPr>
      <w:r>
        <w:separator/>
      </w:r>
    </w:p>
  </w:footnote>
  <w:footnote w:type="continuationSeparator" w:id="0">
    <w:p w14:paraId="6F98F7CA" w14:textId="77777777" w:rsidR="00032882" w:rsidRDefault="00032882" w:rsidP="00F7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E27D1" w:rsidRPr="00F7514B" w:rsidRDefault="006E27D1"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4384"/>
    <w:multiLevelType w:val="hybridMultilevel"/>
    <w:tmpl w:val="7C7CF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2C24"/>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 w15:restartNumberingAfterBreak="0">
    <w:nsid w:val="111A3695"/>
    <w:multiLevelType w:val="multilevel"/>
    <w:tmpl w:val="882697E8"/>
    <w:lvl w:ilvl="0">
      <w:start w:val="1"/>
      <w:numFmt w:val="upperLetter"/>
      <w:lvlText w:val="Appendix %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1482775B"/>
    <w:multiLevelType w:val="multilevel"/>
    <w:tmpl w:val="5184B376"/>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2F73D5"/>
    <w:multiLevelType w:val="hybridMultilevel"/>
    <w:tmpl w:val="3446E95C"/>
    <w:lvl w:ilvl="0" w:tplc="C21C2D9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4F09ED"/>
    <w:multiLevelType w:val="hybridMultilevel"/>
    <w:tmpl w:val="34E22F98"/>
    <w:lvl w:ilvl="0" w:tplc="B6BAA7B4">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B0D53"/>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15:restartNumberingAfterBreak="0">
    <w:nsid w:val="3B5974FE"/>
    <w:multiLevelType w:val="hybridMultilevel"/>
    <w:tmpl w:val="CE56334A"/>
    <w:lvl w:ilvl="0" w:tplc="1DFCB9A4">
      <w:start w:val="1"/>
      <w:numFmt w:val="decimal"/>
      <w:lvlText w:val="%1."/>
      <w:lvlJc w:val="left"/>
      <w:pPr>
        <w:ind w:left="720" w:hanging="360"/>
      </w:pPr>
      <w:rPr>
        <w:rFonts w:asciiTheme="minorHAnsi" w:eastAsiaTheme="minorEastAsia"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85883"/>
    <w:multiLevelType w:val="hybridMultilevel"/>
    <w:tmpl w:val="5B88F59E"/>
    <w:lvl w:ilvl="0" w:tplc="E76A4C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A1ECC"/>
    <w:multiLevelType w:val="hybridMultilevel"/>
    <w:tmpl w:val="4A96B308"/>
    <w:lvl w:ilvl="0" w:tplc="A830BD84">
      <w:start w:val="1"/>
      <w:numFmt w:val="upperLetter"/>
      <w:pStyle w:val="Appendix1"/>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0349C"/>
    <w:multiLevelType w:val="hybridMultilevel"/>
    <w:tmpl w:val="26E6986E"/>
    <w:lvl w:ilvl="0" w:tplc="DA78ED6E">
      <w:start w:val="1"/>
      <w:numFmt w:val="lowerLetter"/>
      <w:lvlText w:val="(%1)"/>
      <w:lvlJc w:val="left"/>
      <w:pPr>
        <w:ind w:left="3600" w:hanging="552"/>
      </w:pPr>
      <w:rPr>
        <w:rFonts w:hint="default"/>
      </w:rPr>
    </w:lvl>
    <w:lvl w:ilvl="1" w:tplc="0C0A0019" w:tentative="1">
      <w:start w:val="1"/>
      <w:numFmt w:val="lowerLetter"/>
      <w:lvlText w:val="%2."/>
      <w:lvlJc w:val="left"/>
      <w:pPr>
        <w:ind w:left="4128" w:hanging="360"/>
      </w:pPr>
    </w:lvl>
    <w:lvl w:ilvl="2" w:tplc="0C0A001B" w:tentative="1">
      <w:start w:val="1"/>
      <w:numFmt w:val="lowerRoman"/>
      <w:lvlText w:val="%3."/>
      <w:lvlJc w:val="right"/>
      <w:pPr>
        <w:ind w:left="4848" w:hanging="180"/>
      </w:pPr>
    </w:lvl>
    <w:lvl w:ilvl="3" w:tplc="0C0A000F" w:tentative="1">
      <w:start w:val="1"/>
      <w:numFmt w:val="decimal"/>
      <w:lvlText w:val="%4."/>
      <w:lvlJc w:val="left"/>
      <w:pPr>
        <w:ind w:left="5568" w:hanging="360"/>
      </w:pPr>
    </w:lvl>
    <w:lvl w:ilvl="4" w:tplc="0C0A0019" w:tentative="1">
      <w:start w:val="1"/>
      <w:numFmt w:val="lowerLetter"/>
      <w:lvlText w:val="%5."/>
      <w:lvlJc w:val="left"/>
      <w:pPr>
        <w:ind w:left="6288" w:hanging="360"/>
      </w:pPr>
    </w:lvl>
    <w:lvl w:ilvl="5" w:tplc="0C0A001B" w:tentative="1">
      <w:start w:val="1"/>
      <w:numFmt w:val="lowerRoman"/>
      <w:lvlText w:val="%6."/>
      <w:lvlJc w:val="right"/>
      <w:pPr>
        <w:ind w:left="7008" w:hanging="180"/>
      </w:pPr>
    </w:lvl>
    <w:lvl w:ilvl="6" w:tplc="0C0A000F" w:tentative="1">
      <w:start w:val="1"/>
      <w:numFmt w:val="decimal"/>
      <w:lvlText w:val="%7."/>
      <w:lvlJc w:val="left"/>
      <w:pPr>
        <w:ind w:left="7728" w:hanging="360"/>
      </w:pPr>
    </w:lvl>
    <w:lvl w:ilvl="7" w:tplc="0C0A0019" w:tentative="1">
      <w:start w:val="1"/>
      <w:numFmt w:val="lowerLetter"/>
      <w:lvlText w:val="%8."/>
      <w:lvlJc w:val="left"/>
      <w:pPr>
        <w:ind w:left="8448" w:hanging="360"/>
      </w:pPr>
    </w:lvl>
    <w:lvl w:ilvl="8" w:tplc="0C0A001B" w:tentative="1">
      <w:start w:val="1"/>
      <w:numFmt w:val="lowerRoman"/>
      <w:lvlText w:val="%9."/>
      <w:lvlJc w:val="right"/>
      <w:pPr>
        <w:ind w:left="9168" w:hanging="180"/>
      </w:pPr>
    </w:lvl>
  </w:abstractNum>
  <w:abstractNum w:abstractNumId="11" w15:restartNumberingAfterBreak="0">
    <w:nsid w:val="491A3434"/>
    <w:multiLevelType w:val="hybridMultilevel"/>
    <w:tmpl w:val="14988BF6"/>
    <w:lvl w:ilvl="0" w:tplc="440A9F8A">
      <w:start w:val="1"/>
      <w:numFmt w:val="lowerLetter"/>
      <w:lvlText w:val="(%1)"/>
      <w:lvlJc w:val="left"/>
      <w:pPr>
        <w:ind w:left="2868" w:hanging="360"/>
      </w:pPr>
      <w:rPr>
        <w:rFonts w:hint="default"/>
      </w:r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12" w15:restartNumberingAfterBreak="0">
    <w:nsid w:val="4EEA2E7B"/>
    <w:multiLevelType w:val="hybridMultilevel"/>
    <w:tmpl w:val="39EC6B9A"/>
    <w:lvl w:ilvl="0" w:tplc="3E0E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A6B36"/>
    <w:multiLevelType w:val="hybridMultilevel"/>
    <w:tmpl w:val="16AAE006"/>
    <w:lvl w:ilvl="0" w:tplc="1326F8A2">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C7D16"/>
    <w:multiLevelType w:val="multilevel"/>
    <w:tmpl w:val="3B66196C"/>
    <w:lvl w:ilvl="0">
      <w:start w:val="1"/>
      <w:numFmt w:val="upperLetter"/>
      <w:lvlText w:val="Appendi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5E2453E2"/>
    <w:multiLevelType w:val="hybridMultilevel"/>
    <w:tmpl w:val="8720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A1348"/>
    <w:multiLevelType w:val="hybridMultilevel"/>
    <w:tmpl w:val="C42200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9E373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677000D9"/>
    <w:multiLevelType w:val="hybridMultilevel"/>
    <w:tmpl w:val="428C46FC"/>
    <w:lvl w:ilvl="0" w:tplc="41A4BB7E">
      <w:start w:val="1"/>
      <w:numFmt w:val="lowerLetter"/>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9" w15:restartNumberingAfterBreak="0">
    <w:nsid w:val="69B766FF"/>
    <w:multiLevelType w:val="hybridMultilevel"/>
    <w:tmpl w:val="6C30C3F6"/>
    <w:lvl w:ilvl="0" w:tplc="E5F44C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70AEE"/>
    <w:multiLevelType w:val="hybridMultilevel"/>
    <w:tmpl w:val="F994256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976C2"/>
    <w:multiLevelType w:val="multilevel"/>
    <w:tmpl w:val="A8A0A95A"/>
    <w:lvl w:ilvl="0">
      <w:start w:val="1"/>
      <w:numFmt w:val="decimal"/>
      <w:lvlText w:val="SI%1"/>
      <w:lvlJc w:val="left"/>
      <w:pPr>
        <w:ind w:left="0" w:firstLine="0"/>
      </w:pPr>
      <w:rPr>
        <w:rFonts w:hint="default"/>
      </w:rPr>
    </w:lvl>
    <w:lvl w:ilvl="1">
      <w:start w:val="1"/>
      <w:numFmt w:val="decimal"/>
      <w:lvlText w:val="SI%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76BB48A6"/>
    <w:multiLevelType w:val="hybridMultilevel"/>
    <w:tmpl w:val="F7C254C8"/>
    <w:lvl w:ilvl="0" w:tplc="6C2EBD4E">
      <w:start w:val="1"/>
      <w:numFmt w:val="lowerLetter"/>
      <w:lvlText w:val="(%1)"/>
      <w:lvlJc w:val="left"/>
      <w:pPr>
        <w:ind w:left="3600" w:hanging="948"/>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23" w15:restartNumberingAfterBreak="0">
    <w:nsid w:val="7C187C5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9"/>
  </w:num>
  <w:num w:numId="3">
    <w:abstractNumId w:val="2"/>
  </w:num>
  <w:num w:numId="4">
    <w:abstractNumId w:val="17"/>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20"/>
  </w:num>
  <w:num w:numId="15">
    <w:abstractNumId w:val="22"/>
  </w:num>
  <w:num w:numId="16">
    <w:abstractNumId w:val="10"/>
  </w:num>
  <w:num w:numId="17">
    <w:abstractNumId w:val="12"/>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num>
  <w:num w:numId="23">
    <w:abstractNumId w:val="4"/>
  </w:num>
  <w:num w:numId="24">
    <w:abstractNumId w:val="13"/>
  </w:num>
  <w:num w:numId="25">
    <w:abstractNumId w:val="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0"/>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1A"/>
    <w:rsid w:val="00000329"/>
    <w:rsid w:val="00002AE7"/>
    <w:rsid w:val="00002D17"/>
    <w:rsid w:val="00004592"/>
    <w:rsid w:val="0000496D"/>
    <w:rsid w:val="00004D99"/>
    <w:rsid w:val="00004F2F"/>
    <w:rsid w:val="00010E6E"/>
    <w:rsid w:val="0001201C"/>
    <w:rsid w:val="00020F2E"/>
    <w:rsid w:val="00024406"/>
    <w:rsid w:val="00024DB4"/>
    <w:rsid w:val="00026CE2"/>
    <w:rsid w:val="00026E86"/>
    <w:rsid w:val="00030393"/>
    <w:rsid w:val="00030787"/>
    <w:rsid w:val="000318C6"/>
    <w:rsid w:val="00032718"/>
    <w:rsid w:val="00032882"/>
    <w:rsid w:val="00033216"/>
    <w:rsid w:val="0003325A"/>
    <w:rsid w:val="000346E5"/>
    <w:rsid w:val="000403AE"/>
    <w:rsid w:val="00040CE5"/>
    <w:rsid w:val="0004200E"/>
    <w:rsid w:val="0004414F"/>
    <w:rsid w:val="00044713"/>
    <w:rsid w:val="00044DD1"/>
    <w:rsid w:val="00045E5C"/>
    <w:rsid w:val="00045E69"/>
    <w:rsid w:val="00051816"/>
    <w:rsid w:val="00051D0B"/>
    <w:rsid w:val="000559E1"/>
    <w:rsid w:val="0006211A"/>
    <w:rsid w:val="000625FA"/>
    <w:rsid w:val="00063892"/>
    <w:rsid w:val="00063C02"/>
    <w:rsid w:val="00066F3F"/>
    <w:rsid w:val="00070802"/>
    <w:rsid w:val="00071532"/>
    <w:rsid w:val="000759E9"/>
    <w:rsid w:val="00076D6B"/>
    <w:rsid w:val="0008054D"/>
    <w:rsid w:val="0008195D"/>
    <w:rsid w:val="00081E75"/>
    <w:rsid w:val="000820F2"/>
    <w:rsid w:val="0008448D"/>
    <w:rsid w:val="00086F74"/>
    <w:rsid w:val="0008786A"/>
    <w:rsid w:val="000879D4"/>
    <w:rsid w:val="00090097"/>
    <w:rsid w:val="00090C3C"/>
    <w:rsid w:val="0009113F"/>
    <w:rsid w:val="00091AD0"/>
    <w:rsid w:val="00092118"/>
    <w:rsid w:val="000922C5"/>
    <w:rsid w:val="00092838"/>
    <w:rsid w:val="000938DA"/>
    <w:rsid w:val="0009709C"/>
    <w:rsid w:val="000A00AD"/>
    <w:rsid w:val="000A16BB"/>
    <w:rsid w:val="000A26DD"/>
    <w:rsid w:val="000A2ED5"/>
    <w:rsid w:val="000A4291"/>
    <w:rsid w:val="000A484A"/>
    <w:rsid w:val="000A5351"/>
    <w:rsid w:val="000B0C2F"/>
    <w:rsid w:val="000B0C4D"/>
    <w:rsid w:val="000B19F8"/>
    <w:rsid w:val="000B1F0A"/>
    <w:rsid w:val="000B3872"/>
    <w:rsid w:val="000B4EDC"/>
    <w:rsid w:val="000B5D79"/>
    <w:rsid w:val="000C030B"/>
    <w:rsid w:val="000C4705"/>
    <w:rsid w:val="000C7473"/>
    <w:rsid w:val="000D0BA9"/>
    <w:rsid w:val="000D1066"/>
    <w:rsid w:val="000D26A0"/>
    <w:rsid w:val="000D2728"/>
    <w:rsid w:val="000D4DE9"/>
    <w:rsid w:val="000D6329"/>
    <w:rsid w:val="000D6D79"/>
    <w:rsid w:val="000D7DB9"/>
    <w:rsid w:val="000E0202"/>
    <w:rsid w:val="000E2AAD"/>
    <w:rsid w:val="000E2B62"/>
    <w:rsid w:val="000E38F2"/>
    <w:rsid w:val="000E5A69"/>
    <w:rsid w:val="000E6B16"/>
    <w:rsid w:val="000F0CC6"/>
    <w:rsid w:val="000F42EB"/>
    <w:rsid w:val="000F4421"/>
    <w:rsid w:val="000F4ED1"/>
    <w:rsid w:val="000F639E"/>
    <w:rsid w:val="000F71C0"/>
    <w:rsid w:val="000F7256"/>
    <w:rsid w:val="000F73F9"/>
    <w:rsid w:val="00103C29"/>
    <w:rsid w:val="00104242"/>
    <w:rsid w:val="00104A93"/>
    <w:rsid w:val="00105079"/>
    <w:rsid w:val="00105118"/>
    <w:rsid w:val="00106CB0"/>
    <w:rsid w:val="001072AC"/>
    <w:rsid w:val="001101B8"/>
    <w:rsid w:val="001127C7"/>
    <w:rsid w:val="00112AE3"/>
    <w:rsid w:val="00114156"/>
    <w:rsid w:val="0011444E"/>
    <w:rsid w:val="00115074"/>
    <w:rsid w:val="001160A3"/>
    <w:rsid w:val="001165EC"/>
    <w:rsid w:val="00117373"/>
    <w:rsid w:val="0011782C"/>
    <w:rsid w:val="00122D0B"/>
    <w:rsid w:val="00126E84"/>
    <w:rsid w:val="001310A9"/>
    <w:rsid w:val="00131375"/>
    <w:rsid w:val="00132038"/>
    <w:rsid w:val="001327D7"/>
    <w:rsid w:val="001332E3"/>
    <w:rsid w:val="00133EC8"/>
    <w:rsid w:val="00134194"/>
    <w:rsid w:val="00141841"/>
    <w:rsid w:val="0014267A"/>
    <w:rsid w:val="00143528"/>
    <w:rsid w:val="00143CA4"/>
    <w:rsid w:val="00153714"/>
    <w:rsid w:val="00153902"/>
    <w:rsid w:val="00153A40"/>
    <w:rsid w:val="0015413D"/>
    <w:rsid w:val="001546A3"/>
    <w:rsid w:val="001548E1"/>
    <w:rsid w:val="001576C6"/>
    <w:rsid w:val="00161F05"/>
    <w:rsid w:val="00163B7C"/>
    <w:rsid w:val="001644D3"/>
    <w:rsid w:val="0016558A"/>
    <w:rsid w:val="00170695"/>
    <w:rsid w:val="00170B3A"/>
    <w:rsid w:val="00171FBF"/>
    <w:rsid w:val="001723A3"/>
    <w:rsid w:val="00172E50"/>
    <w:rsid w:val="001735CD"/>
    <w:rsid w:val="00173E05"/>
    <w:rsid w:val="001741A4"/>
    <w:rsid w:val="00176ADB"/>
    <w:rsid w:val="001806BB"/>
    <w:rsid w:val="00180867"/>
    <w:rsid w:val="001808EF"/>
    <w:rsid w:val="00180941"/>
    <w:rsid w:val="00181D05"/>
    <w:rsid w:val="00183691"/>
    <w:rsid w:val="0018429F"/>
    <w:rsid w:val="0018493F"/>
    <w:rsid w:val="0019239C"/>
    <w:rsid w:val="001923A4"/>
    <w:rsid w:val="00192600"/>
    <w:rsid w:val="00192FD9"/>
    <w:rsid w:val="001934F8"/>
    <w:rsid w:val="00194882"/>
    <w:rsid w:val="00194A09"/>
    <w:rsid w:val="001A2266"/>
    <w:rsid w:val="001A780A"/>
    <w:rsid w:val="001B2C31"/>
    <w:rsid w:val="001B37B9"/>
    <w:rsid w:val="001B4998"/>
    <w:rsid w:val="001B670F"/>
    <w:rsid w:val="001C038F"/>
    <w:rsid w:val="001C1197"/>
    <w:rsid w:val="001C26CF"/>
    <w:rsid w:val="001C3C02"/>
    <w:rsid w:val="001C40CF"/>
    <w:rsid w:val="001C4452"/>
    <w:rsid w:val="001C4638"/>
    <w:rsid w:val="001C570A"/>
    <w:rsid w:val="001C5B3D"/>
    <w:rsid w:val="001C6294"/>
    <w:rsid w:val="001C6766"/>
    <w:rsid w:val="001D16AF"/>
    <w:rsid w:val="001D1924"/>
    <w:rsid w:val="001D4B48"/>
    <w:rsid w:val="001D4C3E"/>
    <w:rsid w:val="001D68C1"/>
    <w:rsid w:val="001D6CEC"/>
    <w:rsid w:val="001D6D1F"/>
    <w:rsid w:val="001E10CE"/>
    <w:rsid w:val="001E24D6"/>
    <w:rsid w:val="001E2B47"/>
    <w:rsid w:val="001F1295"/>
    <w:rsid w:val="001F18BE"/>
    <w:rsid w:val="001F2478"/>
    <w:rsid w:val="001F2638"/>
    <w:rsid w:val="001F4A57"/>
    <w:rsid w:val="001F581F"/>
    <w:rsid w:val="001F5AEB"/>
    <w:rsid w:val="001F78A4"/>
    <w:rsid w:val="001F7A97"/>
    <w:rsid w:val="00200112"/>
    <w:rsid w:val="00201688"/>
    <w:rsid w:val="002033FB"/>
    <w:rsid w:val="00203C52"/>
    <w:rsid w:val="00204850"/>
    <w:rsid w:val="00204BB0"/>
    <w:rsid w:val="002057D5"/>
    <w:rsid w:val="002066E0"/>
    <w:rsid w:val="00213245"/>
    <w:rsid w:val="002138C6"/>
    <w:rsid w:val="00215135"/>
    <w:rsid w:val="002169F3"/>
    <w:rsid w:val="00220DDC"/>
    <w:rsid w:val="002232A7"/>
    <w:rsid w:val="002245DC"/>
    <w:rsid w:val="00224902"/>
    <w:rsid w:val="00226A2A"/>
    <w:rsid w:val="00231B1C"/>
    <w:rsid w:val="00231CA2"/>
    <w:rsid w:val="0023378D"/>
    <w:rsid w:val="00237384"/>
    <w:rsid w:val="00240313"/>
    <w:rsid w:val="00243A35"/>
    <w:rsid w:val="00250431"/>
    <w:rsid w:val="0025411A"/>
    <w:rsid w:val="00256EC2"/>
    <w:rsid w:val="00256FD4"/>
    <w:rsid w:val="00257695"/>
    <w:rsid w:val="002612DF"/>
    <w:rsid w:val="00270EBD"/>
    <w:rsid w:val="00272D48"/>
    <w:rsid w:val="0027369C"/>
    <w:rsid w:val="002747A4"/>
    <w:rsid w:val="002757A7"/>
    <w:rsid w:val="002802C8"/>
    <w:rsid w:val="00284330"/>
    <w:rsid w:val="00286A4C"/>
    <w:rsid w:val="002875E5"/>
    <w:rsid w:val="002914DE"/>
    <w:rsid w:val="002918D2"/>
    <w:rsid w:val="00292C8D"/>
    <w:rsid w:val="00293F3E"/>
    <w:rsid w:val="0029550A"/>
    <w:rsid w:val="00297586"/>
    <w:rsid w:val="002976CD"/>
    <w:rsid w:val="0029773D"/>
    <w:rsid w:val="002A0557"/>
    <w:rsid w:val="002A07EB"/>
    <w:rsid w:val="002A1A38"/>
    <w:rsid w:val="002A1DA4"/>
    <w:rsid w:val="002A3762"/>
    <w:rsid w:val="002A6C5D"/>
    <w:rsid w:val="002B4939"/>
    <w:rsid w:val="002C1579"/>
    <w:rsid w:val="002C2A75"/>
    <w:rsid w:val="002C3BEF"/>
    <w:rsid w:val="002C6F90"/>
    <w:rsid w:val="002D0154"/>
    <w:rsid w:val="002D1123"/>
    <w:rsid w:val="002D3C3F"/>
    <w:rsid w:val="002D63A8"/>
    <w:rsid w:val="002D7189"/>
    <w:rsid w:val="002E180F"/>
    <w:rsid w:val="002E19FD"/>
    <w:rsid w:val="002E37B2"/>
    <w:rsid w:val="002E560F"/>
    <w:rsid w:val="002E5EDB"/>
    <w:rsid w:val="002E7360"/>
    <w:rsid w:val="002E76D3"/>
    <w:rsid w:val="002F26A3"/>
    <w:rsid w:val="002F2DBF"/>
    <w:rsid w:val="002F4402"/>
    <w:rsid w:val="002F5B28"/>
    <w:rsid w:val="002F6175"/>
    <w:rsid w:val="002F6B1C"/>
    <w:rsid w:val="002F7535"/>
    <w:rsid w:val="002F7773"/>
    <w:rsid w:val="002F7BC3"/>
    <w:rsid w:val="00301287"/>
    <w:rsid w:val="00302FE4"/>
    <w:rsid w:val="00304CC0"/>
    <w:rsid w:val="00307923"/>
    <w:rsid w:val="00311BA7"/>
    <w:rsid w:val="003134E5"/>
    <w:rsid w:val="00313F26"/>
    <w:rsid w:val="00314D9D"/>
    <w:rsid w:val="00315112"/>
    <w:rsid w:val="003171AE"/>
    <w:rsid w:val="00317FB7"/>
    <w:rsid w:val="003201B3"/>
    <w:rsid w:val="00320CC9"/>
    <w:rsid w:val="0032176A"/>
    <w:rsid w:val="0032503F"/>
    <w:rsid w:val="003250F2"/>
    <w:rsid w:val="00325219"/>
    <w:rsid w:val="003264AF"/>
    <w:rsid w:val="00327D30"/>
    <w:rsid w:val="003303B6"/>
    <w:rsid w:val="00331728"/>
    <w:rsid w:val="003317DB"/>
    <w:rsid w:val="00331998"/>
    <w:rsid w:val="00332757"/>
    <w:rsid w:val="00336208"/>
    <w:rsid w:val="00336270"/>
    <w:rsid w:val="003379C3"/>
    <w:rsid w:val="0034115C"/>
    <w:rsid w:val="00343436"/>
    <w:rsid w:val="003447CD"/>
    <w:rsid w:val="003456D9"/>
    <w:rsid w:val="003467C8"/>
    <w:rsid w:val="0035001F"/>
    <w:rsid w:val="00352491"/>
    <w:rsid w:val="00352EC0"/>
    <w:rsid w:val="00356973"/>
    <w:rsid w:val="00356C91"/>
    <w:rsid w:val="003571F6"/>
    <w:rsid w:val="00362AA2"/>
    <w:rsid w:val="003644D6"/>
    <w:rsid w:val="003665BA"/>
    <w:rsid w:val="0037450C"/>
    <w:rsid w:val="00375ED2"/>
    <w:rsid w:val="00376590"/>
    <w:rsid w:val="00381B56"/>
    <w:rsid w:val="00381C9B"/>
    <w:rsid w:val="0038210B"/>
    <w:rsid w:val="00382ABA"/>
    <w:rsid w:val="003839C3"/>
    <w:rsid w:val="00385D74"/>
    <w:rsid w:val="003911B9"/>
    <w:rsid w:val="00391A9F"/>
    <w:rsid w:val="003928F8"/>
    <w:rsid w:val="00394410"/>
    <w:rsid w:val="0039484C"/>
    <w:rsid w:val="00397451"/>
    <w:rsid w:val="00397F03"/>
    <w:rsid w:val="003A28DB"/>
    <w:rsid w:val="003A46D9"/>
    <w:rsid w:val="003A4710"/>
    <w:rsid w:val="003A4A10"/>
    <w:rsid w:val="003A56E0"/>
    <w:rsid w:val="003A67F5"/>
    <w:rsid w:val="003A7C1F"/>
    <w:rsid w:val="003B1094"/>
    <w:rsid w:val="003B19C5"/>
    <w:rsid w:val="003B19C7"/>
    <w:rsid w:val="003B2A5B"/>
    <w:rsid w:val="003B4120"/>
    <w:rsid w:val="003B4EC6"/>
    <w:rsid w:val="003B65C6"/>
    <w:rsid w:val="003B79B0"/>
    <w:rsid w:val="003C0100"/>
    <w:rsid w:val="003C0993"/>
    <w:rsid w:val="003C1A43"/>
    <w:rsid w:val="003C4840"/>
    <w:rsid w:val="003C6A8B"/>
    <w:rsid w:val="003D0FB9"/>
    <w:rsid w:val="003D25B1"/>
    <w:rsid w:val="003D264E"/>
    <w:rsid w:val="003D5CB8"/>
    <w:rsid w:val="003D62BC"/>
    <w:rsid w:val="003D66FD"/>
    <w:rsid w:val="003D6F2A"/>
    <w:rsid w:val="003D7382"/>
    <w:rsid w:val="003D7738"/>
    <w:rsid w:val="003E02C5"/>
    <w:rsid w:val="003E2431"/>
    <w:rsid w:val="003E4801"/>
    <w:rsid w:val="003E5385"/>
    <w:rsid w:val="003E5B33"/>
    <w:rsid w:val="003F0074"/>
    <w:rsid w:val="003F0122"/>
    <w:rsid w:val="003F013A"/>
    <w:rsid w:val="003F1D64"/>
    <w:rsid w:val="003F5AA9"/>
    <w:rsid w:val="003F7AB0"/>
    <w:rsid w:val="003F7B20"/>
    <w:rsid w:val="004007D5"/>
    <w:rsid w:val="00403ABF"/>
    <w:rsid w:val="004042D6"/>
    <w:rsid w:val="004053DD"/>
    <w:rsid w:val="00414DAE"/>
    <w:rsid w:val="004231A2"/>
    <w:rsid w:val="0042407B"/>
    <w:rsid w:val="004252AD"/>
    <w:rsid w:val="004256E2"/>
    <w:rsid w:val="004268C0"/>
    <w:rsid w:val="004301C9"/>
    <w:rsid w:val="004307B4"/>
    <w:rsid w:val="004309C6"/>
    <w:rsid w:val="0043268A"/>
    <w:rsid w:val="00435B8D"/>
    <w:rsid w:val="004428B6"/>
    <w:rsid w:val="00445211"/>
    <w:rsid w:val="00446EF7"/>
    <w:rsid w:val="0044785A"/>
    <w:rsid w:val="00450E04"/>
    <w:rsid w:val="00451774"/>
    <w:rsid w:val="0045265D"/>
    <w:rsid w:val="00452D8E"/>
    <w:rsid w:val="00457C0C"/>
    <w:rsid w:val="004614E1"/>
    <w:rsid w:val="00462840"/>
    <w:rsid w:val="00462DD3"/>
    <w:rsid w:val="00465096"/>
    <w:rsid w:val="00465A78"/>
    <w:rsid w:val="00467971"/>
    <w:rsid w:val="00472155"/>
    <w:rsid w:val="00472D8C"/>
    <w:rsid w:val="0047371B"/>
    <w:rsid w:val="00473D85"/>
    <w:rsid w:val="00476D96"/>
    <w:rsid w:val="00477523"/>
    <w:rsid w:val="00477F1E"/>
    <w:rsid w:val="00486820"/>
    <w:rsid w:val="00486AC1"/>
    <w:rsid w:val="00487A7E"/>
    <w:rsid w:val="00491178"/>
    <w:rsid w:val="00492013"/>
    <w:rsid w:val="00492870"/>
    <w:rsid w:val="0049440A"/>
    <w:rsid w:val="00494F1A"/>
    <w:rsid w:val="00495AF1"/>
    <w:rsid w:val="00497923"/>
    <w:rsid w:val="004A0D9E"/>
    <w:rsid w:val="004A4471"/>
    <w:rsid w:val="004B1D7F"/>
    <w:rsid w:val="004B4FFF"/>
    <w:rsid w:val="004B5366"/>
    <w:rsid w:val="004B69C1"/>
    <w:rsid w:val="004B70AE"/>
    <w:rsid w:val="004C04C4"/>
    <w:rsid w:val="004C56DA"/>
    <w:rsid w:val="004C591D"/>
    <w:rsid w:val="004C6496"/>
    <w:rsid w:val="004C748D"/>
    <w:rsid w:val="004C7BF7"/>
    <w:rsid w:val="004D0332"/>
    <w:rsid w:val="004D0FDF"/>
    <w:rsid w:val="004D1812"/>
    <w:rsid w:val="004D354D"/>
    <w:rsid w:val="004D4A2D"/>
    <w:rsid w:val="004D59DB"/>
    <w:rsid w:val="004E1261"/>
    <w:rsid w:val="004E29C1"/>
    <w:rsid w:val="004E33C9"/>
    <w:rsid w:val="004E3CF2"/>
    <w:rsid w:val="004E7596"/>
    <w:rsid w:val="004E790B"/>
    <w:rsid w:val="004F097D"/>
    <w:rsid w:val="004F0C22"/>
    <w:rsid w:val="004F0F74"/>
    <w:rsid w:val="004F1DFA"/>
    <w:rsid w:val="004F2192"/>
    <w:rsid w:val="004F29CB"/>
    <w:rsid w:val="004F38F2"/>
    <w:rsid w:val="004F4906"/>
    <w:rsid w:val="004F5047"/>
    <w:rsid w:val="00500CA1"/>
    <w:rsid w:val="00500CD0"/>
    <w:rsid w:val="0050415C"/>
    <w:rsid w:val="005047B4"/>
    <w:rsid w:val="00505DD2"/>
    <w:rsid w:val="00505E30"/>
    <w:rsid w:val="00506453"/>
    <w:rsid w:val="00507025"/>
    <w:rsid w:val="005079C5"/>
    <w:rsid w:val="00510395"/>
    <w:rsid w:val="00511A2B"/>
    <w:rsid w:val="005128DF"/>
    <w:rsid w:val="005210CB"/>
    <w:rsid w:val="00522C31"/>
    <w:rsid w:val="00523D39"/>
    <w:rsid w:val="005260A7"/>
    <w:rsid w:val="005279E1"/>
    <w:rsid w:val="00527FF4"/>
    <w:rsid w:val="00530FB3"/>
    <w:rsid w:val="00531AF4"/>
    <w:rsid w:val="00533032"/>
    <w:rsid w:val="00542DA7"/>
    <w:rsid w:val="00542E7D"/>
    <w:rsid w:val="005430DE"/>
    <w:rsid w:val="005432D6"/>
    <w:rsid w:val="00543908"/>
    <w:rsid w:val="00543D14"/>
    <w:rsid w:val="00543E50"/>
    <w:rsid w:val="00545E06"/>
    <w:rsid w:val="00547510"/>
    <w:rsid w:val="0054783A"/>
    <w:rsid w:val="00551C58"/>
    <w:rsid w:val="00552E7A"/>
    <w:rsid w:val="005533A0"/>
    <w:rsid w:val="00553E54"/>
    <w:rsid w:val="00555D22"/>
    <w:rsid w:val="00557693"/>
    <w:rsid w:val="005606BE"/>
    <w:rsid w:val="00562F16"/>
    <w:rsid w:val="00563760"/>
    <w:rsid w:val="0056385C"/>
    <w:rsid w:val="005653A4"/>
    <w:rsid w:val="005653F3"/>
    <w:rsid w:val="0056708A"/>
    <w:rsid w:val="00567752"/>
    <w:rsid w:val="00567F10"/>
    <w:rsid w:val="005701D3"/>
    <w:rsid w:val="005729C5"/>
    <w:rsid w:val="00572ABF"/>
    <w:rsid w:val="00580985"/>
    <w:rsid w:val="00580B89"/>
    <w:rsid w:val="005818D7"/>
    <w:rsid w:val="0058361C"/>
    <w:rsid w:val="00583F9D"/>
    <w:rsid w:val="00585895"/>
    <w:rsid w:val="00587098"/>
    <w:rsid w:val="0058742B"/>
    <w:rsid w:val="00587F95"/>
    <w:rsid w:val="00590A1E"/>
    <w:rsid w:val="005926AE"/>
    <w:rsid w:val="005946E1"/>
    <w:rsid w:val="00596237"/>
    <w:rsid w:val="00596A26"/>
    <w:rsid w:val="00596C23"/>
    <w:rsid w:val="00597FAE"/>
    <w:rsid w:val="005A0880"/>
    <w:rsid w:val="005A2099"/>
    <w:rsid w:val="005A36C0"/>
    <w:rsid w:val="005A45FD"/>
    <w:rsid w:val="005B0EF3"/>
    <w:rsid w:val="005B54CD"/>
    <w:rsid w:val="005C1815"/>
    <w:rsid w:val="005C18AE"/>
    <w:rsid w:val="005C332C"/>
    <w:rsid w:val="005C3F2B"/>
    <w:rsid w:val="005C4BC0"/>
    <w:rsid w:val="005C5979"/>
    <w:rsid w:val="005D0F7D"/>
    <w:rsid w:val="005D26E4"/>
    <w:rsid w:val="005D2793"/>
    <w:rsid w:val="005D418C"/>
    <w:rsid w:val="005D43A5"/>
    <w:rsid w:val="005D4729"/>
    <w:rsid w:val="005D65A7"/>
    <w:rsid w:val="005E1DE2"/>
    <w:rsid w:val="005E2106"/>
    <w:rsid w:val="005E2DE6"/>
    <w:rsid w:val="005F1E72"/>
    <w:rsid w:val="005F291C"/>
    <w:rsid w:val="005F3009"/>
    <w:rsid w:val="005F4733"/>
    <w:rsid w:val="005F5DCE"/>
    <w:rsid w:val="005F7CAE"/>
    <w:rsid w:val="00601E93"/>
    <w:rsid w:val="00603253"/>
    <w:rsid w:val="006035A3"/>
    <w:rsid w:val="00606001"/>
    <w:rsid w:val="00613394"/>
    <w:rsid w:val="00613C5B"/>
    <w:rsid w:val="00614BCB"/>
    <w:rsid w:val="006168DD"/>
    <w:rsid w:val="00621254"/>
    <w:rsid w:val="006226CE"/>
    <w:rsid w:val="00623F26"/>
    <w:rsid w:val="00624DB7"/>
    <w:rsid w:val="00624F11"/>
    <w:rsid w:val="006256F9"/>
    <w:rsid w:val="00627866"/>
    <w:rsid w:val="00627928"/>
    <w:rsid w:val="006304B5"/>
    <w:rsid w:val="00631375"/>
    <w:rsid w:val="0063608E"/>
    <w:rsid w:val="006360DA"/>
    <w:rsid w:val="0064091A"/>
    <w:rsid w:val="00641177"/>
    <w:rsid w:val="006415CB"/>
    <w:rsid w:val="00641900"/>
    <w:rsid w:val="0064693A"/>
    <w:rsid w:val="0064762E"/>
    <w:rsid w:val="00647E97"/>
    <w:rsid w:val="00647F0D"/>
    <w:rsid w:val="00652264"/>
    <w:rsid w:val="006532FB"/>
    <w:rsid w:val="006536E8"/>
    <w:rsid w:val="0065477B"/>
    <w:rsid w:val="00654B27"/>
    <w:rsid w:val="00656842"/>
    <w:rsid w:val="006619DF"/>
    <w:rsid w:val="00661A67"/>
    <w:rsid w:val="00662245"/>
    <w:rsid w:val="00662E24"/>
    <w:rsid w:val="00664FD2"/>
    <w:rsid w:val="00665D0A"/>
    <w:rsid w:val="00666B43"/>
    <w:rsid w:val="00666BF6"/>
    <w:rsid w:val="00667DB8"/>
    <w:rsid w:val="00670C02"/>
    <w:rsid w:val="00671E8E"/>
    <w:rsid w:val="0067234A"/>
    <w:rsid w:val="00675414"/>
    <w:rsid w:val="006775A1"/>
    <w:rsid w:val="00677672"/>
    <w:rsid w:val="00681228"/>
    <w:rsid w:val="006819AB"/>
    <w:rsid w:val="0068506C"/>
    <w:rsid w:val="00687CE1"/>
    <w:rsid w:val="0069006E"/>
    <w:rsid w:val="00690440"/>
    <w:rsid w:val="00691F94"/>
    <w:rsid w:val="0069251E"/>
    <w:rsid w:val="00692A56"/>
    <w:rsid w:val="00693013"/>
    <w:rsid w:val="00693D38"/>
    <w:rsid w:val="006942E2"/>
    <w:rsid w:val="00694A39"/>
    <w:rsid w:val="00694CDF"/>
    <w:rsid w:val="006961A5"/>
    <w:rsid w:val="0069658F"/>
    <w:rsid w:val="00696DA2"/>
    <w:rsid w:val="006A0396"/>
    <w:rsid w:val="006A1804"/>
    <w:rsid w:val="006A18C1"/>
    <w:rsid w:val="006A21A9"/>
    <w:rsid w:val="006A584F"/>
    <w:rsid w:val="006A77B3"/>
    <w:rsid w:val="006B27C1"/>
    <w:rsid w:val="006B3048"/>
    <w:rsid w:val="006B3F86"/>
    <w:rsid w:val="006B42BA"/>
    <w:rsid w:val="006B4FF3"/>
    <w:rsid w:val="006B5BA5"/>
    <w:rsid w:val="006B79E3"/>
    <w:rsid w:val="006B7F9C"/>
    <w:rsid w:val="006C0E93"/>
    <w:rsid w:val="006C12D2"/>
    <w:rsid w:val="006C181C"/>
    <w:rsid w:val="006C1AF4"/>
    <w:rsid w:val="006C47CA"/>
    <w:rsid w:val="006C49BC"/>
    <w:rsid w:val="006C6865"/>
    <w:rsid w:val="006C68C5"/>
    <w:rsid w:val="006C6CAB"/>
    <w:rsid w:val="006D095E"/>
    <w:rsid w:val="006D16CD"/>
    <w:rsid w:val="006D3A79"/>
    <w:rsid w:val="006D4CDF"/>
    <w:rsid w:val="006D508D"/>
    <w:rsid w:val="006D5B93"/>
    <w:rsid w:val="006D5F2D"/>
    <w:rsid w:val="006D69C6"/>
    <w:rsid w:val="006D72F7"/>
    <w:rsid w:val="006D7407"/>
    <w:rsid w:val="006D7829"/>
    <w:rsid w:val="006E0F3C"/>
    <w:rsid w:val="006E19D7"/>
    <w:rsid w:val="006E27D1"/>
    <w:rsid w:val="006E4F94"/>
    <w:rsid w:val="006E4FB3"/>
    <w:rsid w:val="006E5BF0"/>
    <w:rsid w:val="006E70CB"/>
    <w:rsid w:val="006E7F42"/>
    <w:rsid w:val="006F352B"/>
    <w:rsid w:val="006F7D50"/>
    <w:rsid w:val="007002D9"/>
    <w:rsid w:val="0070244A"/>
    <w:rsid w:val="00702AD6"/>
    <w:rsid w:val="007034C6"/>
    <w:rsid w:val="00704B3F"/>
    <w:rsid w:val="007078CD"/>
    <w:rsid w:val="007120B7"/>
    <w:rsid w:val="00713E7A"/>
    <w:rsid w:val="007166DE"/>
    <w:rsid w:val="00721874"/>
    <w:rsid w:val="00722185"/>
    <w:rsid w:val="00723A8F"/>
    <w:rsid w:val="0072652E"/>
    <w:rsid w:val="0073346C"/>
    <w:rsid w:val="00733AED"/>
    <w:rsid w:val="00735171"/>
    <w:rsid w:val="00735238"/>
    <w:rsid w:val="00735DFC"/>
    <w:rsid w:val="00737848"/>
    <w:rsid w:val="00737AE5"/>
    <w:rsid w:val="00737BF4"/>
    <w:rsid w:val="00741E3F"/>
    <w:rsid w:val="00743454"/>
    <w:rsid w:val="007445C7"/>
    <w:rsid w:val="00745451"/>
    <w:rsid w:val="007456F8"/>
    <w:rsid w:val="00746B9F"/>
    <w:rsid w:val="007479AD"/>
    <w:rsid w:val="00747D85"/>
    <w:rsid w:val="00751211"/>
    <w:rsid w:val="00751A9C"/>
    <w:rsid w:val="00751BB4"/>
    <w:rsid w:val="007537DC"/>
    <w:rsid w:val="007541EE"/>
    <w:rsid w:val="007544DF"/>
    <w:rsid w:val="007556C8"/>
    <w:rsid w:val="00755C8C"/>
    <w:rsid w:val="00756C11"/>
    <w:rsid w:val="007577F9"/>
    <w:rsid w:val="00757E8E"/>
    <w:rsid w:val="00760661"/>
    <w:rsid w:val="00762611"/>
    <w:rsid w:val="0076346C"/>
    <w:rsid w:val="007671E1"/>
    <w:rsid w:val="007700BD"/>
    <w:rsid w:val="00771B90"/>
    <w:rsid w:val="00772042"/>
    <w:rsid w:val="00773F7A"/>
    <w:rsid w:val="00775484"/>
    <w:rsid w:val="0077565B"/>
    <w:rsid w:val="00776FF2"/>
    <w:rsid w:val="007813D4"/>
    <w:rsid w:val="00785291"/>
    <w:rsid w:val="00787562"/>
    <w:rsid w:val="007905EB"/>
    <w:rsid w:val="00791914"/>
    <w:rsid w:val="00794193"/>
    <w:rsid w:val="007943A4"/>
    <w:rsid w:val="00796E5D"/>
    <w:rsid w:val="00797056"/>
    <w:rsid w:val="007979FA"/>
    <w:rsid w:val="007A0249"/>
    <w:rsid w:val="007A12C1"/>
    <w:rsid w:val="007A30D4"/>
    <w:rsid w:val="007A72D7"/>
    <w:rsid w:val="007A7422"/>
    <w:rsid w:val="007B2EA1"/>
    <w:rsid w:val="007B3817"/>
    <w:rsid w:val="007B3874"/>
    <w:rsid w:val="007B3A46"/>
    <w:rsid w:val="007B3D5E"/>
    <w:rsid w:val="007B538F"/>
    <w:rsid w:val="007B5AF1"/>
    <w:rsid w:val="007B686E"/>
    <w:rsid w:val="007B717A"/>
    <w:rsid w:val="007B7BC0"/>
    <w:rsid w:val="007C0789"/>
    <w:rsid w:val="007C253A"/>
    <w:rsid w:val="007C3BBA"/>
    <w:rsid w:val="007C73F3"/>
    <w:rsid w:val="007C78C7"/>
    <w:rsid w:val="007D0ADC"/>
    <w:rsid w:val="007D1B1D"/>
    <w:rsid w:val="007D2C75"/>
    <w:rsid w:val="007D2E4C"/>
    <w:rsid w:val="007D364B"/>
    <w:rsid w:val="007D4AE7"/>
    <w:rsid w:val="007D69BA"/>
    <w:rsid w:val="007D7E67"/>
    <w:rsid w:val="007E0E95"/>
    <w:rsid w:val="007E2862"/>
    <w:rsid w:val="007E49FA"/>
    <w:rsid w:val="007E58FD"/>
    <w:rsid w:val="007E67B5"/>
    <w:rsid w:val="007E6EA1"/>
    <w:rsid w:val="007E72D1"/>
    <w:rsid w:val="007E764F"/>
    <w:rsid w:val="007E771F"/>
    <w:rsid w:val="007E7A40"/>
    <w:rsid w:val="007F17C0"/>
    <w:rsid w:val="007F233F"/>
    <w:rsid w:val="007F28B7"/>
    <w:rsid w:val="00801EB9"/>
    <w:rsid w:val="00803BC8"/>
    <w:rsid w:val="00804145"/>
    <w:rsid w:val="0080492F"/>
    <w:rsid w:val="00804A31"/>
    <w:rsid w:val="00805EE4"/>
    <w:rsid w:val="00806A33"/>
    <w:rsid w:val="00810DBC"/>
    <w:rsid w:val="00811136"/>
    <w:rsid w:val="00812542"/>
    <w:rsid w:val="00813ACB"/>
    <w:rsid w:val="008140B6"/>
    <w:rsid w:val="00814762"/>
    <w:rsid w:val="00817228"/>
    <w:rsid w:val="00817653"/>
    <w:rsid w:val="00820500"/>
    <w:rsid w:val="00823A41"/>
    <w:rsid w:val="00823CCA"/>
    <w:rsid w:val="0082403E"/>
    <w:rsid w:val="0082568E"/>
    <w:rsid w:val="00826E59"/>
    <w:rsid w:val="008316A1"/>
    <w:rsid w:val="008324E2"/>
    <w:rsid w:val="0083647F"/>
    <w:rsid w:val="00837066"/>
    <w:rsid w:val="00837A47"/>
    <w:rsid w:val="00837BBD"/>
    <w:rsid w:val="00841602"/>
    <w:rsid w:val="0084277F"/>
    <w:rsid w:val="0084288F"/>
    <w:rsid w:val="00844E60"/>
    <w:rsid w:val="00850DF6"/>
    <w:rsid w:val="00853EB3"/>
    <w:rsid w:val="00854368"/>
    <w:rsid w:val="0086047C"/>
    <w:rsid w:val="00863469"/>
    <w:rsid w:val="008637BD"/>
    <w:rsid w:val="00865671"/>
    <w:rsid w:val="00865925"/>
    <w:rsid w:val="008661C4"/>
    <w:rsid w:val="0087063E"/>
    <w:rsid w:val="00872823"/>
    <w:rsid w:val="008733D7"/>
    <w:rsid w:val="00873D16"/>
    <w:rsid w:val="0087400C"/>
    <w:rsid w:val="008765BF"/>
    <w:rsid w:val="0087687D"/>
    <w:rsid w:val="00876AC0"/>
    <w:rsid w:val="0087726A"/>
    <w:rsid w:val="008777B6"/>
    <w:rsid w:val="008778CD"/>
    <w:rsid w:val="00881C3C"/>
    <w:rsid w:val="00882C90"/>
    <w:rsid w:val="00883F66"/>
    <w:rsid w:val="00884192"/>
    <w:rsid w:val="00887D5D"/>
    <w:rsid w:val="00887F79"/>
    <w:rsid w:val="008901CD"/>
    <w:rsid w:val="00890F28"/>
    <w:rsid w:val="00894B8F"/>
    <w:rsid w:val="008975E9"/>
    <w:rsid w:val="00897D9A"/>
    <w:rsid w:val="008A03FA"/>
    <w:rsid w:val="008A0935"/>
    <w:rsid w:val="008A27DC"/>
    <w:rsid w:val="008A336C"/>
    <w:rsid w:val="008A377E"/>
    <w:rsid w:val="008A5188"/>
    <w:rsid w:val="008A556B"/>
    <w:rsid w:val="008A5674"/>
    <w:rsid w:val="008B11A3"/>
    <w:rsid w:val="008B383F"/>
    <w:rsid w:val="008B3C16"/>
    <w:rsid w:val="008B428B"/>
    <w:rsid w:val="008B49FE"/>
    <w:rsid w:val="008B722F"/>
    <w:rsid w:val="008C0923"/>
    <w:rsid w:val="008C15A3"/>
    <w:rsid w:val="008C297E"/>
    <w:rsid w:val="008C469D"/>
    <w:rsid w:val="008C4DDC"/>
    <w:rsid w:val="008C64A1"/>
    <w:rsid w:val="008C7E52"/>
    <w:rsid w:val="008C7FC9"/>
    <w:rsid w:val="008D303C"/>
    <w:rsid w:val="008D30B4"/>
    <w:rsid w:val="008D572D"/>
    <w:rsid w:val="008D5990"/>
    <w:rsid w:val="008D66C6"/>
    <w:rsid w:val="008D6961"/>
    <w:rsid w:val="008D74F9"/>
    <w:rsid w:val="008D7B36"/>
    <w:rsid w:val="008E162C"/>
    <w:rsid w:val="008E4617"/>
    <w:rsid w:val="008E4A10"/>
    <w:rsid w:val="008E4B14"/>
    <w:rsid w:val="008E5AEC"/>
    <w:rsid w:val="008E73EC"/>
    <w:rsid w:val="008F0132"/>
    <w:rsid w:val="008F0DE5"/>
    <w:rsid w:val="008F16C8"/>
    <w:rsid w:val="008F1BB5"/>
    <w:rsid w:val="008F2F0D"/>
    <w:rsid w:val="008F3A89"/>
    <w:rsid w:val="008F3EF4"/>
    <w:rsid w:val="008F44CF"/>
    <w:rsid w:val="008F51E3"/>
    <w:rsid w:val="008F667F"/>
    <w:rsid w:val="008F7013"/>
    <w:rsid w:val="009022E7"/>
    <w:rsid w:val="00902474"/>
    <w:rsid w:val="0090369A"/>
    <w:rsid w:val="00905758"/>
    <w:rsid w:val="00905E07"/>
    <w:rsid w:val="00907490"/>
    <w:rsid w:val="00911AFA"/>
    <w:rsid w:val="009154C3"/>
    <w:rsid w:val="0091550C"/>
    <w:rsid w:val="00916328"/>
    <w:rsid w:val="0092018A"/>
    <w:rsid w:val="0092039A"/>
    <w:rsid w:val="00922A5C"/>
    <w:rsid w:val="0092631E"/>
    <w:rsid w:val="00926A2D"/>
    <w:rsid w:val="00930D11"/>
    <w:rsid w:val="00931F70"/>
    <w:rsid w:val="009321A4"/>
    <w:rsid w:val="0093288B"/>
    <w:rsid w:val="009335EF"/>
    <w:rsid w:val="00934F3C"/>
    <w:rsid w:val="009425AE"/>
    <w:rsid w:val="009433C8"/>
    <w:rsid w:val="009444EF"/>
    <w:rsid w:val="009478EE"/>
    <w:rsid w:val="00950A67"/>
    <w:rsid w:val="009517BB"/>
    <w:rsid w:val="00954A74"/>
    <w:rsid w:val="009579AC"/>
    <w:rsid w:val="00957C28"/>
    <w:rsid w:val="0096033A"/>
    <w:rsid w:val="0096045E"/>
    <w:rsid w:val="00961C1D"/>
    <w:rsid w:val="00964FF0"/>
    <w:rsid w:val="00965E7B"/>
    <w:rsid w:val="00966363"/>
    <w:rsid w:val="0096790B"/>
    <w:rsid w:val="009704DD"/>
    <w:rsid w:val="009730BA"/>
    <w:rsid w:val="0097736D"/>
    <w:rsid w:val="00977443"/>
    <w:rsid w:val="00980469"/>
    <w:rsid w:val="009837F7"/>
    <w:rsid w:val="00983ECC"/>
    <w:rsid w:val="009844F4"/>
    <w:rsid w:val="009847C7"/>
    <w:rsid w:val="009914E6"/>
    <w:rsid w:val="0099213E"/>
    <w:rsid w:val="00992F71"/>
    <w:rsid w:val="00993EA6"/>
    <w:rsid w:val="009960AE"/>
    <w:rsid w:val="0099743A"/>
    <w:rsid w:val="009A0F20"/>
    <w:rsid w:val="009A22DA"/>
    <w:rsid w:val="009A4270"/>
    <w:rsid w:val="009A4696"/>
    <w:rsid w:val="009A6896"/>
    <w:rsid w:val="009A6DF1"/>
    <w:rsid w:val="009B00C1"/>
    <w:rsid w:val="009B120C"/>
    <w:rsid w:val="009B17CA"/>
    <w:rsid w:val="009B5576"/>
    <w:rsid w:val="009B6874"/>
    <w:rsid w:val="009B73AD"/>
    <w:rsid w:val="009C2CD2"/>
    <w:rsid w:val="009C3DFD"/>
    <w:rsid w:val="009C4A6E"/>
    <w:rsid w:val="009C7BB0"/>
    <w:rsid w:val="009D0386"/>
    <w:rsid w:val="009D14D3"/>
    <w:rsid w:val="009D1E9D"/>
    <w:rsid w:val="009D58CC"/>
    <w:rsid w:val="009D647F"/>
    <w:rsid w:val="009D6725"/>
    <w:rsid w:val="009D76ED"/>
    <w:rsid w:val="009E0C19"/>
    <w:rsid w:val="009E2336"/>
    <w:rsid w:val="009E2EC2"/>
    <w:rsid w:val="009E7FD8"/>
    <w:rsid w:val="009F015E"/>
    <w:rsid w:val="009F3046"/>
    <w:rsid w:val="009F316D"/>
    <w:rsid w:val="009F359C"/>
    <w:rsid w:val="009F4084"/>
    <w:rsid w:val="009F5957"/>
    <w:rsid w:val="009F5BEC"/>
    <w:rsid w:val="009F6B75"/>
    <w:rsid w:val="009F7327"/>
    <w:rsid w:val="009F750C"/>
    <w:rsid w:val="009F7C7A"/>
    <w:rsid w:val="00A0035A"/>
    <w:rsid w:val="00A0048B"/>
    <w:rsid w:val="00A00A39"/>
    <w:rsid w:val="00A019FE"/>
    <w:rsid w:val="00A01B38"/>
    <w:rsid w:val="00A01C38"/>
    <w:rsid w:val="00A02F8D"/>
    <w:rsid w:val="00A078CF"/>
    <w:rsid w:val="00A13C7D"/>
    <w:rsid w:val="00A145FD"/>
    <w:rsid w:val="00A14E5D"/>
    <w:rsid w:val="00A2050F"/>
    <w:rsid w:val="00A20B00"/>
    <w:rsid w:val="00A20C5B"/>
    <w:rsid w:val="00A21285"/>
    <w:rsid w:val="00A222EA"/>
    <w:rsid w:val="00A229EB"/>
    <w:rsid w:val="00A30441"/>
    <w:rsid w:val="00A30FFA"/>
    <w:rsid w:val="00A35FB5"/>
    <w:rsid w:val="00A37A68"/>
    <w:rsid w:val="00A41888"/>
    <w:rsid w:val="00A41E36"/>
    <w:rsid w:val="00A4321E"/>
    <w:rsid w:val="00A43356"/>
    <w:rsid w:val="00A43874"/>
    <w:rsid w:val="00A44465"/>
    <w:rsid w:val="00A4489B"/>
    <w:rsid w:val="00A4558B"/>
    <w:rsid w:val="00A456FA"/>
    <w:rsid w:val="00A51E24"/>
    <w:rsid w:val="00A54292"/>
    <w:rsid w:val="00A54C9A"/>
    <w:rsid w:val="00A57819"/>
    <w:rsid w:val="00A60204"/>
    <w:rsid w:val="00A60F60"/>
    <w:rsid w:val="00A6186B"/>
    <w:rsid w:val="00A634E7"/>
    <w:rsid w:val="00A66055"/>
    <w:rsid w:val="00A6614B"/>
    <w:rsid w:val="00A7517D"/>
    <w:rsid w:val="00A77CC3"/>
    <w:rsid w:val="00A8238B"/>
    <w:rsid w:val="00A823A8"/>
    <w:rsid w:val="00A83681"/>
    <w:rsid w:val="00A848DB"/>
    <w:rsid w:val="00A85AC7"/>
    <w:rsid w:val="00A868A0"/>
    <w:rsid w:val="00A94879"/>
    <w:rsid w:val="00A96BB8"/>
    <w:rsid w:val="00AA05BA"/>
    <w:rsid w:val="00AA187E"/>
    <w:rsid w:val="00AA3C3D"/>
    <w:rsid w:val="00AA52E7"/>
    <w:rsid w:val="00AA559C"/>
    <w:rsid w:val="00AB05C9"/>
    <w:rsid w:val="00AB1AFB"/>
    <w:rsid w:val="00AB264B"/>
    <w:rsid w:val="00AB331A"/>
    <w:rsid w:val="00AB3804"/>
    <w:rsid w:val="00AB4211"/>
    <w:rsid w:val="00AB4FA7"/>
    <w:rsid w:val="00AC19E4"/>
    <w:rsid w:val="00AC2667"/>
    <w:rsid w:val="00AC2DF7"/>
    <w:rsid w:val="00AC3861"/>
    <w:rsid w:val="00AC791D"/>
    <w:rsid w:val="00AD01B4"/>
    <w:rsid w:val="00AD0C18"/>
    <w:rsid w:val="00AD11A6"/>
    <w:rsid w:val="00AD159E"/>
    <w:rsid w:val="00AD2792"/>
    <w:rsid w:val="00AD352E"/>
    <w:rsid w:val="00AD407F"/>
    <w:rsid w:val="00AD5E48"/>
    <w:rsid w:val="00AD604D"/>
    <w:rsid w:val="00AD7CD6"/>
    <w:rsid w:val="00AE04AF"/>
    <w:rsid w:val="00AE3D9E"/>
    <w:rsid w:val="00AE5821"/>
    <w:rsid w:val="00AE70AA"/>
    <w:rsid w:val="00AF037B"/>
    <w:rsid w:val="00AF1129"/>
    <w:rsid w:val="00AF21BD"/>
    <w:rsid w:val="00AF267B"/>
    <w:rsid w:val="00AF28F5"/>
    <w:rsid w:val="00AF2A48"/>
    <w:rsid w:val="00AF4478"/>
    <w:rsid w:val="00AF62B1"/>
    <w:rsid w:val="00AF6A2F"/>
    <w:rsid w:val="00B02359"/>
    <w:rsid w:val="00B031DB"/>
    <w:rsid w:val="00B0320A"/>
    <w:rsid w:val="00B06DD9"/>
    <w:rsid w:val="00B10458"/>
    <w:rsid w:val="00B11AF4"/>
    <w:rsid w:val="00B146F5"/>
    <w:rsid w:val="00B1713D"/>
    <w:rsid w:val="00B21708"/>
    <w:rsid w:val="00B2255A"/>
    <w:rsid w:val="00B22C9A"/>
    <w:rsid w:val="00B24112"/>
    <w:rsid w:val="00B25E6B"/>
    <w:rsid w:val="00B267E4"/>
    <w:rsid w:val="00B274EF"/>
    <w:rsid w:val="00B31F5E"/>
    <w:rsid w:val="00B32514"/>
    <w:rsid w:val="00B33FC8"/>
    <w:rsid w:val="00B402EE"/>
    <w:rsid w:val="00B40929"/>
    <w:rsid w:val="00B40E68"/>
    <w:rsid w:val="00B41555"/>
    <w:rsid w:val="00B41A96"/>
    <w:rsid w:val="00B43F11"/>
    <w:rsid w:val="00B44A26"/>
    <w:rsid w:val="00B4634A"/>
    <w:rsid w:val="00B506FD"/>
    <w:rsid w:val="00B52240"/>
    <w:rsid w:val="00B527BF"/>
    <w:rsid w:val="00B52C2A"/>
    <w:rsid w:val="00B53F0C"/>
    <w:rsid w:val="00B54BEE"/>
    <w:rsid w:val="00B55EED"/>
    <w:rsid w:val="00B56E38"/>
    <w:rsid w:val="00B576F8"/>
    <w:rsid w:val="00B57ED0"/>
    <w:rsid w:val="00B64FF1"/>
    <w:rsid w:val="00B6541D"/>
    <w:rsid w:val="00B67A6C"/>
    <w:rsid w:val="00B700DA"/>
    <w:rsid w:val="00B71C3B"/>
    <w:rsid w:val="00B7544E"/>
    <w:rsid w:val="00B75CF7"/>
    <w:rsid w:val="00B770FD"/>
    <w:rsid w:val="00B776E2"/>
    <w:rsid w:val="00B77B64"/>
    <w:rsid w:val="00B81ACE"/>
    <w:rsid w:val="00B82DCA"/>
    <w:rsid w:val="00B82DCD"/>
    <w:rsid w:val="00B830F1"/>
    <w:rsid w:val="00B83497"/>
    <w:rsid w:val="00B83718"/>
    <w:rsid w:val="00B84E17"/>
    <w:rsid w:val="00B86690"/>
    <w:rsid w:val="00B90173"/>
    <w:rsid w:val="00B91B7E"/>
    <w:rsid w:val="00B92A47"/>
    <w:rsid w:val="00BA0500"/>
    <w:rsid w:val="00BA07A4"/>
    <w:rsid w:val="00BA14D2"/>
    <w:rsid w:val="00BA2DE3"/>
    <w:rsid w:val="00BA314D"/>
    <w:rsid w:val="00BA41C2"/>
    <w:rsid w:val="00BA4B01"/>
    <w:rsid w:val="00BA5128"/>
    <w:rsid w:val="00BA6BBC"/>
    <w:rsid w:val="00BA736D"/>
    <w:rsid w:val="00BA7F88"/>
    <w:rsid w:val="00BB0F8E"/>
    <w:rsid w:val="00BB2164"/>
    <w:rsid w:val="00BB3F59"/>
    <w:rsid w:val="00BB5390"/>
    <w:rsid w:val="00BB7242"/>
    <w:rsid w:val="00BB7AF3"/>
    <w:rsid w:val="00BC77A6"/>
    <w:rsid w:val="00BD28A7"/>
    <w:rsid w:val="00BD28E0"/>
    <w:rsid w:val="00BD4849"/>
    <w:rsid w:val="00BD4E8B"/>
    <w:rsid w:val="00BD4F6B"/>
    <w:rsid w:val="00BD61DA"/>
    <w:rsid w:val="00BD6E0B"/>
    <w:rsid w:val="00BD6FE1"/>
    <w:rsid w:val="00BE2DED"/>
    <w:rsid w:val="00BF08E6"/>
    <w:rsid w:val="00BF182F"/>
    <w:rsid w:val="00BF19BA"/>
    <w:rsid w:val="00BF21EE"/>
    <w:rsid w:val="00BF3156"/>
    <w:rsid w:val="00BF34FF"/>
    <w:rsid w:val="00BF56B6"/>
    <w:rsid w:val="00BF6343"/>
    <w:rsid w:val="00BF657C"/>
    <w:rsid w:val="00BF6856"/>
    <w:rsid w:val="00BF6A86"/>
    <w:rsid w:val="00C00515"/>
    <w:rsid w:val="00C0113A"/>
    <w:rsid w:val="00C01846"/>
    <w:rsid w:val="00C01AF4"/>
    <w:rsid w:val="00C06033"/>
    <w:rsid w:val="00C069AB"/>
    <w:rsid w:val="00C06B10"/>
    <w:rsid w:val="00C127DE"/>
    <w:rsid w:val="00C12FDE"/>
    <w:rsid w:val="00C15A42"/>
    <w:rsid w:val="00C15ACC"/>
    <w:rsid w:val="00C2015A"/>
    <w:rsid w:val="00C202E1"/>
    <w:rsid w:val="00C25B1C"/>
    <w:rsid w:val="00C25B42"/>
    <w:rsid w:val="00C265A8"/>
    <w:rsid w:val="00C2684B"/>
    <w:rsid w:val="00C27DBF"/>
    <w:rsid w:val="00C3419C"/>
    <w:rsid w:val="00C346B6"/>
    <w:rsid w:val="00C35D8E"/>
    <w:rsid w:val="00C40C6D"/>
    <w:rsid w:val="00C41766"/>
    <w:rsid w:val="00C43613"/>
    <w:rsid w:val="00C43D9C"/>
    <w:rsid w:val="00C4427E"/>
    <w:rsid w:val="00C4544A"/>
    <w:rsid w:val="00C45C4A"/>
    <w:rsid w:val="00C50F02"/>
    <w:rsid w:val="00C53871"/>
    <w:rsid w:val="00C54BF5"/>
    <w:rsid w:val="00C56DEB"/>
    <w:rsid w:val="00C575E1"/>
    <w:rsid w:val="00C57CF1"/>
    <w:rsid w:val="00C63313"/>
    <w:rsid w:val="00C645F1"/>
    <w:rsid w:val="00C64C28"/>
    <w:rsid w:val="00C65A57"/>
    <w:rsid w:val="00C7305E"/>
    <w:rsid w:val="00C750BC"/>
    <w:rsid w:val="00C77DBD"/>
    <w:rsid w:val="00C81588"/>
    <w:rsid w:val="00C82D24"/>
    <w:rsid w:val="00C84C95"/>
    <w:rsid w:val="00C85374"/>
    <w:rsid w:val="00C87B95"/>
    <w:rsid w:val="00C90527"/>
    <w:rsid w:val="00C9571A"/>
    <w:rsid w:val="00CA1CEC"/>
    <w:rsid w:val="00CA302C"/>
    <w:rsid w:val="00CA5752"/>
    <w:rsid w:val="00CB17C4"/>
    <w:rsid w:val="00CB2E52"/>
    <w:rsid w:val="00CB5EA7"/>
    <w:rsid w:val="00CB61A1"/>
    <w:rsid w:val="00CB6B06"/>
    <w:rsid w:val="00CB7392"/>
    <w:rsid w:val="00CC0E91"/>
    <w:rsid w:val="00CC2211"/>
    <w:rsid w:val="00CC3375"/>
    <w:rsid w:val="00CC3D0E"/>
    <w:rsid w:val="00CC434B"/>
    <w:rsid w:val="00CC4977"/>
    <w:rsid w:val="00CC4DE5"/>
    <w:rsid w:val="00CC5A46"/>
    <w:rsid w:val="00CC7BE2"/>
    <w:rsid w:val="00CD12C1"/>
    <w:rsid w:val="00CD1430"/>
    <w:rsid w:val="00CD46FE"/>
    <w:rsid w:val="00CD657C"/>
    <w:rsid w:val="00CE00F6"/>
    <w:rsid w:val="00CE07F7"/>
    <w:rsid w:val="00CE1F5A"/>
    <w:rsid w:val="00CE29EB"/>
    <w:rsid w:val="00CF0897"/>
    <w:rsid w:val="00CF14F2"/>
    <w:rsid w:val="00CF184E"/>
    <w:rsid w:val="00CF2469"/>
    <w:rsid w:val="00CF3BCC"/>
    <w:rsid w:val="00CF4EA7"/>
    <w:rsid w:val="00CF5300"/>
    <w:rsid w:val="00CF6F84"/>
    <w:rsid w:val="00D00F41"/>
    <w:rsid w:val="00D02D55"/>
    <w:rsid w:val="00D0590F"/>
    <w:rsid w:val="00D07595"/>
    <w:rsid w:val="00D10AE5"/>
    <w:rsid w:val="00D12C26"/>
    <w:rsid w:val="00D12EC5"/>
    <w:rsid w:val="00D12F3E"/>
    <w:rsid w:val="00D15258"/>
    <w:rsid w:val="00D15321"/>
    <w:rsid w:val="00D206FD"/>
    <w:rsid w:val="00D21CEF"/>
    <w:rsid w:val="00D23892"/>
    <w:rsid w:val="00D23D92"/>
    <w:rsid w:val="00D2428C"/>
    <w:rsid w:val="00D25748"/>
    <w:rsid w:val="00D25BB4"/>
    <w:rsid w:val="00D2719B"/>
    <w:rsid w:val="00D27AE5"/>
    <w:rsid w:val="00D27FB8"/>
    <w:rsid w:val="00D31D74"/>
    <w:rsid w:val="00D349D4"/>
    <w:rsid w:val="00D36F51"/>
    <w:rsid w:val="00D377BC"/>
    <w:rsid w:val="00D40342"/>
    <w:rsid w:val="00D41089"/>
    <w:rsid w:val="00D41649"/>
    <w:rsid w:val="00D455CE"/>
    <w:rsid w:val="00D51811"/>
    <w:rsid w:val="00D54845"/>
    <w:rsid w:val="00D5754A"/>
    <w:rsid w:val="00D576E5"/>
    <w:rsid w:val="00D62B91"/>
    <w:rsid w:val="00D637EB"/>
    <w:rsid w:val="00D65611"/>
    <w:rsid w:val="00D65ACA"/>
    <w:rsid w:val="00D676B4"/>
    <w:rsid w:val="00D6780D"/>
    <w:rsid w:val="00D67914"/>
    <w:rsid w:val="00D7139B"/>
    <w:rsid w:val="00D71DAE"/>
    <w:rsid w:val="00D74338"/>
    <w:rsid w:val="00D751CB"/>
    <w:rsid w:val="00D764AD"/>
    <w:rsid w:val="00D770AD"/>
    <w:rsid w:val="00D7767B"/>
    <w:rsid w:val="00D77FF0"/>
    <w:rsid w:val="00D827CC"/>
    <w:rsid w:val="00D8340F"/>
    <w:rsid w:val="00D83713"/>
    <w:rsid w:val="00D84F46"/>
    <w:rsid w:val="00D85D36"/>
    <w:rsid w:val="00D86AF2"/>
    <w:rsid w:val="00D87EDF"/>
    <w:rsid w:val="00D91842"/>
    <w:rsid w:val="00D91F98"/>
    <w:rsid w:val="00D93649"/>
    <w:rsid w:val="00D94297"/>
    <w:rsid w:val="00D94F52"/>
    <w:rsid w:val="00D96CC4"/>
    <w:rsid w:val="00D96D2D"/>
    <w:rsid w:val="00DA2F8C"/>
    <w:rsid w:val="00DA300E"/>
    <w:rsid w:val="00DA35EE"/>
    <w:rsid w:val="00DA6CFE"/>
    <w:rsid w:val="00DB2274"/>
    <w:rsid w:val="00DB22A5"/>
    <w:rsid w:val="00DB46A1"/>
    <w:rsid w:val="00DB4C65"/>
    <w:rsid w:val="00DB70D0"/>
    <w:rsid w:val="00DC284F"/>
    <w:rsid w:val="00DC3B1D"/>
    <w:rsid w:val="00DC44C3"/>
    <w:rsid w:val="00DC48E9"/>
    <w:rsid w:val="00DC5B13"/>
    <w:rsid w:val="00DC6446"/>
    <w:rsid w:val="00DC6B46"/>
    <w:rsid w:val="00DC6C3A"/>
    <w:rsid w:val="00DD0752"/>
    <w:rsid w:val="00DD0EBE"/>
    <w:rsid w:val="00DD20D9"/>
    <w:rsid w:val="00DD244F"/>
    <w:rsid w:val="00DD5E6F"/>
    <w:rsid w:val="00DE0E25"/>
    <w:rsid w:val="00DE44F7"/>
    <w:rsid w:val="00DE4E98"/>
    <w:rsid w:val="00DE65AD"/>
    <w:rsid w:val="00DE7B07"/>
    <w:rsid w:val="00DF025E"/>
    <w:rsid w:val="00DF4CBD"/>
    <w:rsid w:val="00DF61C5"/>
    <w:rsid w:val="00DF64C7"/>
    <w:rsid w:val="00DF7286"/>
    <w:rsid w:val="00E02201"/>
    <w:rsid w:val="00E03AB5"/>
    <w:rsid w:val="00E078EF"/>
    <w:rsid w:val="00E10674"/>
    <w:rsid w:val="00E10681"/>
    <w:rsid w:val="00E11018"/>
    <w:rsid w:val="00E1397C"/>
    <w:rsid w:val="00E14002"/>
    <w:rsid w:val="00E16476"/>
    <w:rsid w:val="00E16A6B"/>
    <w:rsid w:val="00E22011"/>
    <w:rsid w:val="00E22F67"/>
    <w:rsid w:val="00E25B2E"/>
    <w:rsid w:val="00E261E5"/>
    <w:rsid w:val="00E26921"/>
    <w:rsid w:val="00E26C85"/>
    <w:rsid w:val="00E279C6"/>
    <w:rsid w:val="00E30395"/>
    <w:rsid w:val="00E3099F"/>
    <w:rsid w:val="00E30EBA"/>
    <w:rsid w:val="00E31AD3"/>
    <w:rsid w:val="00E32A56"/>
    <w:rsid w:val="00E330AD"/>
    <w:rsid w:val="00E34715"/>
    <w:rsid w:val="00E34C53"/>
    <w:rsid w:val="00E3506F"/>
    <w:rsid w:val="00E36B4A"/>
    <w:rsid w:val="00E41A61"/>
    <w:rsid w:val="00E42C3D"/>
    <w:rsid w:val="00E43365"/>
    <w:rsid w:val="00E4360C"/>
    <w:rsid w:val="00E43B0E"/>
    <w:rsid w:val="00E46A1B"/>
    <w:rsid w:val="00E47D80"/>
    <w:rsid w:val="00E51F3C"/>
    <w:rsid w:val="00E52985"/>
    <w:rsid w:val="00E5310C"/>
    <w:rsid w:val="00E53E2D"/>
    <w:rsid w:val="00E5477D"/>
    <w:rsid w:val="00E55F89"/>
    <w:rsid w:val="00E563A0"/>
    <w:rsid w:val="00E56878"/>
    <w:rsid w:val="00E5695A"/>
    <w:rsid w:val="00E57E4C"/>
    <w:rsid w:val="00E60056"/>
    <w:rsid w:val="00E621E1"/>
    <w:rsid w:val="00E624E9"/>
    <w:rsid w:val="00E62793"/>
    <w:rsid w:val="00E62A68"/>
    <w:rsid w:val="00E636E7"/>
    <w:rsid w:val="00E649D2"/>
    <w:rsid w:val="00E651FF"/>
    <w:rsid w:val="00E65F24"/>
    <w:rsid w:val="00E71207"/>
    <w:rsid w:val="00E74B68"/>
    <w:rsid w:val="00E754A8"/>
    <w:rsid w:val="00E773FF"/>
    <w:rsid w:val="00E77653"/>
    <w:rsid w:val="00E80A8D"/>
    <w:rsid w:val="00E81E18"/>
    <w:rsid w:val="00E839E8"/>
    <w:rsid w:val="00E83C77"/>
    <w:rsid w:val="00E85926"/>
    <w:rsid w:val="00E864EC"/>
    <w:rsid w:val="00E8670D"/>
    <w:rsid w:val="00E9096A"/>
    <w:rsid w:val="00E90AA9"/>
    <w:rsid w:val="00E90BD7"/>
    <w:rsid w:val="00E919D5"/>
    <w:rsid w:val="00E954E5"/>
    <w:rsid w:val="00E96309"/>
    <w:rsid w:val="00E966AD"/>
    <w:rsid w:val="00EA27DD"/>
    <w:rsid w:val="00EA2949"/>
    <w:rsid w:val="00EA3414"/>
    <w:rsid w:val="00EA3DA0"/>
    <w:rsid w:val="00EA4A0B"/>
    <w:rsid w:val="00EA4F86"/>
    <w:rsid w:val="00EA634E"/>
    <w:rsid w:val="00EA718D"/>
    <w:rsid w:val="00EB1F93"/>
    <w:rsid w:val="00EB2B9D"/>
    <w:rsid w:val="00EB36ED"/>
    <w:rsid w:val="00EB79C8"/>
    <w:rsid w:val="00EC1435"/>
    <w:rsid w:val="00EC1E8B"/>
    <w:rsid w:val="00EC1F85"/>
    <w:rsid w:val="00EC3D68"/>
    <w:rsid w:val="00EC47D0"/>
    <w:rsid w:val="00EC4AB7"/>
    <w:rsid w:val="00EC50EA"/>
    <w:rsid w:val="00EC6FD2"/>
    <w:rsid w:val="00ED0EA5"/>
    <w:rsid w:val="00ED1665"/>
    <w:rsid w:val="00ED1699"/>
    <w:rsid w:val="00ED19BB"/>
    <w:rsid w:val="00ED3AEF"/>
    <w:rsid w:val="00ED497B"/>
    <w:rsid w:val="00ED4BD8"/>
    <w:rsid w:val="00ED610F"/>
    <w:rsid w:val="00ED6A8D"/>
    <w:rsid w:val="00ED6E79"/>
    <w:rsid w:val="00EE0A91"/>
    <w:rsid w:val="00EE3C86"/>
    <w:rsid w:val="00EE3CE3"/>
    <w:rsid w:val="00EE6886"/>
    <w:rsid w:val="00EE77DE"/>
    <w:rsid w:val="00EF10AD"/>
    <w:rsid w:val="00EF61A1"/>
    <w:rsid w:val="00F03D43"/>
    <w:rsid w:val="00F0705A"/>
    <w:rsid w:val="00F0757C"/>
    <w:rsid w:val="00F13DFC"/>
    <w:rsid w:val="00F14957"/>
    <w:rsid w:val="00F150CC"/>
    <w:rsid w:val="00F15856"/>
    <w:rsid w:val="00F15C6B"/>
    <w:rsid w:val="00F16F8E"/>
    <w:rsid w:val="00F2241F"/>
    <w:rsid w:val="00F224C1"/>
    <w:rsid w:val="00F22560"/>
    <w:rsid w:val="00F25D6E"/>
    <w:rsid w:val="00F32502"/>
    <w:rsid w:val="00F33229"/>
    <w:rsid w:val="00F339B1"/>
    <w:rsid w:val="00F435F6"/>
    <w:rsid w:val="00F441EE"/>
    <w:rsid w:val="00F44715"/>
    <w:rsid w:val="00F454F0"/>
    <w:rsid w:val="00F45995"/>
    <w:rsid w:val="00F46480"/>
    <w:rsid w:val="00F5060E"/>
    <w:rsid w:val="00F513D8"/>
    <w:rsid w:val="00F52B87"/>
    <w:rsid w:val="00F56343"/>
    <w:rsid w:val="00F56D1F"/>
    <w:rsid w:val="00F60866"/>
    <w:rsid w:val="00F6119E"/>
    <w:rsid w:val="00F6212C"/>
    <w:rsid w:val="00F6266D"/>
    <w:rsid w:val="00F6676D"/>
    <w:rsid w:val="00F702E2"/>
    <w:rsid w:val="00F710FE"/>
    <w:rsid w:val="00F7223A"/>
    <w:rsid w:val="00F732E2"/>
    <w:rsid w:val="00F7514B"/>
    <w:rsid w:val="00F764C1"/>
    <w:rsid w:val="00F776BC"/>
    <w:rsid w:val="00F80D1F"/>
    <w:rsid w:val="00F80DAF"/>
    <w:rsid w:val="00F81839"/>
    <w:rsid w:val="00F81D03"/>
    <w:rsid w:val="00F84597"/>
    <w:rsid w:val="00F849CA"/>
    <w:rsid w:val="00F87E21"/>
    <w:rsid w:val="00F909DD"/>
    <w:rsid w:val="00F911D9"/>
    <w:rsid w:val="00F916AA"/>
    <w:rsid w:val="00F93D6B"/>
    <w:rsid w:val="00F94675"/>
    <w:rsid w:val="00FA25D7"/>
    <w:rsid w:val="00FA3FE3"/>
    <w:rsid w:val="00FA7FB4"/>
    <w:rsid w:val="00FB0835"/>
    <w:rsid w:val="00FB17C3"/>
    <w:rsid w:val="00FB2161"/>
    <w:rsid w:val="00FB50C9"/>
    <w:rsid w:val="00FB51B9"/>
    <w:rsid w:val="00FC0CC2"/>
    <w:rsid w:val="00FC1B48"/>
    <w:rsid w:val="00FC1EC9"/>
    <w:rsid w:val="00FC2044"/>
    <w:rsid w:val="00FC24D6"/>
    <w:rsid w:val="00FC4195"/>
    <w:rsid w:val="00FC63C3"/>
    <w:rsid w:val="00FC6ED5"/>
    <w:rsid w:val="00FC753A"/>
    <w:rsid w:val="00FD3D71"/>
    <w:rsid w:val="00FD6989"/>
    <w:rsid w:val="00FE0239"/>
    <w:rsid w:val="00FE0382"/>
    <w:rsid w:val="00FE0C08"/>
    <w:rsid w:val="00FE0CEC"/>
    <w:rsid w:val="00FE3AF7"/>
    <w:rsid w:val="00FE7887"/>
    <w:rsid w:val="00FF0764"/>
    <w:rsid w:val="00FF08E0"/>
    <w:rsid w:val="00FF2631"/>
    <w:rsid w:val="00FF2837"/>
    <w:rsid w:val="00FF2ACF"/>
    <w:rsid w:val="00FF2F1E"/>
    <w:rsid w:val="00FF372C"/>
    <w:rsid w:val="00FF3ACF"/>
    <w:rsid w:val="00FF5329"/>
    <w:rsid w:val="00FF58FC"/>
    <w:rsid w:val="00FF6187"/>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docId w15:val="{D7932818-87FD-4EAB-9FA3-E2BEBC1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F7514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4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1E24D6"/>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2"/>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tabs>
        <w:tab w:val="left" w:pos="504"/>
      </w:tabs>
      <w:spacing w:after="0" w:line="240" w:lineRule="auto"/>
      <w:ind w:left="504" w:hanging="504"/>
    </w:pPr>
  </w:style>
  <w:style w:type="table" w:customStyle="1" w:styleId="GridTable1Light-Accent61">
    <w:name w:val="Grid Table 1 Light - Accent 61"/>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customStyle="1" w:styleId="UnresolvedMention1">
    <w:name w:val="Unresolved Mention1"/>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0"/>
      </w:numPr>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Revision">
    <w:name w:val="Revision"/>
    <w:hidden/>
    <w:uiPriority w:val="99"/>
    <w:semiHidden/>
    <w:rsid w:val="00176AD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1495">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79942">
      <w:bodyDiv w:val="1"/>
      <w:marLeft w:val="0"/>
      <w:marRight w:val="0"/>
      <w:marTop w:val="0"/>
      <w:marBottom w:val="0"/>
      <w:divBdr>
        <w:top w:val="none" w:sz="0" w:space="0" w:color="auto"/>
        <w:left w:val="none" w:sz="0" w:space="0" w:color="auto"/>
        <w:bottom w:val="none" w:sz="0" w:space="0" w:color="auto"/>
        <w:right w:val="none" w:sz="0" w:space="0" w:color="auto"/>
      </w:divBdr>
    </w:div>
    <w:div w:id="686173548">
      <w:bodyDiv w:val="1"/>
      <w:marLeft w:val="0"/>
      <w:marRight w:val="0"/>
      <w:marTop w:val="0"/>
      <w:marBottom w:val="0"/>
      <w:divBdr>
        <w:top w:val="none" w:sz="0" w:space="0" w:color="auto"/>
        <w:left w:val="none" w:sz="0" w:space="0" w:color="auto"/>
        <w:bottom w:val="none" w:sz="0" w:space="0" w:color="auto"/>
        <w:right w:val="none" w:sz="0" w:space="0" w:color="auto"/>
      </w:divBdr>
    </w:div>
    <w:div w:id="1154761738">
      <w:bodyDiv w:val="1"/>
      <w:marLeft w:val="0"/>
      <w:marRight w:val="0"/>
      <w:marTop w:val="0"/>
      <w:marBottom w:val="0"/>
      <w:divBdr>
        <w:top w:val="none" w:sz="0" w:space="0" w:color="auto"/>
        <w:left w:val="none" w:sz="0" w:space="0" w:color="auto"/>
        <w:bottom w:val="none" w:sz="0" w:space="0" w:color="auto"/>
        <w:right w:val="none" w:sz="0" w:space="0" w:color="auto"/>
      </w:divBdr>
    </w:div>
    <w:div w:id="1159613443">
      <w:bodyDiv w:val="1"/>
      <w:marLeft w:val="0"/>
      <w:marRight w:val="0"/>
      <w:marTop w:val="0"/>
      <w:marBottom w:val="0"/>
      <w:divBdr>
        <w:top w:val="none" w:sz="0" w:space="0" w:color="auto"/>
        <w:left w:val="none" w:sz="0" w:space="0" w:color="auto"/>
        <w:bottom w:val="none" w:sz="0" w:space="0" w:color="auto"/>
        <w:right w:val="none" w:sz="0" w:space="0" w:color="auto"/>
      </w:divBdr>
    </w:div>
    <w:div w:id="1236210117">
      <w:bodyDiv w:val="1"/>
      <w:marLeft w:val="0"/>
      <w:marRight w:val="0"/>
      <w:marTop w:val="0"/>
      <w:marBottom w:val="0"/>
      <w:divBdr>
        <w:top w:val="none" w:sz="0" w:space="0" w:color="auto"/>
        <w:left w:val="none" w:sz="0" w:space="0" w:color="auto"/>
        <w:bottom w:val="none" w:sz="0" w:space="0" w:color="auto"/>
        <w:right w:val="none" w:sz="0" w:space="0" w:color="auto"/>
      </w:divBdr>
      <w:divsChild>
        <w:div w:id="2132821816">
          <w:marLeft w:val="0"/>
          <w:marRight w:val="0"/>
          <w:marTop w:val="0"/>
          <w:marBottom w:val="0"/>
          <w:divBdr>
            <w:top w:val="none" w:sz="0" w:space="0" w:color="auto"/>
            <w:left w:val="none" w:sz="0" w:space="0" w:color="auto"/>
            <w:bottom w:val="none" w:sz="0" w:space="0" w:color="auto"/>
            <w:right w:val="none" w:sz="0" w:space="0" w:color="auto"/>
          </w:divBdr>
          <w:divsChild>
            <w:div w:id="11734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391">
      <w:bodyDiv w:val="1"/>
      <w:marLeft w:val="0"/>
      <w:marRight w:val="0"/>
      <w:marTop w:val="0"/>
      <w:marBottom w:val="0"/>
      <w:divBdr>
        <w:top w:val="none" w:sz="0" w:space="0" w:color="auto"/>
        <w:left w:val="none" w:sz="0" w:space="0" w:color="auto"/>
        <w:bottom w:val="none" w:sz="0" w:space="0" w:color="auto"/>
        <w:right w:val="none" w:sz="0" w:space="0" w:color="auto"/>
      </w:divBdr>
    </w:div>
    <w:div w:id="1761834012">
      <w:bodyDiv w:val="1"/>
      <w:marLeft w:val="0"/>
      <w:marRight w:val="0"/>
      <w:marTop w:val="0"/>
      <w:marBottom w:val="0"/>
      <w:divBdr>
        <w:top w:val="none" w:sz="0" w:space="0" w:color="auto"/>
        <w:left w:val="none" w:sz="0" w:space="0" w:color="auto"/>
        <w:bottom w:val="none" w:sz="0" w:space="0" w:color="auto"/>
        <w:right w:val="none" w:sz="0" w:space="0" w:color="auto"/>
      </w:divBdr>
    </w:div>
    <w:div w:id="1937471821">
      <w:bodyDiv w:val="1"/>
      <w:marLeft w:val="0"/>
      <w:marRight w:val="0"/>
      <w:marTop w:val="0"/>
      <w:marBottom w:val="0"/>
      <w:divBdr>
        <w:top w:val="none" w:sz="0" w:space="0" w:color="auto"/>
        <w:left w:val="none" w:sz="0" w:space="0" w:color="auto"/>
        <w:bottom w:val="none" w:sz="0" w:space="0" w:color="auto"/>
        <w:right w:val="none" w:sz="0" w:space="0" w:color="auto"/>
      </w:divBdr>
    </w:div>
    <w:div w:id="2063207497">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xYzOf6g8Y_wH81eNUUbniznkPPFiEqX9247wKY-hso/edit" TargetMode="External"/><Relationship Id="rId13" Type="http://schemas.openxmlformats.org/officeDocument/2006/relationships/hyperlink" Target="https://www.sciencedirect.com/science/article/pii/S0959652618322649" TargetMode="External"/><Relationship Id="rId18" Type="http://schemas.openxmlformats.org/officeDocument/2006/relationships/hyperlink" Target="https://rgs-ibg.onlinelibrary.wiley.com/doi/abs/10.1111/geoj.12256@10.1111/(ISSN)1475-4959.Geography_and_the_Water-Energy-Food_Nexus" TargetMode="Externa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link.springer.com/article/10.1007/s13201-017-0551-3" TargetMode="External"/><Relationship Id="rId17" Type="http://schemas.openxmlformats.org/officeDocument/2006/relationships/hyperlink" Target="https://link.springer.com/article/10.1007/s42108-019-00042-8" TargetMode="External"/><Relationship Id="rId2" Type="http://schemas.openxmlformats.org/officeDocument/2006/relationships/numbering" Target="numbering.xml"/><Relationship Id="rId16" Type="http://schemas.openxmlformats.org/officeDocument/2006/relationships/hyperlink" Target="https://www.sciencedirect.com/science/article/pii/S0959652619321973" TargetMode="External"/><Relationship Id="rId20" Type="http://schemas.openxmlformats.org/officeDocument/2006/relationships/hyperlink" Target="https://www.sciencedirect.com/science/article/pii/S22113398173002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d.org/pubs/tools/TL165.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ps.dtic.mil/dtic/tr/fulltext/u2/1081507.pdf" TargetMode="External"/><Relationship Id="rId23" Type="http://schemas.openxmlformats.org/officeDocument/2006/relationships/fontTable" Target="fontTable.xml"/><Relationship Id="rId10" Type="http://schemas.openxmlformats.org/officeDocument/2006/relationships/hyperlink" Target="https://www.prgs.edu/pardee-initiative/food-energy-water/about.html" TargetMode="External"/><Relationship Id="rId19" Type="http://schemas.openxmlformats.org/officeDocument/2006/relationships/hyperlink" Target="https://www.mdpi.com/2073-4441/7/10/5806/htm" TargetMode="External"/><Relationship Id="rId4" Type="http://schemas.openxmlformats.org/officeDocument/2006/relationships/settings" Target="settings.xml"/><Relationship Id="rId9" Type="http://schemas.openxmlformats.org/officeDocument/2006/relationships/hyperlink" Target="https://iopscience.iop.org/article/10.1088/1748-9326/aabf45/meta" TargetMode="External"/><Relationship Id="rId14" Type="http://schemas.openxmlformats.org/officeDocument/2006/relationships/hyperlink" Target="https://www.sciencedirect.com/science/article/pii/S235255091930158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1065B88-B285-45CD-BE28-E7B3AF78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12099</Words>
  <Characters>68970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64</cp:revision>
  <cp:lastPrinted>2020-04-06T02:46:00Z</cp:lastPrinted>
  <dcterms:created xsi:type="dcterms:W3CDTF">2020-04-05T17:02:00Z</dcterms:created>
  <dcterms:modified xsi:type="dcterms:W3CDTF">2020-04-20T22:10:00Z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id="O5J6j63v"/&gt;&lt;style id="http://www.zotero.org/styles/elsevier-with-titles" hasBibliography="1" bibliographyStyleHasBeenSet="1"/&gt;&lt;prefs&gt;&lt;pref name="fieldType" value="Field"/&gt;&lt;/prefs&gt;&lt;/data&gt;</vt:lpwstr>
  </property>
</Properties>
</file>