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6458BA10" w:rsidR="00F7514B" w:rsidRDefault="00D65611" w:rsidP="008B722F">
      <w:pPr>
        <w:pStyle w:val="Title"/>
        <w:suppressLineNumbers/>
        <w:spacing w:after="240"/>
        <w:rPr>
          <w:b/>
        </w:rPr>
      </w:pPr>
      <w:bookmarkStart w:id="0" w:name="_Hlk36832768"/>
      <w:r>
        <w:rPr>
          <w:b/>
        </w:rPr>
        <w:t>Telescoping into the USA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77777777" w:rsidR="004D0332" w:rsidRDefault="004D0332" w:rsidP="004D0332"/>
    <w:p w14:paraId="1CF19935" w14:textId="2AB40F00" w:rsidR="00F7514B" w:rsidRDefault="00F7514B" w:rsidP="004D0332">
      <w:pPr>
        <w:pStyle w:val="Heading1"/>
        <w:spacing w:after="0" w:line="480" w:lineRule="auto"/>
        <w:jc w:val="both"/>
      </w:pPr>
      <w:r>
        <w:t>Introduction</w:t>
      </w:r>
      <w:bookmarkEnd w:id="3"/>
    </w:p>
    <w:p w14:paraId="7B8F590C" w14:textId="77777777" w:rsidR="00F7514B" w:rsidRDefault="00F7514B" w:rsidP="008B722F">
      <w:pPr>
        <w:spacing w:after="0" w:line="480" w:lineRule="auto"/>
        <w:jc w:val="both"/>
      </w:pPr>
    </w:p>
    <w:p w14:paraId="79B26212" w14:textId="754ED293" w:rsidR="00103C29" w:rsidRDefault="00362AA2" w:rsidP="00362AA2">
      <w:pPr>
        <w:pStyle w:val="Heading2"/>
      </w:pPr>
      <w:r>
        <w:t>Literature Review:</w:t>
      </w:r>
    </w:p>
    <w:p w14:paraId="6BF14623" w14:textId="77777777" w:rsidR="00362AA2" w:rsidRPr="00362AA2" w:rsidRDefault="00362AA2" w:rsidP="00362AA2"/>
    <w:p w14:paraId="35B107B3" w14:textId="39C21FCD" w:rsidR="00362AA2" w:rsidRDefault="00362AA2" w:rsidP="00E966AD">
      <w:pPr>
        <w:spacing w:after="0" w:line="480" w:lineRule="auto"/>
        <w:ind w:firstLine="720"/>
        <w:jc w:val="both"/>
        <w:rPr>
          <w:b/>
          <w:bCs/>
          <w:u w:val="single"/>
        </w:rPr>
      </w:pPr>
      <w:r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92B432A" w14:textId="11FD340A" w:rsidR="00EA3414" w:rsidRDefault="00EA3414" w:rsidP="00EA3414">
      <w:pPr>
        <w:spacing w:after="0" w:line="480" w:lineRule="auto"/>
        <w:jc w:val="both"/>
        <w:rPr>
          <w:b/>
          <w:bCs/>
          <w:u w:val="single"/>
        </w:rPr>
      </w:pPr>
      <w:bookmarkStart w:id="4" w:name="_GoBack"/>
      <w:bookmarkEnd w:id="4"/>
    </w:p>
    <w:p w14:paraId="03727A93" w14:textId="284C84EB" w:rsidR="00EA3414" w:rsidRDefault="00EA3414" w:rsidP="00362AA2">
      <w:pPr>
        <w:spacing w:after="0" w:line="480" w:lineRule="auto"/>
        <w:ind w:firstLine="720"/>
        <w:jc w:val="both"/>
        <w:rPr>
          <w:b/>
          <w:bCs/>
          <w:u w:val="single"/>
        </w:rPr>
      </w:pPr>
      <w:r>
        <w:rPr>
          <w:b/>
          <w:bCs/>
          <w:u w:val="single"/>
        </w:rPr>
        <w:lastRenderedPageBreak/>
        <w:fldChar w:fldCharType="begin"/>
      </w:r>
      <w:r>
        <w:rPr>
          <w:b/>
          <w:bCs/>
          <w:u w:val="single"/>
        </w:rPr>
        <w:instrText xml:space="preserve"> ADDIN ZOTERO_ITEM CSL_CITATION {"citationID":"QLku3L17","properties":{"formattedCitation":"\\super 1\\uc0\\u8211{}31\\nosupersub{}","plainCitation":"1–31","noteIndex":0},"citationItems":[{"id":630,"uris":["http://zotero.org/users/2476381/items/ZWISS3QN"],"uri":["http://zotero.org/users/2476381/items/ZWISS3QN"],"itemData":{"id":630,"type":"article-journal","abstract":"The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Pr="00EA3414">
        <w:rPr>
          <w:rFonts w:ascii="Calibri" w:hAnsi="Calibri" w:cs="Calibri"/>
          <w:szCs w:val="24"/>
          <w:vertAlign w:val="superscript"/>
        </w:rPr>
        <w:t>1–31</w:t>
      </w:r>
      <w:r>
        <w:rPr>
          <w:b/>
          <w:bCs/>
          <w:u w:val="single"/>
        </w:rPr>
        <w:fldChar w:fldCharType="end"/>
      </w:r>
    </w:p>
    <w:p w14:paraId="373F5FF4" w14:textId="77777777" w:rsidR="00EA3414" w:rsidRPr="00EA3414" w:rsidRDefault="00EA3414" w:rsidP="00EA3414">
      <w:pPr>
        <w:pStyle w:val="Bibliography"/>
        <w:rPr>
          <w:rFonts w:ascii="Times New Roman" w:hAnsi="Times New Roman" w:cs="Times New Roman"/>
          <w:sz w:val="24"/>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EA3414">
        <w:rPr>
          <w:rFonts w:ascii="Times New Roman" w:hAnsi="Times New Roman" w:cs="Times New Roman"/>
          <w:sz w:val="24"/>
        </w:rPr>
        <w:t>1.</w:t>
      </w:r>
      <w:r w:rsidRPr="00EA3414">
        <w:rPr>
          <w:rFonts w:ascii="Times New Roman" w:hAnsi="Times New Roman" w:cs="Times New Roman"/>
          <w:sz w:val="24"/>
        </w:rPr>
        <w:tab/>
      </w:r>
      <w:proofErr w:type="spellStart"/>
      <w:r w:rsidRPr="00EA3414">
        <w:rPr>
          <w:rFonts w:ascii="Times New Roman" w:hAnsi="Times New Roman" w:cs="Times New Roman"/>
          <w:sz w:val="24"/>
        </w:rPr>
        <w:t>Abulibdeh</w:t>
      </w:r>
      <w:proofErr w:type="spellEnd"/>
      <w:r w:rsidRPr="00EA3414">
        <w:rPr>
          <w:rFonts w:ascii="Times New Roman" w:hAnsi="Times New Roman" w:cs="Times New Roman"/>
          <w:sz w:val="24"/>
        </w:rPr>
        <w:t xml:space="preserve">, A. &amp; </w:t>
      </w:r>
      <w:proofErr w:type="spellStart"/>
      <w:r w:rsidRPr="00EA3414">
        <w:rPr>
          <w:rFonts w:ascii="Times New Roman" w:hAnsi="Times New Roman" w:cs="Times New Roman"/>
          <w:sz w:val="24"/>
        </w:rPr>
        <w:t>Zaidan</w:t>
      </w:r>
      <w:proofErr w:type="spellEnd"/>
      <w:r w:rsidRPr="00EA3414">
        <w:rPr>
          <w:rFonts w:ascii="Times New Roman" w:hAnsi="Times New Roman" w:cs="Times New Roman"/>
          <w:sz w:val="24"/>
        </w:rPr>
        <w:t xml:space="preserve">, E. Managing the water-energy-food nexus on an integrated geographical scale. </w:t>
      </w:r>
      <w:r w:rsidRPr="00EA3414">
        <w:rPr>
          <w:rFonts w:ascii="Times New Roman" w:hAnsi="Times New Roman" w:cs="Times New Roman"/>
          <w:i/>
          <w:iCs/>
          <w:sz w:val="24"/>
        </w:rPr>
        <w:t>Environmental Development</w:t>
      </w:r>
      <w:r w:rsidRPr="00EA3414">
        <w:rPr>
          <w:rFonts w:ascii="Times New Roman" w:hAnsi="Times New Roman" w:cs="Times New Roman"/>
          <w:sz w:val="24"/>
        </w:rPr>
        <w:t xml:space="preserve"> 100498 (2020) doi:10.1016/j.envdev.2020.100498.</w:t>
      </w:r>
    </w:p>
    <w:p w14:paraId="1550D8E1"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w:t>
      </w:r>
      <w:r w:rsidRPr="00EA3414">
        <w:rPr>
          <w:rFonts w:ascii="Times New Roman" w:hAnsi="Times New Roman" w:cs="Times New Roman"/>
          <w:sz w:val="24"/>
        </w:rPr>
        <w:tab/>
        <w:t xml:space="preserve">Albrecht, T. R., </w:t>
      </w:r>
      <w:proofErr w:type="spellStart"/>
      <w:r w:rsidRPr="00EA3414">
        <w:rPr>
          <w:rFonts w:ascii="Times New Roman" w:hAnsi="Times New Roman" w:cs="Times New Roman"/>
          <w:sz w:val="24"/>
        </w:rPr>
        <w:t>Crootof</w:t>
      </w:r>
      <w:proofErr w:type="spellEnd"/>
      <w:r w:rsidRPr="00EA3414">
        <w:rPr>
          <w:rFonts w:ascii="Times New Roman" w:hAnsi="Times New Roman" w:cs="Times New Roman"/>
          <w:sz w:val="24"/>
        </w:rPr>
        <w:t xml:space="preserve">, A. &amp; Scott, C. A. The Water-Energy-Food Nexus: A systematic review of methods for nexus assessment. </w:t>
      </w:r>
      <w:r w:rsidRPr="00EA3414">
        <w:rPr>
          <w:rFonts w:ascii="Times New Roman" w:hAnsi="Times New Roman" w:cs="Times New Roman"/>
          <w:i/>
          <w:iCs/>
          <w:sz w:val="24"/>
        </w:rPr>
        <w:t>Environmental Research Letters</w:t>
      </w:r>
      <w:r w:rsidRPr="00EA3414">
        <w:rPr>
          <w:rFonts w:ascii="Times New Roman" w:hAnsi="Times New Roman" w:cs="Times New Roman"/>
          <w:sz w:val="24"/>
        </w:rPr>
        <w:t xml:space="preserve"> </w:t>
      </w:r>
      <w:r w:rsidRPr="00EA3414">
        <w:rPr>
          <w:rFonts w:ascii="Times New Roman" w:hAnsi="Times New Roman" w:cs="Times New Roman"/>
          <w:b/>
          <w:bCs/>
          <w:sz w:val="24"/>
        </w:rPr>
        <w:t>13</w:t>
      </w:r>
      <w:r w:rsidRPr="00EA3414">
        <w:rPr>
          <w:rFonts w:ascii="Times New Roman" w:hAnsi="Times New Roman" w:cs="Times New Roman"/>
          <w:sz w:val="24"/>
        </w:rPr>
        <w:t>, 043002 (2018).</w:t>
      </w:r>
    </w:p>
    <w:p w14:paraId="599CDCEB"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3.</w:t>
      </w:r>
      <w:r w:rsidRPr="00EA3414">
        <w:rPr>
          <w:rFonts w:ascii="Times New Roman" w:hAnsi="Times New Roman" w:cs="Times New Roman"/>
          <w:sz w:val="24"/>
        </w:rPr>
        <w:tab/>
      </w:r>
      <w:proofErr w:type="spellStart"/>
      <w:r w:rsidRPr="00EA3414">
        <w:rPr>
          <w:rFonts w:ascii="Times New Roman" w:hAnsi="Times New Roman" w:cs="Times New Roman"/>
          <w:sz w:val="24"/>
        </w:rPr>
        <w:t>Bazilian</w:t>
      </w:r>
      <w:proofErr w:type="spellEnd"/>
      <w:r w:rsidRPr="00EA3414">
        <w:rPr>
          <w:rFonts w:ascii="Times New Roman" w:hAnsi="Times New Roman" w:cs="Times New Roman"/>
          <w:sz w:val="24"/>
        </w:rPr>
        <w:t xml:space="preserve">, M. </w:t>
      </w:r>
      <w:r w:rsidRPr="00EA3414">
        <w:rPr>
          <w:rFonts w:ascii="Times New Roman" w:hAnsi="Times New Roman" w:cs="Times New Roman"/>
          <w:i/>
          <w:iCs/>
          <w:sz w:val="24"/>
        </w:rPr>
        <w:t>et al.</w:t>
      </w:r>
      <w:r w:rsidRPr="00EA3414">
        <w:rPr>
          <w:rFonts w:ascii="Times New Roman" w:hAnsi="Times New Roman" w:cs="Times New Roman"/>
          <w:sz w:val="24"/>
        </w:rPr>
        <w:t xml:space="preserve"> Considering the energy, water and food nexus: Towards an integrated modelling approach. </w:t>
      </w:r>
      <w:r w:rsidRPr="00EA3414">
        <w:rPr>
          <w:rFonts w:ascii="Times New Roman" w:hAnsi="Times New Roman" w:cs="Times New Roman"/>
          <w:i/>
          <w:iCs/>
          <w:sz w:val="24"/>
        </w:rPr>
        <w:t>Energy Policy</w:t>
      </w:r>
      <w:r w:rsidRPr="00EA3414">
        <w:rPr>
          <w:rFonts w:ascii="Times New Roman" w:hAnsi="Times New Roman" w:cs="Times New Roman"/>
          <w:sz w:val="24"/>
        </w:rPr>
        <w:t xml:space="preserve"> </w:t>
      </w:r>
      <w:r w:rsidRPr="00EA3414">
        <w:rPr>
          <w:rFonts w:ascii="Times New Roman" w:hAnsi="Times New Roman" w:cs="Times New Roman"/>
          <w:b/>
          <w:bCs/>
          <w:sz w:val="24"/>
        </w:rPr>
        <w:t>39</w:t>
      </w:r>
      <w:r w:rsidRPr="00EA3414">
        <w:rPr>
          <w:rFonts w:ascii="Times New Roman" w:hAnsi="Times New Roman" w:cs="Times New Roman"/>
          <w:sz w:val="24"/>
        </w:rPr>
        <w:t>, 7896–7906 (2011).</w:t>
      </w:r>
    </w:p>
    <w:p w14:paraId="71D41183"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4.</w:t>
      </w:r>
      <w:r w:rsidRPr="00EA3414">
        <w:rPr>
          <w:rFonts w:ascii="Times New Roman" w:hAnsi="Times New Roman" w:cs="Times New Roman"/>
          <w:sz w:val="24"/>
        </w:rPr>
        <w:tab/>
      </w:r>
      <w:proofErr w:type="spellStart"/>
      <w:r w:rsidRPr="00EA3414">
        <w:rPr>
          <w:rFonts w:ascii="Times New Roman" w:hAnsi="Times New Roman" w:cs="Times New Roman"/>
          <w:sz w:val="24"/>
        </w:rPr>
        <w:t>Cremades</w:t>
      </w:r>
      <w:proofErr w:type="spellEnd"/>
      <w:r w:rsidRPr="00EA3414">
        <w:rPr>
          <w:rFonts w:ascii="Times New Roman" w:hAnsi="Times New Roman" w:cs="Times New Roman"/>
          <w:sz w:val="24"/>
        </w:rPr>
        <w:t xml:space="preserve">, R. </w:t>
      </w:r>
      <w:r w:rsidRPr="00EA3414">
        <w:rPr>
          <w:rFonts w:ascii="Times New Roman" w:hAnsi="Times New Roman" w:cs="Times New Roman"/>
          <w:i/>
          <w:iCs/>
          <w:sz w:val="24"/>
        </w:rPr>
        <w:t>et al.</w:t>
      </w:r>
      <w:r w:rsidRPr="00EA3414">
        <w:rPr>
          <w:rFonts w:ascii="Times New Roman" w:hAnsi="Times New Roman" w:cs="Times New Roman"/>
          <w:sz w:val="24"/>
        </w:rPr>
        <w:t xml:space="preserve"> Ten principles to integrate the water-energy-land nexus with climate services for co-producing local and regional integrated assessments. </w:t>
      </w:r>
      <w:r w:rsidRPr="00EA3414">
        <w:rPr>
          <w:rFonts w:ascii="Times New Roman" w:hAnsi="Times New Roman" w:cs="Times New Roman"/>
          <w:i/>
          <w:iCs/>
          <w:sz w:val="24"/>
        </w:rPr>
        <w:t>Science of The Total Environment</w:t>
      </w:r>
      <w:r w:rsidRPr="00EA3414">
        <w:rPr>
          <w:rFonts w:ascii="Times New Roman" w:hAnsi="Times New Roman" w:cs="Times New Roman"/>
          <w:sz w:val="24"/>
        </w:rPr>
        <w:t xml:space="preserve"> </w:t>
      </w:r>
      <w:r w:rsidRPr="00EA3414">
        <w:rPr>
          <w:rFonts w:ascii="Times New Roman" w:hAnsi="Times New Roman" w:cs="Times New Roman"/>
          <w:b/>
          <w:bCs/>
          <w:sz w:val="24"/>
        </w:rPr>
        <w:t>693</w:t>
      </w:r>
      <w:r w:rsidRPr="00EA3414">
        <w:rPr>
          <w:rFonts w:ascii="Times New Roman" w:hAnsi="Times New Roman" w:cs="Times New Roman"/>
          <w:sz w:val="24"/>
        </w:rPr>
        <w:t>, 133662 (2019).</w:t>
      </w:r>
    </w:p>
    <w:p w14:paraId="6FB0CF3D"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5.</w:t>
      </w:r>
      <w:r w:rsidRPr="00EA3414">
        <w:rPr>
          <w:rFonts w:ascii="Times New Roman" w:hAnsi="Times New Roman" w:cs="Times New Roman"/>
          <w:sz w:val="24"/>
        </w:rPr>
        <w:tab/>
        <w:t xml:space="preserve">de Strasser, L., </w:t>
      </w:r>
      <w:proofErr w:type="spellStart"/>
      <w:r w:rsidRPr="00EA3414">
        <w:rPr>
          <w:rFonts w:ascii="Times New Roman" w:hAnsi="Times New Roman" w:cs="Times New Roman"/>
          <w:sz w:val="24"/>
        </w:rPr>
        <w:t>Lipponen</w:t>
      </w:r>
      <w:proofErr w:type="spellEnd"/>
      <w:r w:rsidRPr="00EA3414">
        <w:rPr>
          <w:rFonts w:ascii="Times New Roman" w:hAnsi="Times New Roman" w:cs="Times New Roman"/>
          <w:sz w:val="24"/>
        </w:rPr>
        <w:t xml:space="preserve">, A., Howells, M., </w:t>
      </w:r>
      <w:proofErr w:type="spellStart"/>
      <w:r w:rsidRPr="00EA3414">
        <w:rPr>
          <w:rFonts w:ascii="Times New Roman" w:hAnsi="Times New Roman" w:cs="Times New Roman"/>
          <w:sz w:val="24"/>
        </w:rPr>
        <w:t>Stec</w:t>
      </w:r>
      <w:proofErr w:type="spellEnd"/>
      <w:r w:rsidRPr="00EA3414">
        <w:rPr>
          <w:rFonts w:ascii="Times New Roman" w:hAnsi="Times New Roman" w:cs="Times New Roman"/>
          <w:sz w:val="24"/>
        </w:rPr>
        <w:t xml:space="preserve">, S. &amp; </w:t>
      </w:r>
      <w:proofErr w:type="spellStart"/>
      <w:r w:rsidRPr="00EA3414">
        <w:rPr>
          <w:rFonts w:ascii="Times New Roman" w:hAnsi="Times New Roman" w:cs="Times New Roman"/>
          <w:sz w:val="24"/>
        </w:rPr>
        <w:t>Bréthaut</w:t>
      </w:r>
      <w:proofErr w:type="spellEnd"/>
      <w:r w:rsidRPr="00EA3414">
        <w:rPr>
          <w:rFonts w:ascii="Times New Roman" w:hAnsi="Times New Roman" w:cs="Times New Roman"/>
          <w:sz w:val="24"/>
        </w:rPr>
        <w:t xml:space="preserve">, C. A Methodology to Assess the Water Energy Food Ecosystems Nexus in Transboundary River Basins. </w:t>
      </w:r>
      <w:r w:rsidRPr="00EA3414">
        <w:rPr>
          <w:rFonts w:ascii="Times New Roman" w:hAnsi="Times New Roman" w:cs="Times New Roman"/>
          <w:i/>
          <w:iCs/>
          <w:sz w:val="24"/>
        </w:rPr>
        <w:t>Water</w:t>
      </w:r>
      <w:r w:rsidRPr="00EA3414">
        <w:rPr>
          <w:rFonts w:ascii="Times New Roman" w:hAnsi="Times New Roman" w:cs="Times New Roman"/>
          <w:sz w:val="24"/>
        </w:rPr>
        <w:t xml:space="preserve"> </w:t>
      </w:r>
      <w:r w:rsidRPr="00EA3414">
        <w:rPr>
          <w:rFonts w:ascii="Times New Roman" w:hAnsi="Times New Roman" w:cs="Times New Roman"/>
          <w:b/>
          <w:bCs/>
          <w:sz w:val="24"/>
        </w:rPr>
        <w:t>8</w:t>
      </w:r>
      <w:r w:rsidRPr="00EA3414">
        <w:rPr>
          <w:rFonts w:ascii="Times New Roman" w:hAnsi="Times New Roman" w:cs="Times New Roman"/>
          <w:sz w:val="24"/>
        </w:rPr>
        <w:t>, 59 (2016).</w:t>
      </w:r>
    </w:p>
    <w:p w14:paraId="6D0B52B7"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6.</w:t>
      </w:r>
      <w:r w:rsidRPr="00EA3414">
        <w:rPr>
          <w:rFonts w:ascii="Times New Roman" w:hAnsi="Times New Roman" w:cs="Times New Roman"/>
          <w:sz w:val="24"/>
        </w:rPr>
        <w:tab/>
        <w:t xml:space="preserve">Endo, A., </w:t>
      </w:r>
      <w:proofErr w:type="spellStart"/>
      <w:r w:rsidRPr="00EA3414">
        <w:rPr>
          <w:rFonts w:ascii="Times New Roman" w:hAnsi="Times New Roman" w:cs="Times New Roman"/>
          <w:sz w:val="24"/>
        </w:rPr>
        <w:t>Tsurita</w:t>
      </w:r>
      <w:proofErr w:type="spellEnd"/>
      <w:r w:rsidRPr="00EA3414">
        <w:rPr>
          <w:rFonts w:ascii="Times New Roman" w:hAnsi="Times New Roman" w:cs="Times New Roman"/>
          <w:sz w:val="24"/>
        </w:rPr>
        <w:t xml:space="preserve">, I., Burnett, K. &amp; </w:t>
      </w:r>
      <w:proofErr w:type="spellStart"/>
      <w:r w:rsidRPr="00EA3414">
        <w:rPr>
          <w:rFonts w:ascii="Times New Roman" w:hAnsi="Times New Roman" w:cs="Times New Roman"/>
          <w:sz w:val="24"/>
        </w:rPr>
        <w:t>Orencio</w:t>
      </w:r>
      <w:proofErr w:type="spellEnd"/>
      <w:r w:rsidRPr="00EA3414">
        <w:rPr>
          <w:rFonts w:ascii="Times New Roman" w:hAnsi="Times New Roman" w:cs="Times New Roman"/>
          <w:sz w:val="24"/>
        </w:rPr>
        <w:t xml:space="preserve">, P. M. A review of the current state of research on the water, energy, and food nexus. </w:t>
      </w:r>
      <w:r w:rsidRPr="00EA3414">
        <w:rPr>
          <w:rFonts w:ascii="Times New Roman" w:hAnsi="Times New Roman" w:cs="Times New Roman"/>
          <w:i/>
          <w:iCs/>
          <w:sz w:val="24"/>
        </w:rPr>
        <w:t>Journal of Hydrology: Regional Studies</w:t>
      </w:r>
      <w:r w:rsidRPr="00EA3414">
        <w:rPr>
          <w:rFonts w:ascii="Times New Roman" w:hAnsi="Times New Roman" w:cs="Times New Roman"/>
          <w:sz w:val="24"/>
        </w:rPr>
        <w:t xml:space="preserve"> </w:t>
      </w:r>
      <w:r w:rsidRPr="00EA3414">
        <w:rPr>
          <w:rFonts w:ascii="Times New Roman" w:hAnsi="Times New Roman" w:cs="Times New Roman"/>
          <w:b/>
          <w:bCs/>
          <w:sz w:val="24"/>
        </w:rPr>
        <w:t>11</w:t>
      </w:r>
      <w:r w:rsidRPr="00EA3414">
        <w:rPr>
          <w:rFonts w:ascii="Times New Roman" w:hAnsi="Times New Roman" w:cs="Times New Roman"/>
          <w:sz w:val="24"/>
        </w:rPr>
        <w:t>, 20–30 (2017).</w:t>
      </w:r>
    </w:p>
    <w:p w14:paraId="6671248C"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7.</w:t>
      </w:r>
      <w:r w:rsidRPr="00EA3414">
        <w:rPr>
          <w:rFonts w:ascii="Times New Roman" w:hAnsi="Times New Roman" w:cs="Times New Roman"/>
          <w:sz w:val="24"/>
        </w:rPr>
        <w:tab/>
        <w:t xml:space="preserve">Gober, P. Hidden Vulnerabilities in the Water-Energy-Land-Food (WELF) Nexus. in </w:t>
      </w:r>
      <w:r w:rsidRPr="00EA3414">
        <w:rPr>
          <w:rFonts w:ascii="Times New Roman" w:hAnsi="Times New Roman" w:cs="Times New Roman"/>
          <w:i/>
          <w:iCs/>
          <w:sz w:val="24"/>
        </w:rPr>
        <w:t>Building Resilience for Uncertain Water Futures</w:t>
      </w:r>
      <w:r w:rsidRPr="00EA3414">
        <w:rPr>
          <w:rFonts w:ascii="Times New Roman" w:hAnsi="Times New Roman" w:cs="Times New Roman"/>
          <w:sz w:val="24"/>
        </w:rPr>
        <w:t xml:space="preserve"> (ed. Gober, P.) 61–89 (Springer International Publishing, 2018). doi:10.1007/978-3-319-71234-5_4.</w:t>
      </w:r>
    </w:p>
    <w:p w14:paraId="1D94089F"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8.</w:t>
      </w:r>
      <w:r w:rsidRPr="00EA3414">
        <w:rPr>
          <w:rFonts w:ascii="Times New Roman" w:hAnsi="Times New Roman" w:cs="Times New Roman"/>
          <w:sz w:val="24"/>
        </w:rPr>
        <w:tab/>
        <w:t xml:space="preserve">Ibrahim, M. D., Ferreira, D. C., </w:t>
      </w:r>
      <w:proofErr w:type="spellStart"/>
      <w:r w:rsidRPr="00EA3414">
        <w:rPr>
          <w:rFonts w:ascii="Times New Roman" w:hAnsi="Times New Roman" w:cs="Times New Roman"/>
          <w:sz w:val="24"/>
        </w:rPr>
        <w:t>Daneshvar</w:t>
      </w:r>
      <w:proofErr w:type="spellEnd"/>
      <w:r w:rsidRPr="00EA3414">
        <w:rPr>
          <w:rFonts w:ascii="Times New Roman" w:hAnsi="Times New Roman" w:cs="Times New Roman"/>
          <w:sz w:val="24"/>
        </w:rPr>
        <w:t xml:space="preserve">, S. &amp; Marques, R. C. Transnational resource generativity: Efficiency analysis and target setting of water, energy, land, and food nexus for OECD countries. </w:t>
      </w:r>
      <w:r w:rsidRPr="00EA3414">
        <w:rPr>
          <w:rFonts w:ascii="Times New Roman" w:hAnsi="Times New Roman" w:cs="Times New Roman"/>
          <w:i/>
          <w:iCs/>
          <w:sz w:val="24"/>
        </w:rPr>
        <w:t>Science of The Total Environment</w:t>
      </w:r>
      <w:r w:rsidRPr="00EA3414">
        <w:rPr>
          <w:rFonts w:ascii="Times New Roman" w:hAnsi="Times New Roman" w:cs="Times New Roman"/>
          <w:sz w:val="24"/>
        </w:rPr>
        <w:t xml:space="preserve"> </w:t>
      </w:r>
      <w:r w:rsidRPr="00EA3414">
        <w:rPr>
          <w:rFonts w:ascii="Times New Roman" w:hAnsi="Times New Roman" w:cs="Times New Roman"/>
          <w:b/>
          <w:bCs/>
          <w:sz w:val="24"/>
        </w:rPr>
        <w:t>697</w:t>
      </w:r>
      <w:r w:rsidRPr="00EA3414">
        <w:rPr>
          <w:rFonts w:ascii="Times New Roman" w:hAnsi="Times New Roman" w:cs="Times New Roman"/>
          <w:sz w:val="24"/>
        </w:rPr>
        <w:t>, 134017 (2019).</w:t>
      </w:r>
    </w:p>
    <w:p w14:paraId="531B759B"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lastRenderedPageBreak/>
        <w:t>9.</w:t>
      </w:r>
      <w:r w:rsidRPr="00EA3414">
        <w:rPr>
          <w:rFonts w:ascii="Times New Roman" w:hAnsi="Times New Roman" w:cs="Times New Roman"/>
          <w:sz w:val="24"/>
        </w:rPr>
        <w:tab/>
        <w:t xml:space="preserve">Johnson, N. </w:t>
      </w:r>
      <w:r w:rsidRPr="00EA3414">
        <w:rPr>
          <w:rFonts w:ascii="Times New Roman" w:hAnsi="Times New Roman" w:cs="Times New Roman"/>
          <w:i/>
          <w:iCs/>
          <w:sz w:val="24"/>
        </w:rPr>
        <w:t>et al.</w:t>
      </w:r>
      <w:r w:rsidRPr="00EA3414">
        <w:rPr>
          <w:rFonts w:ascii="Times New Roman" w:hAnsi="Times New Roman" w:cs="Times New Roman"/>
          <w:sz w:val="24"/>
        </w:rPr>
        <w:t xml:space="preserve"> Integrated Solutions for the Water-Energy-Land Nexus: Are Global Models Rising to the Challenge? </w:t>
      </w:r>
      <w:r w:rsidRPr="00EA3414">
        <w:rPr>
          <w:rFonts w:ascii="Times New Roman" w:hAnsi="Times New Roman" w:cs="Times New Roman"/>
          <w:i/>
          <w:iCs/>
          <w:sz w:val="24"/>
        </w:rPr>
        <w:t>Water</w:t>
      </w:r>
      <w:r w:rsidRPr="00EA3414">
        <w:rPr>
          <w:rFonts w:ascii="Times New Roman" w:hAnsi="Times New Roman" w:cs="Times New Roman"/>
          <w:sz w:val="24"/>
        </w:rPr>
        <w:t xml:space="preserve"> </w:t>
      </w:r>
      <w:r w:rsidRPr="00EA3414">
        <w:rPr>
          <w:rFonts w:ascii="Times New Roman" w:hAnsi="Times New Roman" w:cs="Times New Roman"/>
          <w:b/>
          <w:bCs/>
          <w:sz w:val="24"/>
        </w:rPr>
        <w:t>11</w:t>
      </w:r>
      <w:r w:rsidRPr="00EA3414">
        <w:rPr>
          <w:rFonts w:ascii="Times New Roman" w:hAnsi="Times New Roman" w:cs="Times New Roman"/>
          <w:sz w:val="24"/>
        </w:rPr>
        <w:t>, 2223 (2019).</w:t>
      </w:r>
    </w:p>
    <w:p w14:paraId="5F7B9DD6"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10.</w:t>
      </w:r>
      <w:r w:rsidRPr="00EA3414">
        <w:rPr>
          <w:rFonts w:ascii="Times New Roman" w:hAnsi="Times New Roman" w:cs="Times New Roman"/>
          <w:sz w:val="24"/>
        </w:rPr>
        <w:tab/>
      </w:r>
      <w:proofErr w:type="spellStart"/>
      <w:r w:rsidRPr="00EA3414">
        <w:rPr>
          <w:rFonts w:ascii="Times New Roman" w:hAnsi="Times New Roman" w:cs="Times New Roman"/>
          <w:sz w:val="24"/>
        </w:rPr>
        <w:t>Kahil</w:t>
      </w:r>
      <w:proofErr w:type="spellEnd"/>
      <w:r w:rsidRPr="00EA3414">
        <w:rPr>
          <w:rFonts w:ascii="Times New Roman" w:hAnsi="Times New Roman" w:cs="Times New Roman"/>
          <w:sz w:val="24"/>
        </w:rPr>
        <w:t xml:space="preserve">, T. </w:t>
      </w:r>
      <w:r w:rsidRPr="00EA3414">
        <w:rPr>
          <w:rFonts w:ascii="Times New Roman" w:hAnsi="Times New Roman" w:cs="Times New Roman"/>
          <w:i/>
          <w:iCs/>
          <w:sz w:val="24"/>
        </w:rPr>
        <w:t>et al.</w:t>
      </w:r>
      <w:r w:rsidRPr="00EA3414">
        <w:rPr>
          <w:rFonts w:ascii="Times New Roman" w:hAnsi="Times New Roman" w:cs="Times New Roman"/>
          <w:sz w:val="24"/>
        </w:rPr>
        <w:t xml:space="preserve"> A Continental-Scale </w:t>
      </w:r>
      <w:proofErr w:type="spellStart"/>
      <w:r w:rsidRPr="00EA3414">
        <w:rPr>
          <w:rFonts w:ascii="Times New Roman" w:hAnsi="Times New Roman" w:cs="Times New Roman"/>
          <w:sz w:val="24"/>
        </w:rPr>
        <w:t>Hydroeconomic</w:t>
      </w:r>
      <w:proofErr w:type="spellEnd"/>
      <w:r w:rsidRPr="00EA3414">
        <w:rPr>
          <w:rFonts w:ascii="Times New Roman" w:hAnsi="Times New Roman" w:cs="Times New Roman"/>
          <w:sz w:val="24"/>
        </w:rPr>
        <w:t xml:space="preserve"> Model for Integrating Water-Energy-Land Nexus Solutions. </w:t>
      </w:r>
      <w:r w:rsidRPr="00EA3414">
        <w:rPr>
          <w:rFonts w:ascii="Times New Roman" w:hAnsi="Times New Roman" w:cs="Times New Roman"/>
          <w:i/>
          <w:iCs/>
          <w:sz w:val="24"/>
        </w:rPr>
        <w:t>Water Resources Research</w:t>
      </w:r>
      <w:r w:rsidRPr="00EA3414">
        <w:rPr>
          <w:rFonts w:ascii="Times New Roman" w:hAnsi="Times New Roman" w:cs="Times New Roman"/>
          <w:sz w:val="24"/>
        </w:rPr>
        <w:t xml:space="preserve"> 7511–7533 (2017) doi:10.1029/2017WR022478@10.1002/(ISSN)1944-7973.HESSS4.</w:t>
      </w:r>
    </w:p>
    <w:p w14:paraId="2463157A"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11.</w:t>
      </w:r>
      <w:r w:rsidRPr="00EA3414">
        <w:rPr>
          <w:rFonts w:ascii="Times New Roman" w:hAnsi="Times New Roman" w:cs="Times New Roman"/>
          <w:sz w:val="24"/>
        </w:rPr>
        <w:tab/>
      </w:r>
      <w:r w:rsidRPr="00EA3414">
        <w:rPr>
          <w:rFonts w:ascii="Times New Roman" w:hAnsi="Times New Roman" w:cs="Times New Roman"/>
          <w:i/>
          <w:iCs/>
          <w:sz w:val="24"/>
        </w:rPr>
        <w:t>Governing the Nexus: Water, Soil and Waste Resources Considering Global Change</w:t>
      </w:r>
      <w:r w:rsidRPr="00EA3414">
        <w:rPr>
          <w:rFonts w:ascii="Times New Roman" w:hAnsi="Times New Roman" w:cs="Times New Roman"/>
          <w:sz w:val="24"/>
        </w:rPr>
        <w:t>. (Springer International Publishing, 2015). doi:10.1007/978-3-319-05747-7.</w:t>
      </w:r>
    </w:p>
    <w:p w14:paraId="083BB108"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12.</w:t>
      </w:r>
      <w:r w:rsidRPr="00EA3414">
        <w:rPr>
          <w:rFonts w:ascii="Times New Roman" w:hAnsi="Times New Roman" w:cs="Times New Roman"/>
          <w:sz w:val="24"/>
        </w:rPr>
        <w:tab/>
      </w:r>
      <w:proofErr w:type="spellStart"/>
      <w:r w:rsidRPr="00EA3414">
        <w:rPr>
          <w:rFonts w:ascii="Times New Roman" w:hAnsi="Times New Roman" w:cs="Times New Roman"/>
          <w:sz w:val="24"/>
        </w:rPr>
        <w:t>Lechón</w:t>
      </w:r>
      <w:proofErr w:type="spellEnd"/>
      <w:r w:rsidRPr="00EA3414">
        <w:rPr>
          <w:rFonts w:ascii="Times New Roman" w:hAnsi="Times New Roman" w:cs="Times New Roman"/>
          <w:sz w:val="24"/>
        </w:rPr>
        <w:t xml:space="preserve">, Y., De La </w:t>
      </w:r>
      <w:proofErr w:type="spellStart"/>
      <w:r w:rsidRPr="00EA3414">
        <w:rPr>
          <w:rFonts w:ascii="Times New Roman" w:hAnsi="Times New Roman" w:cs="Times New Roman"/>
          <w:sz w:val="24"/>
        </w:rPr>
        <w:t>Rúa</w:t>
      </w:r>
      <w:proofErr w:type="spellEnd"/>
      <w:r w:rsidRPr="00EA3414">
        <w:rPr>
          <w:rFonts w:ascii="Times New Roman" w:hAnsi="Times New Roman" w:cs="Times New Roman"/>
          <w:sz w:val="24"/>
        </w:rPr>
        <w:t xml:space="preserve">, C. &amp; Cabal, H. Impacts of </w:t>
      </w:r>
      <w:proofErr w:type="spellStart"/>
      <w:r w:rsidRPr="00EA3414">
        <w:rPr>
          <w:rFonts w:ascii="Times New Roman" w:hAnsi="Times New Roman" w:cs="Times New Roman"/>
          <w:sz w:val="24"/>
        </w:rPr>
        <w:t>Decarbonisation</w:t>
      </w:r>
      <w:proofErr w:type="spellEnd"/>
      <w:r w:rsidRPr="00EA3414">
        <w:rPr>
          <w:rFonts w:ascii="Times New Roman" w:hAnsi="Times New Roman" w:cs="Times New Roman"/>
          <w:sz w:val="24"/>
        </w:rPr>
        <w:t xml:space="preserve"> on the Water-Energy-Land (WEL) Nexus: A Case Study of the Spanish Electricity Sector. </w:t>
      </w:r>
      <w:r w:rsidRPr="00EA3414">
        <w:rPr>
          <w:rFonts w:ascii="Times New Roman" w:hAnsi="Times New Roman" w:cs="Times New Roman"/>
          <w:i/>
          <w:iCs/>
          <w:sz w:val="24"/>
        </w:rPr>
        <w:t>Energies</w:t>
      </w:r>
      <w:r w:rsidRPr="00EA3414">
        <w:rPr>
          <w:rFonts w:ascii="Times New Roman" w:hAnsi="Times New Roman" w:cs="Times New Roman"/>
          <w:sz w:val="24"/>
        </w:rPr>
        <w:t xml:space="preserve"> </w:t>
      </w:r>
      <w:r w:rsidRPr="00EA3414">
        <w:rPr>
          <w:rFonts w:ascii="Times New Roman" w:hAnsi="Times New Roman" w:cs="Times New Roman"/>
          <w:b/>
          <w:bCs/>
          <w:sz w:val="24"/>
        </w:rPr>
        <w:t>11</w:t>
      </w:r>
      <w:r w:rsidRPr="00EA3414">
        <w:rPr>
          <w:rFonts w:ascii="Times New Roman" w:hAnsi="Times New Roman" w:cs="Times New Roman"/>
          <w:sz w:val="24"/>
        </w:rPr>
        <w:t>, 1203 (2018).</w:t>
      </w:r>
    </w:p>
    <w:p w14:paraId="75032CDC"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13.</w:t>
      </w:r>
      <w:r w:rsidRPr="00EA3414">
        <w:rPr>
          <w:rFonts w:ascii="Times New Roman" w:hAnsi="Times New Roman" w:cs="Times New Roman"/>
          <w:sz w:val="24"/>
        </w:rPr>
        <w:tab/>
        <w:t xml:space="preserve">Liu, J. </w:t>
      </w:r>
      <w:r w:rsidRPr="00EA3414">
        <w:rPr>
          <w:rFonts w:ascii="Times New Roman" w:hAnsi="Times New Roman" w:cs="Times New Roman"/>
          <w:i/>
          <w:iCs/>
          <w:sz w:val="24"/>
        </w:rPr>
        <w:t>et al.</w:t>
      </w:r>
      <w:r w:rsidRPr="00EA3414">
        <w:rPr>
          <w:rFonts w:ascii="Times New Roman" w:hAnsi="Times New Roman" w:cs="Times New Roman"/>
          <w:sz w:val="24"/>
        </w:rPr>
        <w:t xml:space="preserve"> Nexus approaches to global sustainable development. </w:t>
      </w:r>
      <w:r w:rsidRPr="00EA3414">
        <w:rPr>
          <w:rFonts w:ascii="Times New Roman" w:hAnsi="Times New Roman" w:cs="Times New Roman"/>
          <w:i/>
          <w:iCs/>
          <w:sz w:val="24"/>
        </w:rPr>
        <w:t>Nature Sustainability</w:t>
      </w:r>
      <w:r w:rsidRPr="00EA3414">
        <w:rPr>
          <w:rFonts w:ascii="Times New Roman" w:hAnsi="Times New Roman" w:cs="Times New Roman"/>
          <w:sz w:val="24"/>
        </w:rPr>
        <w:t xml:space="preserve"> </w:t>
      </w:r>
      <w:r w:rsidRPr="00EA3414">
        <w:rPr>
          <w:rFonts w:ascii="Times New Roman" w:hAnsi="Times New Roman" w:cs="Times New Roman"/>
          <w:b/>
          <w:bCs/>
          <w:sz w:val="24"/>
        </w:rPr>
        <w:t>1</w:t>
      </w:r>
      <w:r w:rsidRPr="00EA3414">
        <w:rPr>
          <w:rFonts w:ascii="Times New Roman" w:hAnsi="Times New Roman" w:cs="Times New Roman"/>
          <w:sz w:val="24"/>
        </w:rPr>
        <w:t>, 466–476 (2018).</w:t>
      </w:r>
    </w:p>
    <w:p w14:paraId="15DCF387"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14.</w:t>
      </w:r>
      <w:r w:rsidRPr="00EA3414">
        <w:rPr>
          <w:rFonts w:ascii="Times New Roman" w:hAnsi="Times New Roman" w:cs="Times New Roman"/>
          <w:sz w:val="24"/>
        </w:rPr>
        <w:tab/>
      </w:r>
      <w:proofErr w:type="spellStart"/>
      <w:r w:rsidRPr="00EA3414">
        <w:rPr>
          <w:rFonts w:ascii="Times New Roman" w:hAnsi="Times New Roman" w:cs="Times New Roman"/>
          <w:sz w:val="24"/>
        </w:rPr>
        <w:t>Nauditt</w:t>
      </w:r>
      <w:proofErr w:type="spellEnd"/>
      <w:r w:rsidRPr="00EA3414">
        <w:rPr>
          <w:rFonts w:ascii="Times New Roman" w:hAnsi="Times New Roman" w:cs="Times New Roman"/>
          <w:sz w:val="24"/>
        </w:rPr>
        <w:t xml:space="preserve">, A. Discussion of “Challenges in operationalizing the water–energy–food nexus” &lt;sup/&gt;. </w:t>
      </w:r>
      <w:r w:rsidRPr="00EA3414">
        <w:rPr>
          <w:rFonts w:ascii="Times New Roman" w:hAnsi="Times New Roman" w:cs="Times New Roman"/>
          <w:i/>
          <w:iCs/>
          <w:sz w:val="24"/>
        </w:rPr>
        <w:t>Hydrological Sciences Journal</w:t>
      </w:r>
      <w:r w:rsidRPr="00EA3414">
        <w:rPr>
          <w:rFonts w:ascii="Times New Roman" w:hAnsi="Times New Roman" w:cs="Times New Roman"/>
          <w:sz w:val="24"/>
        </w:rPr>
        <w:t xml:space="preserve"> </w:t>
      </w:r>
      <w:r w:rsidRPr="00EA3414">
        <w:rPr>
          <w:rFonts w:ascii="Times New Roman" w:hAnsi="Times New Roman" w:cs="Times New Roman"/>
          <w:b/>
          <w:bCs/>
          <w:sz w:val="24"/>
        </w:rPr>
        <w:t>63</w:t>
      </w:r>
      <w:r w:rsidRPr="00EA3414">
        <w:rPr>
          <w:rFonts w:ascii="Times New Roman" w:hAnsi="Times New Roman" w:cs="Times New Roman"/>
          <w:sz w:val="24"/>
        </w:rPr>
        <w:t>, 1866–1867 (2018).</w:t>
      </w:r>
    </w:p>
    <w:p w14:paraId="58774268"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15.</w:t>
      </w:r>
      <w:r w:rsidRPr="00EA3414">
        <w:rPr>
          <w:rFonts w:ascii="Times New Roman" w:hAnsi="Times New Roman" w:cs="Times New Roman"/>
          <w:sz w:val="24"/>
        </w:rPr>
        <w:tab/>
        <w:t xml:space="preserve">Newell, J. P., Goldstein, B. &amp; Foster, A. A 40-year review of food–energy–water nexus literature and its application to the urban scale. </w:t>
      </w:r>
      <w:r w:rsidRPr="00EA3414">
        <w:rPr>
          <w:rFonts w:ascii="Times New Roman" w:hAnsi="Times New Roman" w:cs="Times New Roman"/>
          <w:i/>
          <w:iCs/>
          <w:sz w:val="24"/>
        </w:rPr>
        <w:t>Environ. Res. Lett.</w:t>
      </w:r>
      <w:r w:rsidRPr="00EA3414">
        <w:rPr>
          <w:rFonts w:ascii="Times New Roman" w:hAnsi="Times New Roman" w:cs="Times New Roman"/>
          <w:sz w:val="24"/>
        </w:rPr>
        <w:t xml:space="preserve"> </w:t>
      </w:r>
      <w:r w:rsidRPr="00EA3414">
        <w:rPr>
          <w:rFonts w:ascii="Times New Roman" w:hAnsi="Times New Roman" w:cs="Times New Roman"/>
          <w:b/>
          <w:bCs/>
          <w:sz w:val="24"/>
        </w:rPr>
        <w:t>14</w:t>
      </w:r>
      <w:r w:rsidRPr="00EA3414">
        <w:rPr>
          <w:rFonts w:ascii="Times New Roman" w:hAnsi="Times New Roman" w:cs="Times New Roman"/>
          <w:sz w:val="24"/>
        </w:rPr>
        <w:t>, 073003 (2019).</w:t>
      </w:r>
    </w:p>
    <w:p w14:paraId="723B6ABE"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16.</w:t>
      </w:r>
      <w:r w:rsidRPr="00EA3414">
        <w:rPr>
          <w:rFonts w:ascii="Times New Roman" w:hAnsi="Times New Roman" w:cs="Times New Roman"/>
          <w:sz w:val="24"/>
        </w:rPr>
        <w:tab/>
      </w:r>
      <w:proofErr w:type="spellStart"/>
      <w:r w:rsidRPr="00EA3414">
        <w:rPr>
          <w:rFonts w:ascii="Times New Roman" w:hAnsi="Times New Roman" w:cs="Times New Roman"/>
          <w:sz w:val="24"/>
        </w:rPr>
        <w:t>Nhamo</w:t>
      </w:r>
      <w:proofErr w:type="spellEnd"/>
      <w:r w:rsidRPr="00EA3414">
        <w:rPr>
          <w:rFonts w:ascii="Times New Roman" w:hAnsi="Times New Roman" w:cs="Times New Roman"/>
          <w:sz w:val="24"/>
        </w:rPr>
        <w:t xml:space="preserve">, L. </w:t>
      </w:r>
      <w:r w:rsidRPr="00EA3414">
        <w:rPr>
          <w:rFonts w:ascii="Times New Roman" w:hAnsi="Times New Roman" w:cs="Times New Roman"/>
          <w:i/>
          <w:iCs/>
          <w:sz w:val="24"/>
        </w:rPr>
        <w:t>et al.</w:t>
      </w:r>
      <w:r w:rsidRPr="00EA3414">
        <w:rPr>
          <w:rFonts w:ascii="Times New Roman" w:hAnsi="Times New Roman" w:cs="Times New Roman"/>
          <w:sz w:val="24"/>
        </w:rPr>
        <w:t xml:space="preserve"> The Water-Energy-Food Nexus: Climate Risks and Opportunities in Southern Africa. </w:t>
      </w:r>
      <w:r w:rsidRPr="00EA3414">
        <w:rPr>
          <w:rFonts w:ascii="Times New Roman" w:hAnsi="Times New Roman" w:cs="Times New Roman"/>
          <w:i/>
          <w:iCs/>
          <w:sz w:val="24"/>
        </w:rPr>
        <w:t>Water</w:t>
      </w:r>
      <w:r w:rsidRPr="00EA3414">
        <w:rPr>
          <w:rFonts w:ascii="Times New Roman" w:hAnsi="Times New Roman" w:cs="Times New Roman"/>
          <w:sz w:val="24"/>
        </w:rPr>
        <w:t xml:space="preserve"> </w:t>
      </w:r>
      <w:r w:rsidRPr="00EA3414">
        <w:rPr>
          <w:rFonts w:ascii="Times New Roman" w:hAnsi="Times New Roman" w:cs="Times New Roman"/>
          <w:b/>
          <w:bCs/>
          <w:sz w:val="24"/>
        </w:rPr>
        <w:t>10</w:t>
      </w:r>
      <w:r w:rsidRPr="00EA3414">
        <w:rPr>
          <w:rFonts w:ascii="Times New Roman" w:hAnsi="Times New Roman" w:cs="Times New Roman"/>
          <w:sz w:val="24"/>
        </w:rPr>
        <w:t>, 567 (2018).</w:t>
      </w:r>
    </w:p>
    <w:p w14:paraId="6C7AE87E"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17.</w:t>
      </w:r>
      <w:r w:rsidRPr="00EA3414">
        <w:rPr>
          <w:rFonts w:ascii="Times New Roman" w:hAnsi="Times New Roman" w:cs="Times New Roman"/>
          <w:sz w:val="24"/>
        </w:rPr>
        <w:tab/>
        <w:t xml:space="preserve">Oki, T., Yano, S. &amp; </w:t>
      </w:r>
      <w:proofErr w:type="spellStart"/>
      <w:r w:rsidRPr="00EA3414">
        <w:rPr>
          <w:rFonts w:ascii="Times New Roman" w:hAnsi="Times New Roman" w:cs="Times New Roman"/>
          <w:sz w:val="24"/>
        </w:rPr>
        <w:t>Hanasaki</w:t>
      </w:r>
      <w:proofErr w:type="spellEnd"/>
      <w:r w:rsidRPr="00EA3414">
        <w:rPr>
          <w:rFonts w:ascii="Times New Roman" w:hAnsi="Times New Roman" w:cs="Times New Roman"/>
          <w:sz w:val="24"/>
        </w:rPr>
        <w:t xml:space="preserve">, N. Economic aspects of virtual water trade. </w:t>
      </w:r>
      <w:r w:rsidRPr="00EA3414">
        <w:rPr>
          <w:rFonts w:ascii="Times New Roman" w:hAnsi="Times New Roman" w:cs="Times New Roman"/>
          <w:i/>
          <w:iCs/>
          <w:sz w:val="24"/>
        </w:rPr>
        <w:t>Environ. Res. Lett.</w:t>
      </w:r>
      <w:r w:rsidRPr="00EA3414">
        <w:rPr>
          <w:rFonts w:ascii="Times New Roman" w:hAnsi="Times New Roman" w:cs="Times New Roman"/>
          <w:sz w:val="24"/>
        </w:rPr>
        <w:t xml:space="preserve"> </w:t>
      </w:r>
      <w:r w:rsidRPr="00EA3414">
        <w:rPr>
          <w:rFonts w:ascii="Times New Roman" w:hAnsi="Times New Roman" w:cs="Times New Roman"/>
          <w:b/>
          <w:bCs/>
          <w:sz w:val="24"/>
        </w:rPr>
        <w:t>12</w:t>
      </w:r>
      <w:r w:rsidRPr="00EA3414">
        <w:rPr>
          <w:rFonts w:ascii="Times New Roman" w:hAnsi="Times New Roman" w:cs="Times New Roman"/>
          <w:sz w:val="24"/>
        </w:rPr>
        <w:t>, 044002 (2017).</w:t>
      </w:r>
    </w:p>
    <w:p w14:paraId="42361226"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18.</w:t>
      </w:r>
      <w:r w:rsidRPr="00EA3414">
        <w:rPr>
          <w:rFonts w:ascii="Times New Roman" w:hAnsi="Times New Roman" w:cs="Times New Roman"/>
          <w:sz w:val="24"/>
        </w:rPr>
        <w:tab/>
        <w:t xml:space="preserve">Opejin, A. K. </w:t>
      </w:r>
      <w:r w:rsidRPr="00EA3414">
        <w:rPr>
          <w:rFonts w:ascii="Times New Roman" w:hAnsi="Times New Roman" w:cs="Times New Roman"/>
          <w:i/>
          <w:iCs/>
          <w:sz w:val="24"/>
        </w:rPr>
        <w:t>et al.</w:t>
      </w:r>
      <w:r w:rsidRPr="00EA3414">
        <w:rPr>
          <w:rFonts w:ascii="Times New Roman" w:hAnsi="Times New Roman" w:cs="Times New Roman"/>
          <w:sz w:val="24"/>
        </w:rPr>
        <w:t xml:space="preserve"> A Bibliometric Analysis of Food-Energy-Water Nexus Literature. </w:t>
      </w:r>
      <w:r w:rsidRPr="00EA3414">
        <w:rPr>
          <w:rFonts w:ascii="Times New Roman" w:hAnsi="Times New Roman" w:cs="Times New Roman"/>
          <w:i/>
          <w:iCs/>
          <w:sz w:val="24"/>
        </w:rPr>
        <w:t>Sustainability</w:t>
      </w:r>
      <w:r w:rsidRPr="00EA3414">
        <w:rPr>
          <w:rFonts w:ascii="Times New Roman" w:hAnsi="Times New Roman" w:cs="Times New Roman"/>
          <w:sz w:val="24"/>
        </w:rPr>
        <w:t xml:space="preserve"> </w:t>
      </w:r>
      <w:r w:rsidRPr="00EA3414">
        <w:rPr>
          <w:rFonts w:ascii="Times New Roman" w:hAnsi="Times New Roman" w:cs="Times New Roman"/>
          <w:b/>
          <w:bCs/>
          <w:sz w:val="24"/>
        </w:rPr>
        <w:t>12</w:t>
      </w:r>
      <w:r w:rsidRPr="00EA3414">
        <w:rPr>
          <w:rFonts w:ascii="Times New Roman" w:hAnsi="Times New Roman" w:cs="Times New Roman"/>
          <w:sz w:val="24"/>
        </w:rPr>
        <w:t>, 1112 (2020).</w:t>
      </w:r>
    </w:p>
    <w:p w14:paraId="2F6316B2"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lastRenderedPageBreak/>
        <w:t>19.</w:t>
      </w:r>
      <w:r w:rsidRPr="00EA3414">
        <w:rPr>
          <w:rFonts w:ascii="Times New Roman" w:hAnsi="Times New Roman" w:cs="Times New Roman"/>
          <w:sz w:val="24"/>
        </w:rPr>
        <w:tab/>
        <w:t xml:space="preserve">Rasul, G. &amp; Sharma, B. The nexus approach to water–energy–food security: an option for adaptation to climate change. </w:t>
      </w:r>
      <w:r w:rsidRPr="00EA3414">
        <w:rPr>
          <w:rFonts w:ascii="Times New Roman" w:hAnsi="Times New Roman" w:cs="Times New Roman"/>
          <w:i/>
          <w:iCs/>
          <w:sz w:val="24"/>
        </w:rPr>
        <w:t>Climate Policy</w:t>
      </w:r>
      <w:r w:rsidRPr="00EA3414">
        <w:rPr>
          <w:rFonts w:ascii="Times New Roman" w:hAnsi="Times New Roman" w:cs="Times New Roman"/>
          <w:sz w:val="24"/>
        </w:rPr>
        <w:t xml:space="preserve"> </w:t>
      </w:r>
      <w:r w:rsidRPr="00EA3414">
        <w:rPr>
          <w:rFonts w:ascii="Times New Roman" w:hAnsi="Times New Roman" w:cs="Times New Roman"/>
          <w:b/>
          <w:bCs/>
          <w:sz w:val="24"/>
        </w:rPr>
        <w:t>16</w:t>
      </w:r>
      <w:r w:rsidRPr="00EA3414">
        <w:rPr>
          <w:rFonts w:ascii="Times New Roman" w:hAnsi="Times New Roman" w:cs="Times New Roman"/>
          <w:sz w:val="24"/>
        </w:rPr>
        <w:t>, 682–702 (2016).</w:t>
      </w:r>
    </w:p>
    <w:p w14:paraId="076A6ACE"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20.</w:t>
      </w:r>
      <w:r w:rsidRPr="00EA3414">
        <w:rPr>
          <w:rFonts w:ascii="Times New Roman" w:hAnsi="Times New Roman" w:cs="Times New Roman"/>
          <w:sz w:val="24"/>
        </w:rPr>
        <w:tab/>
        <w:t xml:space="preserve">Ringler, C., </w:t>
      </w:r>
      <w:proofErr w:type="spellStart"/>
      <w:r w:rsidRPr="00EA3414">
        <w:rPr>
          <w:rFonts w:ascii="Times New Roman" w:hAnsi="Times New Roman" w:cs="Times New Roman"/>
          <w:sz w:val="24"/>
        </w:rPr>
        <w:t>Bhaduri</w:t>
      </w:r>
      <w:proofErr w:type="spellEnd"/>
      <w:r w:rsidRPr="00EA3414">
        <w:rPr>
          <w:rFonts w:ascii="Times New Roman" w:hAnsi="Times New Roman" w:cs="Times New Roman"/>
          <w:sz w:val="24"/>
        </w:rPr>
        <w:t xml:space="preserve">, A. &amp; Lawford, R. The nexus across water, energy, land and food (WELF): potential for improved resource use efficiency? </w:t>
      </w:r>
      <w:r w:rsidRPr="00EA3414">
        <w:rPr>
          <w:rFonts w:ascii="Times New Roman" w:hAnsi="Times New Roman" w:cs="Times New Roman"/>
          <w:i/>
          <w:iCs/>
          <w:sz w:val="24"/>
        </w:rPr>
        <w:t>Current Opinion in Environmental Sustainability</w:t>
      </w:r>
      <w:r w:rsidRPr="00EA3414">
        <w:rPr>
          <w:rFonts w:ascii="Times New Roman" w:hAnsi="Times New Roman" w:cs="Times New Roman"/>
          <w:sz w:val="24"/>
        </w:rPr>
        <w:t xml:space="preserve"> </w:t>
      </w:r>
      <w:r w:rsidRPr="00EA3414">
        <w:rPr>
          <w:rFonts w:ascii="Times New Roman" w:hAnsi="Times New Roman" w:cs="Times New Roman"/>
          <w:b/>
          <w:bCs/>
          <w:sz w:val="24"/>
        </w:rPr>
        <w:t>5</w:t>
      </w:r>
      <w:r w:rsidRPr="00EA3414">
        <w:rPr>
          <w:rFonts w:ascii="Times New Roman" w:hAnsi="Times New Roman" w:cs="Times New Roman"/>
          <w:sz w:val="24"/>
        </w:rPr>
        <w:t>, 617–624 (2013).</w:t>
      </w:r>
    </w:p>
    <w:p w14:paraId="189026E6"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21.</w:t>
      </w:r>
      <w:r w:rsidRPr="00EA3414">
        <w:rPr>
          <w:rFonts w:ascii="Times New Roman" w:hAnsi="Times New Roman" w:cs="Times New Roman"/>
          <w:sz w:val="24"/>
        </w:rPr>
        <w:tab/>
      </w:r>
      <w:proofErr w:type="spellStart"/>
      <w:r w:rsidRPr="00EA3414">
        <w:rPr>
          <w:rFonts w:ascii="Times New Roman" w:hAnsi="Times New Roman" w:cs="Times New Roman"/>
          <w:sz w:val="24"/>
        </w:rPr>
        <w:t>Saladini</w:t>
      </w:r>
      <w:proofErr w:type="spellEnd"/>
      <w:r w:rsidRPr="00EA3414">
        <w:rPr>
          <w:rFonts w:ascii="Times New Roman" w:hAnsi="Times New Roman" w:cs="Times New Roman"/>
          <w:sz w:val="24"/>
        </w:rPr>
        <w:t xml:space="preserve">, F. </w:t>
      </w:r>
      <w:r w:rsidRPr="00EA3414">
        <w:rPr>
          <w:rFonts w:ascii="Times New Roman" w:hAnsi="Times New Roman" w:cs="Times New Roman"/>
          <w:i/>
          <w:iCs/>
          <w:sz w:val="24"/>
        </w:rPr>
        <w:t>et al.</w:t>
      </w:r>
      <w:r w:rsidRPr="00EA3414">
        <w:rPr>
          <w:rFonts w:ascii="Times New Roman" w:hAnsi="Times New Roman" w:cs="Times New Roman"/>
          <w:sz w:val="24"/>
        </w:rPr>
        <w:t xml:space="preserve"> Linking the water-energy-food nexus and sustainable development indicators for the Mediterranean region. </w:t>
      </w:r>
      <w:r w:rsidRPr="00EA3414">
        <w:rPr>
          <w:rFonts w:ascii="Times New Roman" w:hAnsi="Times New Roman" w:cs="Times New Roman"/>
          <w:i/>
          <w:iCs/>
          <w:sz w:val="24"/>
        </w:rPr>
        <w:t>Ecological Indicators</w:t>
      </w:r>
      <w:r w:rsidRPr="00EA3414">
        <w:rPr>
          <w:rFonts w:ascii="Times New Roman" w:hAnsi="Times New Roman" w:cs="Times New Roman"/>
          <w:sz w:val="24"/>
        </w:rPr>
        <w:t xml:space="preserve"> </w:t>
      </w:r>
      <w:r w:rsidRPr="00EA3414">
        <w:rPr>
          <w:rFonts w:ascii="Times New Roman" w:hAnsi="Times New Roman" w:cs="Times New Roman"/>
          <w:b/>
          <w:bCs/>
          <w:sz w:val="24"/>
        </w:rPr>
        <w:t>91</w:t>
      </w:r>
      <w:r w:rsidRPr="00EA3414">
        <w:rPr>
          <w:rFonts w:ascii="Times New Roman" w:hAnsi="Times New Roman" w:cs="Times New Roman"/>
          <w:sz w:val="24"/>
        </w:rPr>
        <w:t>, 689–697 (2018).</w:t>
      </w:r>
    </w:p>
    <w:p w14:paraId="6D30F2A9"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22.</w:t>
      </w:r>
      <w:r w:rsidRPr="00EA3414">
        <w:rPr>
          <w:rFonts w:ascii="Times New Roman" w:hAnsi="Times New Roman" w:cs="Times New Roman"/>
          <w:sz w:val="24"/>
        </w:rPr>
        <w:tab/>
        <w:t xml:space="preserve">Sarkodie, S. A. &amp; Owusu, P. A. Bibliometric analysis of water–energy–food nexus: Sustainability assessment of renewable energy. </w:t>
      </w:r>
      <w:r w:rsidRPr="00EA3414">
        <w:rPr>
          <w:rFonts w:ascii="Times New Roman" w:hAnsi="Times New Roman" w:cs="Times New Roman"/>
          <w:i/>
          <w:iCs/>
          <w:sz w:val="24"/>
        </w:rPr>
        <w:t>Current Opinion in Environmental Science &amp; Health</w:t>
      </w:r>
      <w:r w:rsidRPr="00EA3414">
        <w:rPr>
          <w:rFonts w:ascii="Times New Roman" w:hAnsi="Times New Roman" w:cs="Times New Roman"/>
          <w:sz w:val="24"/>
        </w:rPr>
        <w:t xml:space="preserve"> </w:t>
      </w:r>
      <w:r w:rsidRPr="00EA3414">
        <w:rPr>
          <w:rFonts w:ascii="Times New Roman" w:hAnsi="Times New Roman" w:cs="Times New Roman"/>
          <w:b/>
          <w:bCs/>
          <w:sz w:val="24"/>
        </w:rPr>
        <w:t>13</w:t>
      </w:r>
      <w:r w:rsidRPr="00EA3414">
        <w:rPr>
          <w:rFonts w:ascii="Times New Roman" w:hAnsi="Times New Roman" w:cs="Times New Roman"/>
          <w:sz w:val="24"/>
        </w:rPr>
        <w:t>, 29–34 (2020).</w:t>
      </w:r>
    </w:p>
    <w:p w14:paraId="09DA2493"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23.</w:t>
      </w:r>
      <w:r w:rsidRPr="00EA3414">
        <w:rPr>
          <w:rFonts w:ascii="Times New Roman" w:hAnsi="Times New Roman" w:cs="Times New Roman"/>
          <w:sz w:val="24"/>
        </w:rPr>
        <w:tab/>
        <w:t xml:space="preserve">Scott, C. A., Kurian, M. &amp; </w:t>
      </w:r>
      <w:proofErr w:type="spellStart"/>
      <w:r w:rsidRPr="00EA3414">
        <w:rPr>
          <w:rFonts w:ascii="Times New Roman" w:hAnsi="Times New Roman" w:cs="Times New Roman"/>
          <w:sz w:val="24"/>
        </w:rPr>
        <w:t>Wescoat</w:t>
      </w:r>
      <w:proofErr w:type="spellEnd"/>
      <w:r w:rsidRPr="00EA3414">
        <w:rPr>
          <w:rFonts w:ascii="Times New Roman" w:hAnsi="Times New Roman" w:cs="Times New Roman"/>
          <w:sz w:val="24"/>
        </w:rPr>
        <w:t xml:space="preserve">, J. L. The Water-Energy-Food Nexus: Enhancing Adaptive Capacity to Complex Global Challenges. in </w:t>
      </w:r>
      <w:r w:rsidRPr="00EA3414">
        <w:rPr>
          <w:rFonts w:ascii="Times New Roman" w:hAnsi="Times New Roman" w:cs="Times New Roman"/>
          <w:i/>
          <w:iCs/>
          <w:sz w:val="24"/>
        </w:rPr>
        <w:t>Governing the Nexus</w:t>
      </w:r>
      <w:r w:rsidRPr="00EA3414">
        <w:rPr>
          <w:rFonts w:ascii="Times New Roman" w:hAnsi="Times New Roman" w:cs="Times New Roman"/>
          <w:sz w:val="24"/>
        </w:rPr>
        <w:t xml:space="preserve"> (eds. Kurian, M. &amp; </w:t>
      </w:r>
      <w:proofErr w:type="spellStart"/>
      <w:r w:rsidRPr="00EA3414">
        <w:rPr>
          <w:rFonts w:ascii="Times New Roman" w:hAnsi="Times New Roman" w:cs="Times New Roman"/>
          <w:sz w:val="24"/>
        </w:rPr>
        <w:t>Ardakanian</w:t>
      </w:r>
      <w:proofErr w:type="spellEnd"/>
      <w:r w:rsidRPr="00EA3414">
        <w:rPr>
          <w:rFonts w:ascii="Times New Roman" w:hAnsi="Times New Roman" w:cs="Times New Roman"/>
          <w:sz w:val="24"/>
        </w:rPr>
        <w:t>, R.) 15–38 (Springer International Publishing, 2015). doi:10.1007/978-3-319-05747-7_2.</w:t>
      </w:r>
    </w:p>
    <w:p w14:paraId="10B9D387"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24.</w:t>
      </w:r>
      <w:r w:rsidRPr="00EA3414">
        <w:rPr>
          <w:rFonts w:ascii="Times New Roman" w:hAnsi="Times New Roman" w:cs="Times New Roman"/>
          <w:sz w:val="24"/>
        </w:rPr>
        <w:tab/>
        <w:t xml:space="preserve">Scott, C. A., Kurian, M. &amp; </w:t>
      </w:r>
      <w:proofErr w:type="spellStart"/>
      <w:r w:rsidRPr="00EA3414">
        <w:rPr>
          <w:rFonts w:ascii="Times New Roman" w:hAnsi="Times New Roman" w:cs="Times New Roman"/>
          <w:sz w:val="24"/>
        </w:rPr>
        <w:t>Wescoat</w:t>
      </w:r>
      <w:proofErr w:type="spellEnd"/>
      <w:r w:rsidRPr="00EA3414">
        <w:rPr>
          <w:rFonts w:ascii="Times New Roman" w:hAnsi="Times New Roman" w:cs="Times New Roman"/>
          <w:sz w:val="24"/>
        </w:rPr>
        <w:t xml:space="preserve">, J. L. The Water-Energy-Food Nexus: Enhancing Adaptive Capacity to Complex Global Challenges. </w:t>
      </w:r>
      <w:r w:rsidRPr="00EA3414">
        <w:rPr>
          <w:rFonts w:ascii="Times New Roman" w:hAnsi="Times New Roman" w:cs="Times New Roman"/>
          <w:i/>
          <w:iCs/>
          <w:sz w:val="24"/>
        </w:rPr>
        <w:t>Governing the Nexus: Water, Soil and Waste Resources Considering Global Change</w:t>
      </w:r>
      <w:r w:rsidRPr="00EA3414">
        <w:rPr>
          <w:rFonts w:ascii="Times New Roman" w:hAnsi="Times New Roman" w:cs="Times New Roman"/>
          <w:sz w:val="24"/>
        </w:rPr>
        <w:t xml:space="preserve"> 15–38 (2015) doi:10.1007/978-3-319-05747-7_3.</w:t>
      </w:r>
    </w:p>
    <w:p w14:paraId="43F49764"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25.</w:t>
      </w:r>
      <w:r w:rsidRPr="00EA3414">
        <w:rPr>
          <w:rFonts w:ascii="Times New Roman" w:hAnsi="Times New Roman" w:cs="Times New Roman"/>
          <w:sz w:val="24"/>
        </w:rPr>
        <w:tab/>
        <w:t xml:space="preserve">Simpson, G. B. &amp; Jewitt, G. P. W. The Development of the Water-Energy-Food Nexus as a Framework for Achieving Resource Security: A Review. </w:t>
      </w:r>
      <w:r w:rsidRPr="00EA3414">
        <w:rPr>
          <w:rFonts w:ascii="Times New Roman" w:hAnsi="Times New Roman" w:cs="Times New Roman"/>
          <w:i/>
          <w:iCs/>
          <w:sz w:val="24"/>
        </w:rPr>
        <w:t>Frontiers in Environmental Science</w:t>
      </w:r>
      <w:r w:rsidRPr="00EA3414">
        <w:rPr>
          <w:rFonts w:ascii="Times New Roman" w:hAnsi="Times New Roman" w:cs="Times New Roman"/>
          <w:sz w:val="24"/>
        </w:rPr>
        <w:t xml:space="preserve"> </w:t>
      </w:r>
      <w:r w:rsidRPr="00EA3414">
        <w:rPr>
          <w:rFonts w:ascii="Times New Roman" w:hAnsi="Times New Roman" w:cs="Times New Roman"/>
          <w:b/>
          <w:bCs/>
          <w:sz w:val="24"/>
        </w:rPr>
        <w:t>7</w:t>
      </w:r>
      <w:r w:rsidRPr="00EA3414">
        <w:rPr>
          <w:rFonts w:ascii="Times New Roman" w:hAnsi="Times New Roman" w:cs="Times New Roman"/>
          <w:sz w:val="24"/>
        </w:rPr>
        <w:t>, (2019).</w:t>
      </w:r>
    </w:p>
    <w:p w14:paraId="1960BDC2"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26.</w:t>
      </w:r>
      <w:r w:rsidRPr="00EA3414">
        <w:rPr>
          <w:rFonts w:ascii="Times New Roman" w:hAnsi="Times New Roman" w:cs="Times New Roman"/>
          <w:sz w:val="24"/>
        </w:rPr>
        <w:tab/>
      </w:r>
      <w:proofErr w:type="spellStart"/>
      <w:r w:rsidRPr="00EA3414">
        <w:rPr>
          <w:rFonts w:ascii="Times New Roman" w:hAnsi="Times New Roman" w:cs="Times New Roman"/>
          <w:sz w:val="24"/>
        </w:rPr>
        <w:t>Sušnik</w:t>
      </w:r>
      <w:proofErr w:type="spellEnd"/>
      <w:r w:rsidRPr="00EA3414">
        <w:rPr>
          <w:rFonts w:ascii="Times New Roman" w:hAnsi="Times New Roman" w:cs="Times New Roman"/>
          <w:sz w:val="24"/>
        </w:rPr>
        <w:t xml:space="preserve">, J. </w:t>
      </w:r>
      <w:r w:rsidRPr="00EA3414">
        <w:rPr>
          <w:rFonts w:ascii="Times New Roman" w:hAnsi="Times New Roman" w:cs="Times New Roman"/>
          <w:i/>
          <w:iCs/>
          <w:sz w:val="24"/>
        </w:rPr>
        <w:t>et al.</w:t>
      </w:r>
      <w:r w:rsidRPr="00EA3414">
        <w:rPr>
          <w:rFonts w:ascii="Times New Roman" w:hAnsi="Times New Roman" w:cs="Times New Roman"/>
          <w:sz w:val="24"/>
        </w:rPr>
        <w:t xml:space="preserve"> Multi-Stakeholder Development of a Serious Game to Explore the Water-Energy-Food-Land-Climate Nexus: The SIM4NEXUS Approach. </w:t>
      </w:r>
      <w:r w:rsidRPr="00EA3414">
        <w:rPr>
          <w:rFonts w:ascii="Times New Roman" w:hAnsi="Times New Roman" w:cs="Times New Roman"/>
          <w:i/>
          <w:iCs/>
          <w:sz w:val="24"/>
        </w:rPr>
        <w:t>Water</w:t>
      </w:r>
      <w:r w:rsidRPr="00EA3414">
        <w:rPr>
          <w:rFonts w:ascii="Times New Roman" w:hAnsi="Times New Roman" w:cs="Times New Roman"/>
          <w:sz w:val="24"/>
        </w:rPr>
        <w:t xml:space="preserve"> </w:t>
      </w:r>
      <w:r w:rsidRPr="00EA3414">
        <w:rPr>
          <w:rFonts w:ascii="Times New Roman" w:hAnsi="Times New Roman" w:cs="Times New Roman"/>
          <w:b/>
          <w:bCs/>
          <w:sz w:val="24"/>
        </w:rPr>
        <w:t>10</w:t>
      </w:r>
      <w:r w:rsidRPr="00EA3414">
        <w:rPr>
          <w:rFonts w:ascii="Times New Roman" w:hAnsi="Times New Roman" w:cs="Times New Roman"/>
          <w:sz w:val="24"/>
        </w:rPr>
        <w:t>, 139 (2018).</w:t>
      </w:r>
    </w:p>
    <w:p w14:paraId="2F5C7A91"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lastRenderedPageBreak/>
        <w:t>27.</w:t>
      </w:r>
      <w:r w:rsidRPr="00EA3414">
        <w:rPr>
          <w:rFonts w:ascii="Times New Roman" w:hAnsi="Times New Roman" w:cs="Times New Roman"/>
          <w:sz w:val="24"/>
        </w:rPr>
        <w:tab/>
      </w:r>
      <w:proofErr w:type="spellStart"/>
      <w:r w:rsidRPr="00EA3414">
        <w:rPr>
          <w:rFonts w:ascii="Times New Roman" w:hAnsi="Times New Roman" w:cs="Times New Roman"/>
          <w:sz w:val="24"/>
        </w:rPr>
        <w:t>Vinca</w:t>
      </w:r>
      <w:proofErr w:type="spellEnd"/>
      <w:r w:rsidRPr="00EA3414">
        <w:rPr>
          <w:rFonts w:ascii="Times New Roman" w:hAnsi="Times New Roman" w:cs="Times New Roman"/>
          <w:sz w:val="24"/>
        </w:rPr>
        <w:t xml:space="preserve">, A. </w:t>
      </w:r>
      <w:r w:rsidRPr="00EA3414">
        <w:rPr>
          <w:rFonts w:ascii="Times New Roman" w:hAnsi="Times New Roman" w:cs="Times New Roman"/>
          <w:i/>
          <w:iCs/>
          <w:sz w:val="24"/>
        </w:rPr>
        <w:t>et al.</w:t>
      </w:r>
      <w:r w:rsidRPr="00EA3414">
        <w:rPr>
          <w:rFonts w:ascii="Times New Roman" w:hAnsi="Times New Roman" w:cs="Times New Roman"/>
          <w:sz w:val="24"/>
        </w:rPr>
        <w:t xml:space="preserve"> The Nexus Solutions Tool (NEST): An open platform for optimizing multi-scale energy-water-land system transformations. </w:t>
      </w:r>
      <w:r w:rsidRPr="00EA3414">
        <w:rPr>
          <w:rFonts w:ascii="Times New Roman" w:hAnsi="Times New Roman" w:cs="Times New Roman"/>
          <w:i/>
          <w:iCs/>
          <w:sz w:val="24"/>
        </w:rPr>
        <w:t>Geoscientific Model Development Discussions</w:t>
      </w:r>
      <w:r w:rsidRPr="00EA3414">
        <w:rPr>
          <w:rFonts w:ascii="Times New Roman" w:hAnsi="Times New Roman" w:cs="Times New Roman"/>
          <w:sz w:val="24"/>
        </w:rPr>
        <w:t xml:space="preserve"> 1–33 (2019) </w:t>
      </w:r>
      <w:proofErr w:type="spellStart"/>
      <w:r w:rsidRPr="00EA3414">
        <w:rPr>
          <w:rFonts w:ascii="Times New Roman" w:hAnsi="Times New Roman" w:cs="Times New Roman"/>
          <w:sz w:val="24"/>
        </w:rPr>
        <w:t>doi:https</w:t>
      </w:r>
      <w:proofErr w:type="spellEnd"/>
      <w:r w:rsidRPr="00EA3414">
        <w:rPr>
          <w:rFonts w:ascii="Times New Roman" w:hAnsi="Times New Roman" w:cs="Times New Roman"/>
          <w:sz w:val="24"/>
        </w:rPr>
        <w:t>://doi.org/10.5194/gmd-2019-134.</w:t>
      </w:r>
    </w:p>
    <w:p w14:paraId="09D6E445"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28.</w:t>
      </w:r>
      <w:r w:rsidRPr="00EA3414">
        <w:rPr>
          <w:rFonts w:ascii="Times New Roman" w:hAnsi="Times New Roman" w:cs="Times New Roman"/>
          <w:sz w:val="24"/>
        </w:rPr>
        <w:tab/>
        <w:t xml:space="preserve">Wallington, K. &amp; Cai, X. The Food–Energy–Water Nexus: A Framework to Address Sustainable Development in the Tropics. </w:t>
      </w:r>
      <w:r w:rsidRPr="00EA3414">
        <w:rPr>
          <w:rFonts w:ascii="Times New Roman" w:hAnsi="Times New Roman" w:cs="Times New Roman"/>
          <w:i/>
          <w:iCs/>
          <w:sz w:val="24"/>
        </w:rPr>
        <w:t>Tropical Conservation Science</w:t>
      </w:r>
      <w:r w:rsidRPr="00EA3414">
        <w:rPr>
          <w:rFonts w:ascii="Times New Roman" w:hAnsi="Times New Roman" w:cs="Times New Roman"/>
          <w:sz w:val="24"/>
        </w:rPr>
        <w:t xml:space="preserve"> </w:t>
      </w:r>
      <w:r w:rsidRPr="00EA3414">
        <w:rPr>
          <w:rFonts w:ascii="Times New Roman" w:hAnsi="Times New Roman" w:cs="Times New Roman"/>
          <w:b/>
          <w:bCs/>
          <w:sz w:val="24"/>
        </w:rPr>
        <w:t>10</w:t>
      </w:r>
      <w:r w:rsidRPr="00EA3414">
        <w:rPr>
          <w:rFonts w:ascii="Times New Roman" w:hAnsi="Times New Roman" w:cs="Times New Roman"/>
          <w:sz w:val="24"/>
        </w:rPr>
        <w:t>, 194008291772066 (2017).</w:t>
      </w:r>
    </w:p>
    <w:p w14:paraId="13FFEB82"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29.</w:t>
      </w:r>
      <w:r w:rsidRPr="00EA3414">
        <w:rPr>
          <w:rFonts w:ascii="Times New Roman" w:hAnsi="Times New Roman" w:cs="Times New Roman"/>
          <w:sz w:val="24"/>
        </w:rPr>
        <w:tab/>
        <w:t xml:space="preserve">White, D. J., </w:t>
      </w:r>
      <w:proofErr w:type="spellStart"/>
      <w:r w:rsidRPr="00EA3414">
        <w:rPr>
          <w:rFonts w:ascii="Times New Roman" w:hAnsi="Times New Roman" w:cs="Times New Roman"/>
          <w:sz w:val="24"/>
        </w:rPr>
        <w:t>Hubacek</w:t>
      </w:r>
      <w:proofErr w:type="spellEnd"/>
      <w:r w:rsidRPr="00EA3414">
        <w:rPr>
          <w:rFonts w:ascii="Times New Roman" w:hAnsi="Times New Roman" w:cs="Times New Roman"/>
          <w:sz w:val="24"/>
        </w:rPr>
        <w:t xml:space="preserve">, K., Feng, K., Sun, L. &amp; Meng, B. The Water-Energy-Food Nexus in East Asia: A tele-connected value chain analysis using inter-regional input-output analysis. </w:t>
      </w:r>
      <w:r w:rsidRPr="00EA3414">
        <w:rPr>
          <w:rFonts w:ascii="Times New Roman" w:hAnsi="Times New Roman" w:cs="Times New Roman"/>
          <w:i/>
          <w:iCs/>
          <w:sz w:val="24"/>
        </w:rPr>
        <w:t>Applied Energy</w:t>
      </w:r>
      <w:r w:rsidRPr="00EA3414">
        <w:rPr>
          <w:rFonts w:ascii="Times New Roman" w:hAnsi="Times New Roman" w:cs="Times New Roman"/>
          <w:sz w:val="24"/>
        </w:rPr>
        <w:t xml:space="preserve"> </w:t>
      </w:r>
      <w:r w:rsidRPr="00EA3414">
        <w:rPr>
          <w:rFonts w:ascii="Times New Roman" w:hAnsi="Times New Roman" w:cs="Times New Roman"/>
          <w:b/>
          <w:bCs/>
          <w:sz w:val="24"/>
        </w:rPr>
        <w:t>210</w:t>
      </w:r>
      <w:r w:rsidRPr="00EA3414">
        <w:rPr>
          <w:rFonts w:ascii="Times New Roman" w:hAnsi="Times New Roman" w:cs="Times New Roman"/>
          <w:sz w:val="24"/>
        </w:rPr>
        <w:t>, 550–567 (2018).</w:t>
      </w:r>
    </w:p>
    <w:p w14:paraId="5BFA95CB"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30.</w:t>
      </w:r>
      <w:r w:rsidRPr="00EA3414">
        <w:rPr>
          <w:rFonts w:ascii="Times New Roman" w:hAnsi="Times New Roman" w:cs="Times New Roman"/>
          <w:sz w:val="24"/>
        </w:rPr>
        <w:tab/>
        <w:t xml:space="preserve">Zhang, X. </w:t>
      </w:r>
      <w:r w:rsidRPr="00EA3414">
        <w:rPr>
          <w:rFonts w:ascii="Times New Roman" w:hAnsi="Times New Roman" w:cs="Times New Roman"/>
          <w:i/>
          <w:iCs/>
          <w:sz w:val="24"/>
        </w:rPr>
        <w:t>et al.</w:t>
      </w:r>
      <w:r w:rsidRPr="00EA3414">
        <w:rPr>
          <w:rFonts w:ascii="Times New Roman" w:hAnsi="Times New Roman" w:cs="Times New Roman"/>
          <w:sz w:val="24"/>
        </w:rPr>
        <w:t xml:space="preserve"> Impacts of climate change, policy and Water-Energy-Food nexus on hydropower development. </w:t>
      </w:r>
      <w:r w:rsidRPr="00EA3414">
        <w:rPr>
          <w:rFonts w:ascii="Times New Roman" w:hAnsi="Times New Roman" w:cs="Times New Roman"/>
          <w:i/>
          <w:iCs/>
          <w:sz w:val="24"/>
        </w:rPr>
        <w:t>Renewable Energy</w:t>
      </w:r>
      <w:r w:rsidRPr="00EA3414">
        <w:rPr>
          <w:rFonts w:ascii="Times New Roman" w:hAnsi="Times New Roman" w:cs="Times New Roman"/>
          <w:sz w:val="24"/>
        </w:rPr>
        <w:t xml:space="preserve"> </w:t>
      </w:r>
      <w:r w:rsidRPr="00EA3414">
        <w:rPr>
          <w:rFonts w:ascii="Times New Roman" w:hAnsi="Times New Roman" w:cs="Times New Roman"/>
          <w:b/>
          <w:bCs/>
          <w:sz w:val="24"/>
        </w:rPr>
        <w:t>116</w:t>
      </w:r>
      <w:r w:rsidRPr="00EA3414">
        <w:rPr>
          <w:rFonts w:ascii="Times New Roman" w:hAnsi="Times New Roman" w:cs="Times New Roman"/>
          <w:sz w:val="24"/>
        </w:rPr>
        <w:t>, 827–834 (2018).</w:t>
      </w:r>
    </w:p>
    <w:p w14:paraId="37517619" w14:textId="77777777" w:rsidR="00EA3414" w:rsidRPr="00EA3414" w:rsidRDefault="00EA3414" w:rsidP="00EA3414">
      <w:pPr>
        <w:pStyle w:val="Bibliography"/>
        <w:rPr>
          <w:rFonts w:ascii="Times New Roman" w:hAnsi="Times New Roman" w:cs="Times New Roman"/>
          <w:sz w:val="24"/>
        </w:rPr>
      </w:pPr>
      <w:r w:rsidRPr="00EA3414">
        <w:rPr>
          <w:rFonts w:ascii="Times New Roman" w:hAnsi="Times New Roman" w:cs="Times New Roman"/>
          <w:sz w:val="24"/>
        </w:rPr>
        <w:t>31.</w:t>
      </w:r>
      <w:r w:rsidRPr="00EA3414">
        <w:rPr>
          <w:rFonts w:ascii="Times New Roman" w:hAnsi="Times New Roman" w:cs="Times New Roman"/>
          <w:sz w:val="24"/>
        </w:rPr>
        <w:tab/>
        <w:t xml:space="preserve">Zhu, X. Climate Impacts on the Water-Food Nexus. </w:t>
      </w:r>
      <w:r w:rsidRPr="00EA3414">
        <w:rPr>
          <w:rFonts w:ascii="Times New Roman" w:hAnsi="Times New Roman" w:cs="Times New Roman"/>
          <w:i/>
          <w:iCs/>
          <w:sz w:val="24"/>
        </w:rPr>
        <w:t>Theses and Dissertations</w:t>
      </w:r>
      <w:r w:rsidRPr="00EA3414">
        <w:rPr>
          <w:rFonts w:ascii="Times New Roman" w:hAnsi="Times New Roman" w:cs="Times New Roman"/>
          <w:sz w:val="24"/>
        </w:rPr>
        <w:t xml:space="preserve"> (2020).</w:t>
      </w:r>
    </w:p>
    <w:p w14:paraId="6EDE2700" w14:textId="4B2C5F65" w:rsidR="00EA3414" w:rsidRPr="00362AA2" w:rsidRDefault="00EA3414" w:rsidP="00362AA2">
      <w:pPr>
        <w:spacing w:after="0" w:line="480" w:lineRule="auto"/>
        <w:ind w:firstLine="720"/>
        <w:jc w:val="both"/>
        <w:rPr>
          <w:b/>
          <w:bCs/>
          <w:u w:val="single"/>
        </w:rPr>
      </w:pPr>
      <w:r>
        <w:rPr>
          <w:b/>
          <w:bCs/>
          <w:u w:val="single"/>
        </w:rPr>
        <w:fldChar w:fldCharType="end"/>
      </w: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5" w:name="_Toc25072379"/>
      <w:bookmarkStart w:id="6" w:name="_Ref35500363"/>
      <w:bookmarkStart w:id="7" w:name="_Ref35500398"/>
      <w:r>
        <w:t>Methodology</w:t>
      </w:r>
      <w:bookmarkEnd w:id="5"/>
      <w:bookmarkEnd w:id="6"/>
      <w:bookmarkEnd w:id="7"/>
    </w:p>
    <w:p w14:paraId="1F443636" w14:textId="77777777" w:rsidR="00E966AD" w:rsidRDefault="00E966AD" w:rsidP="00EF61A1">
      <w:pPr>
        <w:spacing w:after="0" w:line="480" w:lineRule="auto"/>
        <w:ind w:firstLine="720"/>
        <w:jc w:val="both"/>
        <w:rPr>
          <w:lang w:val="en"/>
        </w:rPr>
      </w:pPr>
      <w:bookmarkStart w:id="8" w:name="_Ref28005294"/>
    </w:p>
    <w:bookmarkEnd w:id="8"/>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r>
        <w:t>Results</w:t>
      </w:r>
      <w:r w:rsidR="00030393">
        <w:t xml:space="preserve"> &amp; Discussion</w:t>
      </w:r>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r>
        <w:lastRenderedPageBreak/>
        <w:t>Conclusion</w:t>
      </w:r>
      <w:r w:rsidR="00200112">
        <w:t>s</w:t>
      </w:r>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r>
        <w:t>Acknowledgments</w:t>
      </w:r>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r>
        <w:t>D</w:t>
      </w:r>
      <w:r w:rsidRPr="009425AE">
        <w:t>ata availability statement</w:t>
      </w:r>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A7517D" w:rsidRDefault="00F7514B" w:rsidP="008B722F">
      <w:pPr>
        <w:pStyle w:val="Heading1"/>
        <w:numPr>
          <w:ilvl w:val="0"/>
          <w:numId w:val="0"/>
        </w:numPr>
        <w:spacing w:before="0" w:after="0"/>
        <w:ind w:left="432" w:hanging="432"/>
        <w:jc w:val="both"/>
      </w:pPr>
      <w:bookmarkStart w:id="9" w:name="_Toc25072383"/>
      <w:r w:rsidRPr="00A7517D">
        <w:lastRenderedPageBreak/>
        <w:t>References</w:t>
      </w:r>
      <w:bookmarkEnd w:id="9"/>
    </w:p>
    <w:p w14:paraId="74119654" w14:textId="77777777" w:rsidR="004C04C4" w:rsidRPr="00D5754A" w:rsidRDefault="004C04C4">
      <w:pPr>
        <w:pStyle w:val="Bibliography"/>
      </w:pPr>
    </w:p>
    <w:bookmarkEnd w:id="0"/>
    <w:p w14:paraId="3BD8A738" w14:textId="17E66DCB" w:rsidR="00F7514B" w:rsidRPr="00777E76" w:rsidRDefault="00F7514B" w:rsidP="00EF61A1">
      <w:pPr>
        <w:pStyle w:val="SI1"/>
        <w:pBdr>
          <w:bottom w:val="none" w:sz="0" w:space="0" w:color="auto"/>
        </w:pBdr>
      </w:pPr>
    </w:p>
    <w:sectPr w:rsidR="00F7514B" w:rsidRPr="00777E76" w:rsidSect="00ED1699">
      <w:headerReference w:type="default" r:id="rId8"/>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813F0" w14:textId="77777777" w:rsidR="00531AF4" w:rsidRDefault="00531AF4" w:rsidP="00F7514B">
      <w:pPr>
        <w:spacing w:after="0" w:line="240" w:lineRule="auto"/>
      </w:pPr>
      <w:r>
        <w:separator/>
      </w:r>
    </w:p>
  </w:endnote>
  <w:endnote w:type="continuationSeparator" w:id="0">
    <w:p w14:paraId="786AE512" w14:textId="77777777" w:rsidR="00531AF4" w:rsidRDefault="00531AF4"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F4152" w14:textId="77777777" w:rsidR="00531AF4" w:rsidRDefault="00531AF4" w:rsidP="00F7514B">
      <w:pPr>
        <w:spacing w:after="0" w:line="240" w:lineRule="auto"/>
      </w:pPr>
      <w:r>
        <w:separator/>
      </w:r>
    </w:p>
  </w:footnote>
  <w:footnote w:type="continuationSeparator" w:id="0">
    <w:p w14:paraId="38642847" w14:textId="77777777" w:rsidR="00531AF4" w:rsidRDefault="00531AF4"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9"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2"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7"/>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9"/>
  </w:num>
  <w:num w:numId="15">
    <w:abstractNumId w:val="21"/>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4"/>
  </w:num>
  <w:num w:numId="24">
    <w:abstractNumId w:val="13"/>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B0C2F"/>
    <w:rsid w:val="000B0C4D"/>
    <w:rsid w:val="000B19F8"/>
    <w:rsid w:val="000B1F0A"/>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600"/>
    <w:rsid w:val="00192FD9"/>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63A8"/>
    <w:rsid w:val="002D7189"/>
    <w:rsid w:val="002E180F"/>
    <w:rsid w:val="002E19FD"/>
    <w:rsid w:val="002E37B2"/>
    <w:rsid w:val="002E560F"/>
    <w:rsid w:val="002E5EDB"/>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5B8D"/>
    <w:rsid w:val="004428B6"/>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38F2"/>
    <w:rsid w:val="004F4906"/>
    <w:rsid w:val="004F5047"/>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71E1"/>
    <w:rsid w:val="007700BD"/>
    <w:rsid w:val="00771B90"/>
    <w:rsid w:val="00772042"/>
    <w:rsid w:val="00773F7A"/>
    <w:rsid w:val="00775484"/>
    <w:rsid w:val="0077565B"/>
    <w:rsid w:val="00776FF2"/>
    <w:rsid w:val="007813D4"/>
    <w:rsid w:val="00785291"/>
    <w:rsid w:val="00787562"/>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253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90B"/>
    <w:rsid w:val="009704DD"/>
    <w:rsid w:val="009730BA"/>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3C7D"/>
    <w:rsid w:val="00A145FD"/>
    <w:rsid w:val="00A14E5D"/>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2514"/>
    <w:rsid w:val="00B33FC8"/>
    <w:rsid w:val="00B402EE"/>
    <w:rsid w:val="00B40929"/>
    <w:rsid w:val="00B40E68"/>
    <w:rsid w:val="00B41555"/>
    <w:rsid w:val="00B41A96"/>
    <w:rsid w:val="00B43F11"/>
    <w:rsid w:val="00B44A26"/>
    <w:rsid w:val="00B4634A"/>
    <w:rsid w:val="00B506FD"/>
    <w:rsid w:val="00B52240"/>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6E2"/>
    <w:rsid w:val="00B77B64"/>
    <w:rsid w:val="00B81ACE"/>
    <w:rsid w:val="00B82DCA"/>
    <w:rsid w:val="00B82DCD"/>
    <w:rsid w:val="00B830F1"/>
    <w:rsid w:val="00B83497"/>
    <w:rsid w:val="00B83718"/>
    <w:rsid w:val="00B84E17"/>
    <w:rsid w:val="00B86690"/>
    <w:rsid w:val="00B90173"/>
    <w:rsid w:val="00B91B7E"/>
    <w:rsid w:val="00B92A47"/>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3313"/>
    <w:rsid w:val="00C645F1"/>
    <w:rsid w:val="00C64C28"/>
    <w:rsid w:val="00C65A57"/>
    <w:rsid w:val="00C7305E"/>
    <w:rsid w:val="00C750BC"/>
    <w:rsid w:val="00C77DBD"/>
    <w:rsid w:val="00C81588"/>
    <w:rsid w:val="00C82D24"/>
    <w:rsid w:val="00C84C95"/>
    <w:rsid w:val="00C85374"/>
    <w:rsid w:val="00C87B95"/>
    <w:rsid w:val="00C90527"/>
    <w:rsid w:val="00C9571A"/>
    <w:rsid w:val="00CA1CEC"/>
    <w:rsid w:val="00CA302C"/>
    <w:rsid w:val="00CA5752"/>
    <w:rsid w:val="00CB17C4"/>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3892"/>
    <w:rsid w:val="00D23D92"/>
    <w:rsid w:val="00D2428C"/>
    <w:rsid w:val="00D25748"/>
    <w:rsid w:val="00D25BB4"/>
    <w:rsid w:val="00D2719B"/>
    <w:rsid w:val="00D27AE5"/>
    <w:rsid w:val="00D27FB8"/>
    <w:rsid w:val="00D31D74"/>
    <w:rsid w:val="00D349D4"/>
    <w:rsid w:val="00D36F51"/>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713"/>
    <w:rsid w:val="00D84F46"/>
    <w:rsid w:val="00D85D36"/>
    <w:rsid w:val="00D86AF2"/>
    <w:rsid w:val="00D87EDF"/>
    <w:rsid w:val="00D91842"/>
    <w:rsid w:val="00D91F98"/>
    <w:rsid w:val="00D93649"/>
    <w:rsid w:val="00D94F52"/>
    <w:rsid w:val="00D96CC4"/>
    <w:rsid w:val="00D96D2D"/>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1E18"/>
    <w:rsid w:val="00E839E8"/>
    <w:rsid w:val="00E83C77"/>
    <w:rsid w:val="00E85926"/>
    <w:rsid w:val="00E864EC"/>
    <w:rsid w:val="00E8670D"/>
    <w:rsid w:val="00E9096A"/>
    <w:rsid w:val="00E90AA9"/>
    <w:rsid w:val="00E90BD7"/>
    <w:rsid w:val="00E919D5"/>
    <w:rsid w:val="00E954E5"/>
    <w:rsid w:val="00E96309"/>
    <w:rsid w:val="00E966A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C6B"/>
    <w:rsid w:val="00F16F8E"/>
    <w:rsid w:val="00F2241F"/>
    <w:rsid w:val="00F224C1"/>
    <w:rsid w:val="00F22560"/>
    <w:rsid w:val="00F25D6E"/>
    <w:rsid w:val="00F32502"/>
    <w:rsid w:val="00F33229"/>
    <w:rsid w:val="00F339B1"/>
    <w:rsid w:val="00F435F6"/>
    <w:rsid w:val="00F441EE"/>
    <w:rsid w:val="00F44715"/>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tabs>
        <w:tab w:val="left" w:pos="384"/>
      </w:tabs>
      <w:spacing w:after="0" w:line="480" w:lineRule="auto"/>
      <w:ind w:left="384" w:hanging="384"/>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10D6B99-8018-46CA-8802-79616EA8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9927</Words>
  <Characters>56584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44</cp:revision>
  <cp:lastPrinted>2020-04-06T02:46:00Z</cp:lastPrinted>
  <dcterms:created xsi:type="dcterms:W3CDTF">2020-04-05T17:02:00Z</dcterms:created>
  <dcterms:modified xsi:type="dcterms:W3CDTF">2020-04-07T15:13:00Z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id="2DCOHAR3"/&gt;&lt;style id="http://www.zotero.org/styles/nature" hasBibliography="1" bibliographyStyleHasBeenSet="1"/&gt;&lt;prefs&gt;&lt;pref name="fieldType" value="Field"/&gt;&lt;/prefs&gt;&lt;/data&gt;</vt:lpwstr>
  </property>
</Properties>
</file>