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horzAnchor="margin" w:vertAnchor="text" w:tblpY="-325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4"/>
        <w:gridCol w:w="5801"/>
      </w:tblGrid>
      <w:tblGrid>
        <w:gridCol w:w="4677"/>
        <w:gridCol w:w="4677"/>
      </w:tblGrid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Golos Text" w:hAnsi="Golos Text"/>
                <w:b/>
                <w:sz w:val="24"/>
              </w:rPr>
              <w:t>Арбитражный суд Республики Татарстан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420014, г. Казань, Кремль, корп. 1</w:t>
            </w:r>
          </w:p>
        </w:tc>
      </w:tr>
      <w:tr>
        <w:tc>
          <w:tcPr>
            <w:tcW w:type="dxa" w:w="4677"/>
          </w:tcPr>
          <w:p>
            <w:pPr>
              <w:jc w:val="right"/>
            </w:pPr>
            <w:r>
              <w:rPr>
                <w:rFonts w:ascii="Golos Text" w:hAnsi="Golos Text"/>
                <w:b/>
                <w:sz w:val="24"/>
              </w:rPr>
              <w:t>ИСТЕЦ:</w:t>
            </w:r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/>
                <w:sz w:val="24"/>
              </w:rPr>
              <w:t>ООО «Ромашка»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420021, г. Казань, ул. Примерная, д. 1, оф. 10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ИНН 1600000001, ОГРН 1021600000001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тел. +7 900 000-00-00, romashka@example.com</w:t>
            </w:r>
          </w:p>
        </w:tc>
      </w:tr>
      <w:tr>
        <w:tc>
          <w:tcPr>
            <w:tcW w:type="dxa" w:w="4677"/>
          </w:tcPr>
          <w:p>
            <w:pPr>
              <w:jc w:val="right"/>
            </w:pPr>
            <w:r>
              <w:rPr>
                <w:rFonts w:ascii="Golos Text" w:hAnsi="Golos Text"/>
                <w:b/>
                <w:sz w:val="24"/>
              </w:rPr>
              <w:t>ОТВЕТЧИК:</w:t>
            </w:r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/>
                <w:sz w:val="24"/>
              </w:rPr>
              <w:t>ООО «Василек»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420043, г. Казань, ул. Образцовая, д. 2</w:t>
            </w:r>
          </w:p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ИНН 1600000002, ОГРН 1021600000002</w:t>
            </w:r>
          </w:p>
        </w:tc>
      </w:tr>
      <w:tr>
        <w:tc>
          <w:tcPr>
            <w:tcW w:type="dxa" w:w="4677"/>
          </w:tcPr>
          <w:p>
            <w:r/>
          </w:p>
        </w:tc>
        <w:tc>
          <w:tcPr>
            <w:tcW w:type="dxa" w:w="4677"/>
          </w:tcPr>
          <w:p>
            <w:pPr>
              <w:jc w:val="both"/>
            </w:pPr>
            <w:r>
              <w:rPr>
                <w:rFonts w:ascii="PT Serif" w:hAnsi="PT Serif"/>
                <w:b w:val="0"/>
                <w:sz w:val="24"/>
              </w:rPr>
              <w:t>Цена иска: 7 214 300 рублей</w:t>
            </w:r>
          </w:p>
        </w:tc>
      </w:tr>
    </w:tbl>
    <w:p>
      <w:pPr>
        <w:spacing w:before="120" w:after="80"/>
        <w:jc w:val="center"/>
      </w:pPr>
      <w:r>
        <w:rPr>
          <w:rFonts w:ascii="Golos Text" w:hAnsi="Golos Text"/>
          <w:b/>
          <w:sz w:val="28"/>
        </w:rPr>
        <w:t>ИСКОВОЕ ЗАЯВЛЕНИЕ</w:t>
      </w:r>
    </w:p>
    <w:p>
      <w:pPr>
        <w:spacing w:after="80"/>
        <w:jc w:val="center"/>
      </w:pPr>
      <w:r>
        <w:rPr>
          <w:rFonts w:ascii="Golos Text" w:hAnsi="Golos Text"/>
          <w:b/>
          <w:sz w:val="26"/>
        </w:rPr>
        <w:t>о взыскании предварительной оплаты и процентов за пользование чужими денежными средствами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W w:w="9355" w:type="dxa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Суть спора. </w:t>
            </w:r>
            <w:r>
              <w:rPr>
                <w:rFonts w:ascii="PT Serif" w:hAnsi="PT Serif"/>
                <w:b w:val="0"/>
                <w:sz w:val="24"/>
              </w:rPr>
              <w:t>Ответчик получил 6 000 000 рублей предварительной оплаты по договору поставки и за 17 месяцев не передал ни одной единицы товара.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Требование. </w:t>
            </w:r>
            <w:r>
              <w:rPr>
                <w:rFonts w:ascii="PT Serif" w:hAnsi="PT Serif"/>
                <w:b w:val="0"/>
                <w:sz w:val="24"/>
              </w:rPr>
              <w:t>Взыскать 6 000 000 рублей предварительной оплаты и проценты по статье 395 ГК РФ.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Цена иска. </w:t>
            </w:r>
            <w:r>
              <w:rPr>
                <w:rFonts w:ascii="PT Serif" w:hAnsi="PT Serif"/>
                <w:b w:val="0"/>
                <w:sz w:val="24"/>
              </w:rPr>
              <w:t>7 214 300 рублей.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Ключевой документ. </w:t>
            </w:r>
            <w:r>
              <w:rPr>
                <w:rFonts w:ascii="PT Serif" w:hAnsi="PT Serif"/>
                <w:b w:val="0"/>
                <w:sz w:val="24"/>
              </w:rPr>
              <w:t>Договор поставки от 15.03.2024 № 47, пункт 4.2 — срок передачи товара 01.09.2024 (Приложение 1).</w:t>
            </w:r>
          </w:p>
        </w:tc>
      </w:tr>
    </w:tbl>
    <w:p/>
    <w:p>
      <w:pPr>
        <w:spacing w:before="120" w:after="120"/>
        <w:jc w:val="center"/>
      </w:pPr>
      <w:r>
        <w:rPr>
          <w:rFonts w:ascii="Golos Text" w:hAnsi="Golos Text"/>
          <w:b/>
          <w:sz w:val="24"/>
        </w:rPr>
        <w:t>СОДЕРЖАНИЕ</w:t>
      </w:r>
    </w:p>
    <w:p>
      <w:pPr>
        <w:spacing w:before="0" w:after="40"/>
        <w:ind w:left="425" w:firstLine="0"/>
        <w:jc w:val="left"/>
      </w:pPr>
      <w:r>
        <w:rPr>
          <w:rFonts w:ascii="PT Serif" w:hAnsi="PT Serif"/>
          <w:b w:val="0"/>
          <w:sz w:val="24"/>
        </w:rPr>
        <w:t>I. Обстоятельства дела</w:t>
      </w:r>
    </w:p>
    <w:p>
      <w:pPr>
        <w:spacing w:before="0" w:after="40"/>
        <w:ind w:left="425" w:firstLine="0"/>
        <w:jc w:val="left"/>
      </w:pPr>
      <w:r>
        <w:rPr>
          <w:rFonts w:ascii="PT Serif" w:hAnsi="PT Serif"/>
          <w:b w:val="0"/>
          <w:sz w:val="24"/>
        </w:rPr>
        <w:t>II. Правовое обоснование</w:t>
      </w:r>
    </w:p>
    <w:p>
      <w:pPr>
        <w:spacing w:before="0" w:after="40"/>
        <w:ind w:left="425" w:firstLine="0"/>
        <w:jc w:val="left"/>
      </w:pPr>
      <w:r>
        <w:rPr>
          <w:rFonts w:ascii="PT Serif" w:hAnsi="PT Serif"/>
          <w:b w:val="0"/>
          <w:sz w:val="24"/>
        </w:rPr>
        <w:t>III. Расчет требований</w:t>
      </w:r>
    </w:p>
    <w:p>
      <w:pPr>
        <w:spacing w:before="0" w:after="40"/>
        <w:ind w:left="425" w:firstLine="0"/>
        <w:jc w:val="left"/>
      </w:pPr>
      <w:r>
        <w:rPr>
          <w:rFonts w:ascii="PT Serif" w:hAnsi="PT Serif"/>
          <w:b w:val="0"/>
          <w:sz w:val="24"/>
        </w:rPr>
        <w:t>IV. Доводы, которые заявит ответчик</w:t>
      </w:r>
    </w:p>
    <w:p/>
    <w:p>
      <w:bookmarkStart w:id="1001" w:name="SEC1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I. Обстоятельства дела</w:t>
      </w:r>
      <w:bookmarkEnd w:id="1001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1. </w:t>
      </w:r>
      <w:r>
        <w:rPr>
          <w:rFonts w:ascii="PT Serif" w:hAnsi="PT Serif"/>
          <w:b/>
          <w:sz w:val="24"/>
        </w:rPr>
        <w:t>15.03.2024</w:t>
      </w:r>
      <w:r>
        <w:rPr>
          <w:rFonts w:ascii="PT Serif" w:hAnsi="PT Serif"/>
          <w:b w:val="0"/>
          <w:sz w:val="24"/>
        </w:rPr>
        <w:t xml:space="preserve"> между Истцом и Ответчиком заключен договор поставки № 47. Предмет — поставка оборудования по спецификации (Приложение 1). Пунктом 4.2 договора срок передачи товара определен как </w:t>
      </w:r>
      <w:r>
        <w:rPr>
          <w:rFonts w:ascii="PT Serif" w:hAnsi="PT Serif"/>
          <w:b/>
          <w:sz w:val="24"/>
        </w:rPr>
        <w:t>01.09.2024</w:t>
      </w:r>
      <w:r>
        <w:rPr>
          <w:rFonts w:ascii="PT Serif" w:hAnsi="PT Serif"/>
          <w:b w:val="0"/>
          <w:sz w:val="24"/>
        </w:rPr>
        <w:t>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2. </w:t>
      </w:r>
      <w:r>
        <w:rPr>
          <w:rFonts w:ascii="PT Serif" w:hAnsi="PT Serif"/>
          <w:b w:val="0"/>
          <w:sz w:val="24"/>
        </w:rPr>
        <w:t xml:space="preserve">20.04.2024 Истец перечислил Ответчику предварительную оплату в размере </w:t>
      </w:r>
      <w:r>
        <w:rPr>
          <w:rFonts w:ascii="PT Serif" w:hAnsi="PT Serif"/>
          <w:b/>
          <w:sz w:val="24"/>
        </w:rPr>
        <w:t>6 000 000 рублей</w:t>
      </w:r>
      <w:r>
        <w:rPr>
          <w:rFonts w:ascii="PT Serif" w:hAnsi="PT Serif"/>
          <w:b w:val="0"/>
          <w:sz w:val="24"/>
        </w:rPr>
        <w:t xml:space="preserve"> платежным поручением № 312 (Приложение 2). Оплата произведена в полном объеме и в срок, установленный пунктом 3.1 договора.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3. </w:t>
      </w:r>
      <w:r>
        <w:rPr>
          <w:rFonts w:ascii="PT Serif" w:hAnsi="PT Serif"/>
          <w:b w:val="0"/>
          <w:sz w:val="24"/>
        </w:rPr>
        <w:t>К 01.09.2024 товар Истцу не передан. Товарные накладные и акты приема-передачи между сторонами не подписывались, что Ответчик не оспаривает.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4. </w:t>
      </w:r>
      <w:r>
        <w:rPr>
          <w:rFonts w:ascii="PT Serif" w:hAnsi="PT Serif"/>
          <w:b w:val="0"/>
          <w:sz w:val="24"/>
        </w:rPr>
        <w:t xml:space="preserve">14.11.2024 Истец вручил Ответчику претензию с требованием возвратить предварительную оплату (Приложение 4). Претензия получена под роспись, ответ не поступил. Досудебный порядок соблюден </w:t>
      </w:r>
      <w:r>
        <w:rPr>
          <w:rFonts w:ascii="PT Serif" w:hAnsi="PT Serif"/>
          <w:b/>
          <w:sz w:val="24"/>
        </w:rPr>
        <w:t>[ч. 5 ст. 4 АПК РФ]</w:t>
      </w:r>
      <w:r>
        <w:rPr>
          <w:rFonts w:ascii="PT Serif" w:hAnsi="PT Serif"/>
          <w:b w:val="0"/>
          <w:sz w:val="24"/>
        </w:rPr>
        <w:t>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5. </w:t>
      </w:r>
      <w:r>
        <w:rPr>
          <w:rFonts w:ascii="PT Serif" w:hAnsi="PT Serif"/>
          <w:b w:val="0"/>
          <w:sz w:val="24"/>
        </w:rPr>
        <w:t>По состоянию на дату подачи иска товар не передан, денежные средства не возвращены.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k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T Serif" w:hAnsi="PT Serif"/>
          <w:b w:val="0"/>
          <w:sz w:val="22"/>
        </w:rPr>
        <w:t>Схема 1. Хронология отношений сторон</w:t>
      </w:r>
    </w:p>
    <w:p>
      <w:bookmarkStart w:id="1002" w:name="SEC2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II. Правовое обоснование</w:t>
      </w:r>
      <w:bookmarkEnd w:id="1002"/>
    </w:p>
    <w:p>
      <w:pPr>
        <w:spacing w:before="120" w:after="60"/>
        <w:jc w:val="both"/>
      </w:pPr>
      <w:r>
        <w:rPr>
          <w:rFonts w:ascii="Golos Text" w:hAnsi="Golos Text"/>
          <w:b/>
          <w:sz w:val="24"/>
        </w:rPr>
        <w:t>II.1. Обязанность возвратить предварительную оплату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6. </w:t>
      </w:r>
      <w:r>
        <w:rPr>
          <w:rFonts w:ascii="PT Serif" w:hAnsi="PT Serif"/>
          <w:b w:val="0"/>
          <w:sz w:val="24"/>
        </w:rPr>
        <w:t xml:space="preserve">Ответчик обязательство по передаче товара не исполнил, тогда как обязательства подлежат исполнению надлежащим образом </w:t>
      </w:r>
      <w:r>
        <w:rPr>
          <w:rFonts w:ascii="PT Serif" w:hAnsi="PT Serif"/>
          <w:b/>
          <w:sz w:val="24"/>
        </w:rPr>
        <w:t>[ст. 309 ГК РФ]</w:t>
      </w:r>
      <w:r>
        <w:rPr>
          <w:rFonts w:ascii="PT Serif" w:hAnsi="PT Serif"/>
          <w:b w:val="0"/>
          <w:sz w:val="24"/>
        </w:rPr>
        <w:t>:</w:t>
      </w:r>
    </w:p>
    <w:p>
      <w:pPr>
        <w:spacing w:before="120" w:after="120"/>
        <w:ind w:left="709" w:right="709" w:firstLine="0"/>
        <w:jc w:val="both"/>
      </w:pPr>
      <w:r>
        <w:rPr>
          <w:rFonts w:ascii="PT Serif" w:hAnsi="PT Serif"/>
          <w:b w:val="0"/>
          <w:sz w:val="22"/>
        </w:rPr>
        <w:t>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7. </w:t>
      </w:r>
      <w:r>
        <w:rPr>
          <w:rFonts w:ascii="PT Serif" w:hAnsi="PT Serif"/>
          <w:b w:val="0"/>
          <w:sz w:val="24"/>
        </w:rPr>
        <w:t xml:space="preserve">Товар в установленный договором срок не передан. Истец вправе потребовать возврата суммы предварительной оплаты </w:t>
      </w:r>
      <w:r>
        <w:rPr>
          <w:rFonts w:ascii="PT Serif" w:hAnsi="PT Serif"/>
          <w:b/>
          <w:sz w:val="24"/>
        </w:rPr>
        <w:t>[п. 3 ст. 487 ГК РФ]</w:t>
      </w:r>
      <w:r>
        <w:rPr>
          <w:rFonts w:ascii="PT Serif" w:hAnsi="PT Serif"/>
          <w:b w:val="0"/>
          <w:sz w:val="24"/>
        </w:rPr>
        <w:t>. Основание требования — неисполнение встречного обязательства, а не расторжение договора, поэтому доказывать существенность нарушения не требуется.</w:t>
      </w:r>
    </w:p>
    <w:p>
      <w:pPr>
        <w:spacing w:before="120" w:after="60"/>
        <w:jc w:val="both"/>
      </w:pPr>
      <w:r>
        <w:rPr>
          <w:rFonts w:ascii="Golos Text" w:hAnsi="Golos Text"/>
          <w:b/>
          <w:sz w:val="24"/>
        </w:rPr>
        <w:t>II.2. Проценты за пользование чужими денежными средствами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8. </w:t>
      </w:r>
      <w:r>
        <w:rPr>
          <w:rFonts w:ascii="PT Serif" w:hAnsi="PT Serif"/>
          <w:b w:val="0"/>
          <w:sz w:val="24"/>
        </w:rPr>
        <w:t xml:space="preserve">С 02.09.2024 денежные средства удерживаются Ответчиком неправомерно </w:t>
      </w:r>
      <w:r>
        <w:rPr>
          <w:rFonts w:ascii="PT Serif" w:hAnsi="PT Serif"/>
          <w:b/>
          <w:sz w:val="24"/>
        </w:rPr>
        <w:t>[п. 1 ст. 395 ГК РФ]</w:t>
      </w:r>
      <w:r>
        <w:rPr>
          <w:rFonts w:ascii="PT Serif" w:hAnsi="PT Serif"/>
          <w:b w:val="0"/>
          <w:sz w:val="24"/>
        </w:rPr>
        <w:t>:</w:t>
      </w:r>
    </w:p>
    <w:p>
      <w:pPr>
        <w:spacing w:before="120" w:after="120"/>
        <w:ind w:left="709" w:right="709" w:firstLine="0"/>
        <w:jc w:val="both"/>
      </w:pPr>
      <w:r>
        <w:rPr>
          <w:rFonts w:ascii="PT Serif" w:hAnsi="PT Serif"/>
          <w:b w:val="0"/>
          <w:sz w:val="22"/>
        </w:rPr>
        <w:t>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 Эти правила применяются, если иной размер процентов не установлен законом или договором.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9. </w:t>
      </w:r>
      <w:r>
        <w:rPr>
          <w:rFonts w:ascii="PT Serif" w:hAnsi="PT Serif"/>
          <w:b w:val="0"/>
          <w:sz w:val="24"/>
        </w:rPr>
        <w:t xml:space="preserve">Договором иной размер процентов не установлен, договорная неустойка за просрочку передачи товара не предусмотрена, поэтому ограничение пункта 4 статьи 395 ГК РФ не применяется </w:t>
      </w:r>
      <w:r>
        <w:rPr>
          <w:rFonts w:ascii="PT Serif" w:hAnsi="PT Serif"/>
          <w:b/>
          <w:sz w:val="24"/>
        </w:rPr>
        <w:t>[п. 4 ст. 395 ГК РФ]</w:t>
      </w:r>
      <w:r>
        <w:rPr>
          <w:rFonts w:ascii="PT Serif" w:hAnsi="PT Serif"/>
          <w:b w:val="0"/>
          <w:sz w:val="24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04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k_pa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0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T Serif" w:hAnsi="PT Serif"/>
          <w:b w:val="0"/>
          <w:sz w:val="22"/>
        </w:rPr>
        <w:t>Схема 2. Связи сторон</w:t>
      </w:r>
    </w:p>
    <w:p>
      <w:bookmarkStart w:id="1003" w:name="SEC3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III. Расчет требований</w:t>
      </w:r>
      <w:bookmarkEnd w:id="1003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10. </w:t>
      </w:r>
      <w:r>
        <w:rPr>
          <w:rFonts w:ascii="PT Serif" w:hAnsi="PT Serif"/>
          <w:b w:val="0"/>
          <w:sz w:val="24"/>
        </w:rPr>
        <w:t>Расчет процентов приведен по периодам действия ключевой ставки Банка России. Значения ставок в настоящем образце условны.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52" w:type="dxa"/>
        <w:tblLayout w:type="fixed"/>
      </w:tblPr>
      <w:tblGrid>
        <w:gridCol w:w="3180"/>
        <w:gridCol w:w="1683"/>
        <w:gridCol w:w="1216"/>
        <w:gridCol w:w="935"/>
        <w:gridCol w:w="2338"/>
      </w:tblGrid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E6E6E6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Период</w:t>
            </w:r>
          </w:p>
        </w:tc>
        <w:tc>
          <w:tcPr>
            <w:tcW w:type="dxa" w:w="1871"/>
            <w:shd w:val="clear" w:color="auto" w:fill="E6E6E6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Golos Text" w:hAnsi="Golos Text"/>
                <w:b/>
                <w:sz w:val="22"/>
              </w:rPr>
              <w:t>Сумма долга, руб.</w:t>
            </w:r>
          </w:p>
        </w:tc>
        <w:tc>
          <w:tcPr>
            <w:tcW w:type="dxa" w:w="1871"/>
            <w:shd w:val="clear" w:color="auto" w:fill="E6E6E6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Golos Text" w:hAnsi="Golos Text"/>
                <w:b/>
                <w:sz w:val="22"/>
              </w:rPr>
              <w:t>Ставка, %</w:t>
            </w:r>
          </w:p>
        </w:tc>
        <w:tc>
          <w:tcPr>
            <w:tcW w:type="dxa" w:w="1871"/>
            <w:shd w:val="clear" w:color="auto" w:fill="E6E6E6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Golos Text" w:hAnsi="Golos Text"/>
                <w:b/>
                <w:sz w:val="22"/>
              </w:rPr>
              <w:t>Дней</w:t>
            </w:r>
          </w:p>
        </w:tc>
        <w:tc>
          <w:tcPr>
            <w:tcW w:type="dxa" w:w="1871"/>
            <w:shd w:val="clear" w:color="auto" w:fill="E6E6E6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Golos Text" w:hAnsi="Golos Text"/>
                <w:b/>
                <w:sz w:val="22"/>
              </w:rPr>
              <w:t>Проценты, руб.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02.09.2024 - 31.12.2024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6 000 000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18,00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121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358 032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01.01.2025 - 30.06.2025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6 000 000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19,00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181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565 479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01.07.2025 - 20.01.2026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6 000 000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16,00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204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  <w:t>290 789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/>
                <w:sz w:val="22"/>
              </w:rPr>
              <w:t>Итого проценты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/>
                <w:sz w:val="22"/>
              </w:rPr>
              <w:t>1 214 300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/>
                <w:sz w:val="22"/>
              </w:rPr>
              <w:t>Основной долг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/>
                <w:sz w:val="22"/>
              </w:rPr>
              <w:t>6 000 000</w:t>
            </w:r>
          </w:p>
        </w:tc>
      </w:tr>
      <w:tr>
        <w:tc>
          <w:tcPr>
            <w:tcW w:type="dxa" w:w="1871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/>
                <w:sz w:val="22"/>
              </w:rPr>
              <w:t>Цена иска</w:t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 w:val="0"/>
                <w:sz w:val="22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PT Mono" w:hAnsi="PT Mono"/>
                <w:b/>
                <w:sz w:val="22"/>
              </w:rPr>
              <w:t>7 214 300</w:t>
            </w:r>
          </w:p>
        </w:tc>
      </w:tr>
    </w:tbl>
    <w:p/>
    <w:p>
      <w:bookmarkStart w:id="1004" w:name="SEC4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IV. Доводы, которые заявит ответчик</w:t>
      </w:r>
      <w:bookmarkEnd w:id="1004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11. </w:t>
      </w:r>
      <w:r>
        <w:rPr>
          <w:rFonts w:ascii="PT Serif" w:hAnsi="PT Serif"/>
          <w:b w:val="0"/>
          <w:sz w:val="24"/>
        </w:rPr>
        <w:t xml:space="preserve">Ответчик сошлется на невозможность поставки из-за действий изготовителя. Вместе с тем риск неисполнения обязательства контрагентом лежит на поставщике: предпринимательская деятельность осуществляется на свой риск </w:t>
      </w:r>
      <w:r>
        <w:rPr>
          <w:rFonts w:ascii="PT Serif" w:hAnsi="PT Serif"/>
          <w:b/>
          <w:sz w:val="24"/>
        </w:rPr>
        <w:t>[абз. 3 п. 1 ст. 2 ГК РФ]</w:t>
      </w:r>
      <w:r>
        <w:rPr>
          <w:rFonts w:ascii="PT Serif" w:hAnsi="PT Serif"/>
          <w:b w:val="0"/>
          <w:sz w:val="24"/>
        </w:rPr>
        <w:t>, а отсутствие товара у изготовителя обстоятельством непреодолимой силы не является.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12. </w:t>
      </w:r>
      <w:r>
        <w:rPr>
          <w:rFonts w:ascii="PT Serif" w:hAnsi="PT Serif"/>
          <w:b w:val="0"/>
          <w:sz w:val="24"/>
        </w:rPr>
        <w:t xml:space="preserve">Ответчик заявит о снижении процентов. Проценты по статье 395 ГК РФ определяются ключевой ставкой и снижению по статье 333 ГК РФ не подлежат ниже этого предела </w:t>
      </w:r>
      <w:r>
        <w:rPr>
          <w:rFonts w:ascii="PT Serif" w:hAnsi="PT Serif"/>
          <w:b/>
          <w:sz w:val="24"/>
        </w:rPr>
        <w:t>[п. 6 ст. 395 ГК РФ]</w:t>
      </w:r>
      <w:r>
        <w:rPr>
          <w:rFonts w:ascii="PT Serif" w:hAnsi="PT Serif"/>
          <w:b w:val="0"/>
          <w:sz w:val="24"/>
        </w:rPr>
        <w:t>.</w:t>
      </w:r>
    </w:p>
    <w:p/>
    <w:p>
      <w:pPr>
        <w:spacing w:after="120"/>
        <w:jc w:val="center"/>
      </w:pPr>
      <w:r>
        <w:rPr>
          <w:rFonts w:ascii="Golos Text" w:hAnsi="Golos Text"/>
          <w:b/>
          <w:sz w:val="24"/>
        </w:rPr>
        <w:t>ПРОШУ:</w:t>
      </w:r>
    </w:p>
    <w:p>
      <w:pPr>
        <w:pStyle w:val="ListParagraph"/>
        <w:spacing w:before="40" w:after="40"/>
        <w:jc w:val="both"/>
      </w:pPr>
      <w:r>
        <w:rPr>
          <w:rFonts w:ascii="PT Serif" w:hAnsi="PT Serif"/>
          <w:b w:val="0"/>
          <w:sz w:val="24"/>
        </w:rPr>
        <w:t>1. Взыскать с ООО «Василек» в пользу ООО «Ромашка» 6 000 000 (шесть миллионов) рублей 00 копеек предварительной оплаты по договору поставки от 15.03.2024 № 47.</w:t>
      </w:r>
    </w:p>
    <w:p>
      <w:pPr>
        <w:pStyle w:val="ListParagraph"/>
        <w:spacing w:before="40" w:after="40"/>
        <w:jc w:val="both"/>
      </w:pPr>
      <w:r>
        <w:rPr>
          <w:rFonts w:ascii="PT Serif" w:hAnsi="PT Serif"/>
          <w:b w:val="0"/>
          <w:sz w:val="24"/>
        </w:rPr>
        <w:t>2. Взыскать с ООО «Василек» в пользу ООО «Ромашка» 1 214 300 (один миллион двести четырнадцать тысяч триста) рублей 00 копеек процентов за пользование чужими денежными средствами за период с 02.09.2024 по 20.01.2026.</w:t>
      </w:r>
    </w:p>
    <w:p>
      <w:pPr>
        <w:pStyle w:val="ListParagraph"/>
        <w:spacing w:before="40" w:after="40"/>
        <w:jc w:val="both"/>
      </w:pPr>
      <w:r>
        <w:rPr>
          <w:rFonts w:ascii="PT Serif" w:hAnsi="PT Serif"/>
          <w:b w:val="0"/>
          <w:sz w:val="24"/>
        </w:rPr>
        <w:t>3. Взыскать с ООО «Василек» в пользу ООО «Ромашка» проценты за пользование чужими денежными средствами, начисляемые на сумму 6 000 000 рублей по ключевой ставке Банка России, с 21.01.2026 по день фактического возврата суммы.</w:t>
      </w:r>
    </w:p>
    <w:p>
      <w:pPr>
        <w:pStyle w:val="ListParagraph"/>
        <w:spacing w:before="40" w:after="40"/>
        <w:jc w:val="both"/>
      </w:pPr>
      <w:r>
        <w:rPr>
          <w:rFonts w:ascii="PT Serif" w:hAnsi="PT Serif"/>
          <w:b w:val="0"/>
          <w:sz w:val="24"/>
        </w:rPr>
        <w:t>4. Взыскать с ООО «Василек» в пользу ООО «Ромашка» расходы по уплате государственной пошлины.</w:t>
      </w:r>
    </w:p>
    <w:p>
      <w:pPr>
        <w:spacing w:before="240" w:after="120"/>
        <w:jc w:val="both"/>
      </w:pPr>
      <w:r>
        <w:rPr>
          <w:rFonts w:ascii="Golos Text" w:hAnsi="Golos Text"/>
          <w:b/>
          <w:sz w:val="24"/>
        </w:rPr>
        <w:t>ПРИЛОЖЕНИЯ: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1. Договор поставки от 15.03.2024 № 47 со спецификацией — 8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2. Платежное поручение от 20.04.2024 № 312 — 1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3. Выписка по расчетному счету за период с 20.04.2024 по 20.01.2026 — 3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4. Претензия от 14.11.2024 с отметкой о вручении — 2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5. Расчет процентов за период с 02.09.2024 по 20.01.2026 — 1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6. Платежное поручение об уплате государственной пошлины — 1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7. Выписки из ЕГРЮЛ в отношении Истца и Ответчика — 4 л.</w:t>
      </w:r>
    </w:p>
    <w:p>
      <w:pPr>
        <w:pStyle w:val="ListParagraph"/>
        <w:spacing w:before="0" w:after="240"/>
        <w:jc w:val="both"/>
      </w:pPr>
      <w:r>
        <w:rPr>
          <w:rFonts w:ascii="PT Serif" w:hAnsi="PT Serif"/>
          <w:b w:val="0"/>
          <w:sz w:val="24"/>
        </w:rPr>
        <w:t>8. Документы о направлении копии иска Ответчику — 2 л.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2339"/>
        <w:gridCol w:w="2000"/>
      </w:tblGrid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PT Serif" w:hAnsi="PT Serif"/>
                <w:b w:val="0"/>
                <w:sz w:val="24"/>
              </w:rPr>
              <w:t>Генеральный директор ООО «Ромашка»</w:t>
            </w: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right"/>
            </w:pPr>
            <w:r>
              <w:rPr>
                <w:rFonts w:ascii="PT Serif" w:hAnsi="PT Serif"/>
                <w:b w:val="0"/>
                <w:sz w:val="24"/>
              </w:rPr>
              <w:t>И. И. Петров</w:t>
            </w:r>
          </w:p>
        </w:tc>
      </w:tr>
    </w:tbl>
    <w:p>
      <w:pPr>
        <w:spacing w:before="120" w:after="120"/>
        <w:jc w:val="left"/>
      </w:pPr>
      <w:r>
        <w:rPr>
          <w:rFonts w:ascii="PT Serif" w:hAnsi="PT Serif"/>
          <w:b w:val="0"/>
          <w:sz w:val="24"/>
        </w:rPr>
        <w:t>20.01.2026</w:t>
      </w:r>
    </w:p>
    <w:p>
      <w:pPr>
        <w:spacing w:before="120" w:after="0"/>
        <w:jc w:val="both"/>
      </w:pPr>
    </w:p>
    <w:sectPr w:rsidR="00FC693F" w:rsidRPr="0006063C" w:rsidSect="00034616">
      <w:footerReference w:type="default" r:id="rId11"/>
      <w:headerReference w:type="default" r:id="rId12"/>
      <w:pgSz w:w="11906" w:h="16838"/>
      <w:pgMar w:top="1134" w:right="850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T Serif" w:hAnsi="PT Serif"/>
        <w:b w:val="0"/>
        <w:sz w:val="18"/>
      </w:rPr>
      <w:t>Образец. Фактура вымышлена, реквизиты недействительны.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olos Text" w:hAnsi="Golos Text"/>
        <w:b w:val="0"/>
        <w:sz w:val="24"/>
      </w:rPr>
    </w:r>
    <w:fldSimple w:instr=" PAGE ">
      <w:r>
        <w:rPr>
          <w:rFonts w:ascii="Golos Text" w:hAnsi="Golos Text"/>
          <w:b w:val="0"/>
          <w:sz w:val="24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