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PT Serif" w:hAnsi="PT Serif"/>
          <w:b/>
          <w:spacing w:val="60"/>
          <w:sz w:val="28"/>
        </w:rPr>
        <w:t>ДОГОВОР ПОСТАВКИ ОБОРУДОВАНИЯ № 47</w:t>
      </w:r>
    </w:p>
    <w:p>
      <w:pPr>
        <w:spacing w:after="240"/>
        <w:jc w:val="center"/>
      </w:pPr>
      <w:r>
        <w:rPr>
          <w:rFonts w:ascii="PT Serif" w:hAnsi="PT Serif"/>
          <w:b/>
          <w:sz w:val="26"/>
        </w:rPr>
        <w:t>г. Казань, 15.03.2024</w:t>
      </w:r>
    </w:p>
    <w:p>
      <w:pPr>
        <w:spacing w:before="240" w:after="120"/>
        <w:jc w:val="both"/>
      </w:pPr>
      <w:r>
        <w:rPr>
          <w:rFonts w:ascii="PT Serif" w:hAnsi="PT Serif"/>
          <w:b/>
          <w:sz w:val="24"/>
        </w:rPr>
        <w:t>Главное на одной странице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Кто. </w:t>
            </w:r>
            <w:r>
              <w:rPr>
                <w:rFonts w:ascii="PT Serif" w:hAnsi="PT Serif"/>
                <w:b w:val="0"/>
                <w:sz w:val="24"/>
              </w:rPr>
              <w:t>ООО «Ромашка» (Покупатель) покупает, ООО «Василек» (Поставщик) поставляет.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Что. </w:t>
            </w:r>
            <w:r>
              <w:rPr>
                <w:rFonts w:ascii="PT Serif" w:hAnsi="PT Serif"/>
                <w:b w:val="0"/>
                <w:sz w:val="24"/>
              </w:rPr>
              <w:t>Линия розлива по спецификации — Приложение 1, 4 позиции.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Сколько. </w:t>
            </w:r>
            <w:r>
              <w:rPr>
                <w:rFonts w:ascii="PT Serif" w:hAnsi="PT Serif"/>
                <w:b w:val="0"/>
                <w:sz w:val="24"/>
              </w:rPr>
              <w:t>6 000 000 рублей, НДС включен. Предоплата 100 процентов.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Когда. </w:t>
            </w:r>
            <w:r>
              <w:rPr>
                <w:rFonts w:ascii="PT Serif" w:hAnsi="PT Serif"/>
                <w:b w:val="0"/>
                <w:sz w:val="24"/>
              </w:rPr>
              <w:t>Оплата — до 25.04.2024. Поставка — до 01.09.2024. Монтаж — 15 рабочих дней с даты поставки.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Что будет, если нарушить. </w:t>
            </w:r>
            <w:r>
              <w:rPr>
                <w:rFonts w:ascii="PT Serif" w:hAnsi="PT Serif"/>
                <w:b w:val="0"/>
                <w:sz w:val="24"/>
              </w:rPr>
              <w:t>Просрочка поставки — 0,1 процента в день от стоимости непоставленного, но не более 10 процентов. Просрочка свыше 30 дней — Покупатель вправе отказаться от договора и требовать возврата всей предоплаты.</w:t>
            </w:r>
          </w:p>
        </w:tc>
      </w:tr>
    </w:tbl>
    <w:p>
      <w:pPr>
        <w:spacing w:before="0" w:after="200"/>
        <w:ind w:firstLine="709"/>
        <w:jc w:val="both"/>
      </w:pPr>
      <w:r>
        <w:rPr>
          <w:rFonts w:ascii="PT Serif" w:hAnsi="PT Serif"/>
          <w:b/>
          <w:sz w:val="24"/>
        </w:rPr>
        <w:t xml:space="preserve">Краткий слой не заменяет договор. </w:t>
      </w:r>
      <w:r>
        <w:rPr>
          <w:rFonts w:ascii="PT Serif" w:hAnsi="PT Serif"/>
          <w:b w:val="0"/>
          <w:sz w:val="24"/>
        </w:rPr>
        <w:t>Он приведен для быстрого понимания и не является толкованием. При любом расхождении между кратким слоем и разделами 1-6 применяются разделы 1-6.</w:t>
      </w:r>
    </w:p>
    <w:p>
      <w:pPr>
        <w:spacing w:before="120" w:after="120"/>
        <w:jc w:val="center"/>
      </w:pPr>
      <w:r>
        <w:rPr>
          <w:rFonts w:ascii="PT Serif" w:hAnsi="PT Serif"/>
          <w:b/>
          <w:sz w:val="24"/>
        </w:rPr>
        <w:t>РАЗДЕЛЫ ДОГОВОРА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1. Предмет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2. Цена и оплата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3. Сроки и порядок поставки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4. Приемка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5. Ответственность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6. Условия, требующие отдельного внимания</w:t>
      </w:r>
    </w:p>
    <w:p/>
    <w:p>
      <w:pPr>
        <w:spacing w:before="240" w:after="120"/>
        <w:jc w:val="both"/>
      </w:pPr>
      <w:r>
        <w:rPr>
          <w:rFonts w:ascii="PT Serif" w:hAnsi="PT Serif"/>
          <w:b/>
          <w:sz w:val="24"/>
        </w:rPr>
        <w:t>Кто что делает и к какому сроку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9352" w:type="dxa"/>
        <w:tblLayout w:type="fixed"/>
      </w:tblPr>
      <w:tblGrid>
        <w:gridCol w:w="1309"/>
        <w:gridCol w:w="2993"/>
        <w:gridCol w:w="1683"/>
        <w:gridCol w:w="3367"/>
      </w:tblGrid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Сторона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Обязательство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Срок</w:t>
            </w:r>
          </w:p>
        </w:tc>
        <w:tc>
          <w:tcPr>
            <w:tcW w:type="dxa" w:w="2339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Последствие нарушения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Покупатель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Оплатить 6 000 000 руб.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до 25.04.2024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 вправе приостановить поставку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Передать оборудование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до 01.09.2024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неустойка 0,1 процента в день, не более 10 процентов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Смонтировать и запустить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15 р. д. с поставки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неустойка 0,1 процента в день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Покупатель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Подписать акт либо дать мотивированный отказ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5 р. д. с монтажа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оборудование считается принятым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Поставщик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Устранить недостатки по акту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10 р. д.</w:t>
            </w:r>
          </w:p>
        </w:tc>
        <w:tc>
          <w:tcPr>
            <w:tcW w:type="dxa" w:w="2339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Покупатель вправе устранить сам за счет Поставщика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4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g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T Serif" w:hAnsi="PT Serif"/>
          <w:b w:val="0"/>
          <w:sz w:val="22"/>
        </w:rPr>
        <w:t>Схема. Сроки договора</w:t>
      </w:r>
    </w:p>
    <w:p>
      <w:bookmarkStart w:id="1001" w:name="D1"/>
      <w:pPr>
        <w:spacing w:before="240" w:after="120"/>
        <w:jc w:val="both"/>
      </w:pPr>
      <w:r>
        <w:rPr>
          <w:rFonts w:ascii="PT Serif" w:hAnsi="PT Serif"/>
          <w:b/>
          <w:sz w:val="24"/>
        </w:rPr>
        <w:t>1. Предмет</w:t>
      </w:r>
      <w:bookmarkEnd w:id="1001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Поставщик обязуется передать в собственность Покупателя линию розлива в комплектации согласно спецификации (Приложение 1), смонтировать ее и ввести в эксплуатацию, а Покупатель обязуется принять оборудование и оплатить его.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Место поставки: 420021, г. Казань, ул. Примерная, д. 1, производственное помещение Покупателя.</w:t>
      </w:r>
    </w:p>
    <w:p>
      <w:bookmarkStart w:id="1002" w:name="D2"/>
      <w:pPr>
        <w:spacing w:before="240" w:after="120"/>
        <w:jc w:val="both"/>
      </w:pPr>
      <w:r>
        <w:rPr>
          <w:rFonts w:ascii="PT Serif" w:hAnsi="PT Serif"/>
          <w:b/>
          <w:sz w:val="24"/>
        </w:rPr>
        <w:t>2. Цена и оплата</w:t>
      </w:r>
      <w:bookmarkEnd w:id="1002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Цена договора составляет </w:t>
      </w:r>
      <w:r>
        <w:rPr>
          <w:rFonts w:ascii="PT Serif" w:hAnsi="PT Serif"/>
          <w:b/>
          <w:sz w:val="24"/>
        </w:rPr>
        <w:t>6 000 000</w:t>
      </w:r>
      <w:r>
        <w:rPr>
          <w:rFonts w:ascii="PT Serif" w:hAnsi="PT Serif"/>
          <w:b w:val="0"/>
          <w:sz w:val="24"/>
        </w:rPr>
        <w:t xml:space="preserve"> (шесть миллионов) рублей 00 копеек, включая НДС. Цена включает стоимость оборудования, доставки, монтажа и пусконаладки.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Покупатель перечисляет предварительную оплату в размере 100 процентов цены договора в срок до 25.04.2024.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Обязательство по оплате считается исполненным с момента списания денежных средств с расчетного счета Покупателя.</w:t>
      </w:r>
    </w:p>
    <w:p>
      <w:bookmarkStart w:id="1003" w:name="D3"/>
      <w:pPr>
        <w:spacing w:before="240" w:after="120"/>
        <w:jc w:val="both"/>
      </w:pPr>
      <w:r>
        <w:rPr>
          <w:rFonts w:ascii="PT Serif" w:hAnsi="PT Serif"/>
          <w:b/>
          <w:sz w:val="24"/>
        </w:rPr>
        <w:t>3. Сроки и порядок поставки</w:t>
      </w:r>
      <w:bookmarkEnd w:id="1003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Поставщик передает оборудование в срок до 01.09.2024. Досрочная поставка допускается с письменного согласия Покупателя.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Монтаж и пусконаладка выполняются в течение 15 рабочих дней с даты передачи оборудования.</w:t>
      </w:r>
    </w:p>
    <w:p>
      <w:bookmarkStart w:id="1004" w:name="D4"/>
      <w:pPr>
        <w:spacing w:before="240" w:after="120"/>
        <w:jc w:val="both"/>
      </w:pPr>
      <w:r>
        <w:rPr>
          <w:rFonts w:ascii="PT Serif" w:hAnsi="PT Serif"/>
          <w:b/>
          <w:sz w:val="24"/>
        </w:rPr>
        <w:t>4. Приемка</w:t>
      </w:r>
      <w:bookmarkEnd w:id="1004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Покупатель в течение 5 рабочих дней с даты завершения монтажа подписывает акт приема-передачи либо направляет мотивированный отказ с перечнем недостатков.</w:t>
      </w:r>
    </w:p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Проверка при приемке: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комплектность по спецификации (Приложение 1);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отсутствие механических повреждений;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наличие паспортов и сертификатов на оборудование;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выход на заявленную производительность в тестовом режиме;</w:t>
      </w:r>
    </w:p>
    <w:p>
      <w:pPr>
        <w:pStyle w:val="ListBullet"/>
        <w:spacing w:before="40" w:after="40"/>
        <w:ind w:left="850"/>
        <w:jc w:val="both"/>
      </w:pPr>
      <w:r>
        <w:rPr>
          <w:rFonts w:ascii="PT Serif" w:hAnsi="PT Serif"/>
          <w:b w:val="0"/>
          <w:sz w:val="24"/>
        </w:rPr>
        <w:t>передача эксплуатационной документации на русском языке.</w:t>
      </w:r>
    </w:p>
    <w:p>
      <w:pPr>
        <w:spacing w:before="120" w:after="120"/>
        <w:ind w:firstLine="709"/>
        <w:jc w:val="both"/>
      </w:pPr>
      <w:r>
        <w:rPr>
          <w:rFonts w:ascii="PT Serif" w:hAnsi="PT Serif"/>
          <w:b w:val="0"/>
          <w:sz w:val="24"/>
        </w:rPr>
        <w:t>Непроведение любой из проверок не лишает Покупателя права заявить о скрытых недостатках в пределах гарантийного срока.</w:t>
      </w:r>
    </w:p>
    <w:p>
      <w:bookmarkStart w:id="1005" w:name="D5"/>
      <w:pPr>
        <w:spacing w:before="240" w:after="120"/>
        <w:jc w:val="both"/>
      </w:pPr>
      <w:r>
        <w:rPr>
          <w:rFonts w:ascii="PT Serif" w:hAnsi="PT Serif"/>
          <w:b/>
          <w:sz w:val="24"/>
        </w:rPr>
        <w:t>5. Ответственность</w:t>
      </w:r>
      <w:bookmarkEnd w:id="1005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За просрочку поставки Поставщик уплачивает неустойку в размере </w:t>
      </w:r>
      <w:r>
        <w:rPr>
          <w:rFonts w:ascii="PT Serif" w:hAnsi="PT Serif"/>
          <w:b/>
          <w:sz w:val="24"/>
        </w:rPr>
        <w:t>0,1 процента</w:t>
      </w:r>
      <w:r>
        <w:rPr>
          <w:rFonts w:ascii="PT Serif" w:hAnsi="PT Serif"/>
          <w:b w:val="0"/>
          <w:sz w:val="24"/>
        </w:rPr>
        <w:t xml:space="preserve"> от стоимости непоставленного оборудования за каждый день просрочки, но не более </w:t>
      </w:r>
      <w:r>
        <w:rPr>
          <w:rFonts w:ascii="PT Serif" w:hAnsi="PT Serif"/>
          <w:b/>
          <w:sz w:val="24"/>
        </w:rPr>
        <w:t>10 процентов</w:t>
      </w:r>
      <w:r>
        <w:rPr>
          <w:rFonts w:ascii="PT Serif" w:hAnsi="PT Serif"/>
          <w:b w:val="0"/>
          <w:sz w:val="24"/>
        </w:rPr>
        <w:t xml:space="preserve"> цены договора.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При просрочке поставки свыше 30 календарных дней Покупатель вправе отказаться от договора во внесудебном порядке и потребовать возврата предварительной оплаты в полном объеме в течение 10 рабочих дней с даты получения уведомления об отказе.</w:t>
      </w:r>
    </w:p>
    <w:p>
      <w:bookmarkStart w:id="1006" w:name="D6"/>
      <w:pPr>
        <w:spacing w:before="240" w:after="120"/>
        <w:jc w:val="both"/>
      </w:pPr>
      <w:r>
        <w:rPr>
          <w:rFonts w:ascii="PT Serif" w:hAnsi="PT Serif"/>
          <w:b/>
          <w:sz w:val="24"/>
        </w:rPr>
        <w:t>6. Условия, требующие отдельного внимания</w:t>
      </w:r>
      <w:bookmarkEnd w:id="1006"/>
    </w:p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Условия ниже ограничивают права Покупателя либо возлагают на него дополнительные обязанности. Стороны подтверждают, что обсудили их отдельно.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EDEDED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6.1. Ограничение ответственности. </w:t>
            </w:r>
            <w:r>
              <w:rPr>
                <w:rFonts w:ascii="PT Serif" w:hAnsi="PT Serif"/>
                <w:b w:val="0"/>
                <w:sz w:val="24"/>
              </w:rPr>
              <w:t>Поставщик не возмещает упущенную выгоду Покупателя. Общий предел ответственности Поставщика — цена договора.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6.2. Изменение комплектации. </w:t>
            </w:r>
            <w:r>
              <w:rPr>
                <w:rFonts w:ascii="PT Serif" w:hAnsi="PT Serif"/>
                <w:b w:val="0"/>
                <w:sz w:val="24"/>
              </w:rPr>
              <w:t>Поставщик вправе заменить отдельные узлы на аналогичные по характеристикам не ниже заявленных, письменно уведомив Покупателя не позднее чем за 10 рабочих дней до отгрузки.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6.3. Подсудность. </w:t>
            </w:r>
            <w:r>
              <w:rPr>
                <w:rFonts w:ascii="PT Serif" w:hAnsi="PT Serif"/>
                <w:b w:val="0"/>
                <w:sz w:val="24"/>
              </w:rPr>
              <w:t>Споры рассматриваются Арбитражным судом Республики Татарстан.</w:t>
            </w:r>
          </w:p>
        </w:tc>
      </w:tr>
    </w:tbl>
    <w:p/>
    <w:p>
      <w:pPr>
        <w:spacing w:before="240" w:after="120"/>
        <w:jc w:val="both"/>
      </w:pPr>
      <w:r>
        <w:rPr>
          <w:rFonts w:ascii="PT Serif" w:hAnsi="PT Serif"/>
          <w:b/>
          <w:sz w:val="24"/>
        </w:rPr>
        <w:t>Подписи сторон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W w:w="9354" w:type="dxa"/>
        <w:tblLayout w:type="fixed"/>
      </w:tblPr>
      <w:tblGrid>
        <w:gridCol w:w="4677"/>
        <w:gridCol w:w="4677"/>
      </w:tblGrid>
      <w:tblGrid>
        <w:gridCol w:w="4677"/>
        <w:gridCol w:w="4677"/>
      </w:tblGrid>
      <w:tr>
        <w:tc>
          <w:tcPr>
            <w:tcW w:type="dxa" w:w="4677"/>
            <w:shd w:val="clear" w:color="auto" w:fill="F2F2F2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ПОСТАВЩИК</w:t>
            </w:r>
          </w:p>
        </w:tc>
        <w:tc>
          <w:tcPr>
            <w:tcW w:type="dxa" w:w="4677"/>
            <w:shd w:val="clear" w:color="auto" w:fill="F2F2F2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ПОКУПАТЕЛЬ</w:t>
            </w:r>
          </w:p>
        </w:tc>
      </w:tr>
      <w:tr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ООО «Василек»</w:t>
              <w:br/>
              <w:t>ИНН 1600000002</w:t>
              <w:br/>
              <w:t>420043, г. Казань,</w:t>
              <w:br/>
              <w:t>ул. Образцовая, д. 2</w:t>
            </w:r>
          </w:p>
        </w:tc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ООО «Ромашка»</w:t>
              <w:br/>
              <w:t>ИНН 1600000001</w:t>
              <w:br/>
              <w:t>420021, г. Казань,</w:t>
              <w:br/>
              <w:t>ул. Примерная, д. 1</w:t>
            </w:r>
          </w:p>
        </w:tc>
      </w:tr>
      <w:tr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Директор _____________ / А. А. Сидоров /</w:t>
            </w:r>
          </w:p>
        </w:tc>
        <w:tc>
          <w:tcPr>
            <w:tcW w:type="dxa" w:w="4677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Генеральный директор _____________ / И. И. Петров /</w:t>
            </w:r>
          </w:p>
        </w:tc>
      </w:tr>
    </w:tbl>
    <w:p>
      <w:pPr>
        <w:spacing w:before="120" w:after="0"/>
        <w:jc w:val="both"/>
      </w:pPr>
    </w:p>
    <w:sectPr w:rsidR="00FC693F" w:rsidRPr="0006063C" w:rsidSect="00034616">
      <w:footerReference w:type="default" r:id="rId10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PT Serif" w:hAnsi="PT Serif"/>
        <w:b w:val="0"/>
        <w:sz w:val="22"/>
      </w:rPr>
      <w:t>Образец. Фактура вымышлена, реквизиты недействительны.</w:t>
    </w:r>
  </w:p>
  <w:p>
    <w:pPr>
      <w:jc w:val="center"/>
    </w:pPr>
    <w:r>
      <w:rPr>
        <w:rFonts w:ascii="PT Serif" w:hAnsi="PT Serif"/>
        <w:b w:val="0"/>
        <w:sz w:val="24"/>
      </w:rPr>
    </w:r>
    <w:fldSimple w:instr=" PAGE ">
      <w:r>
        <w:rPr>
          <w:rFonts w:ascii="PT Serif" w:hAnsi="PT Serif"/>
          <w:b w:val="0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7A00000A"/>
    <w:multiLevelType w:val="singleLevel"/>
    <w:tmpl w:val="5B00000A"/>
    <w:lvl w:ilvl="0">
      <w:start w:val="1"/>
      <w:numFmt w:val="decimal"/>
      <w:lvlText w:val="%1."/>
      <w:lvlJc w:val="left"/>
      <w:pPr>
        <w:tabs>
          <w:tab w:val="num" w:pos="624"/>
        </w:tabs>
        <w:ind w:left="624" w:hanging="624"/>
      </w:pPr>
      <w:rPr>
        <w:rFonts w:ascii="PT Serif" w:hAnsi="PT Serif" w:cs="PT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