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pPr w:horzAnchor="margin" w:vertAnchor="text" w:tblpY="-325"/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554"/>
        <w:gridCol w:w="5801"/>
      </w:tblGrid>
      <w:tblGrid>
        <w:gridCol w:w="4677"/>
        <w:gridCol w:w="4677"/>
      </w:tblGrid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Арбитражный суд Республики Татарстан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420014, г. Казань, Кремль, корп. 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PT Serif" w:hAnsi="PT Serif"/>
                <w:b/>
                <w:sz w:val="24"/>
              </w:rPr>
              <w:t>ИСТЕЦ: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ООО «Ромашка»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420021, г. Казань, ул. Примерная, д. 1, оф. 10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ИНН 1600000001, ОГРН 1021600000001</w:t>
            </w:r>
          </w:p>
        </w:tc>
      </w:tr>
      <w:tr>
        <w:tc>
          <w:tcPr>
            <w:tcW w:type="dxa" w:w="4677"/>
          </w:tcPr>
          <w:p>
            <w:pPr>
              <w:jc w:val="right"/>
            </w:pPr>
            <w:r>
              <w:rPr>
                <w:rFonts w:ascii="PT Serif" w:hAnsi="PT Serif"/>
                <w:b/>
                <w:sz w:val="24"/>
              </w:rPr>
              <w:t>ОТВЕТЧИК:</w:t>
            </w:r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/>
                <w:sz w:val="24"/>
              </w:rPr>
              <w:t>ООО «Василек»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420043, г. Казань, ул. Образцовая, д. 2</w:t>
            </w:r>
          </w:p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ИНН 1600000002, ОГРН 1021600000002</w:t>
            </w:r>
          </w:p>
        </w:tc>
      </w:tr>
      <w:tr>
        <w:tc>
          <w:tcPr>
            <w:tcW w:type="dxa" w:w="4677"/>
          </w:tcPr>
          <w:p>
            <w:r/>
          </w:p>
        </w:tc>
        <w:tc>
          <w:tcPr>
            <w:tcW w:type="dxa" w:w="4677"/>
          </w:tcPr>
          <w:p>
            <w:pPr>
              <w:jc w:val="both"/>
            </w:pPr>
            <w:r>
              <w:rPr>
                <w:rFonts w:ascii="PT Serif" w:hAnsi="PT Serif"/>
                <w:b w:val="0"/>
                <w:sz w:val="24"/>
              </w:rPr>
              <w:t>Цена иска: 7 214 300 рублей</w:t>
            </w:r>
          </w:p>
        </w:tc>
      </w:tr>
    </w:tbl>
    <w:p>
      <w:pPr>
        <w:spacing w:before="120" w:after="80"/>
        <w:jc w:val="center"/>
      </w:pPr>
      <w:r>
        <w:rPr>
          <w:rFonts w:ascii="PT Serif" w:hAnsi="PT Serif"/>
          <w:b/>
          <w:spacing w:val="60"/>
          <w:sz w:val="28"/>
        </w:rPr>
        <w:t>ИСКОВОЕ ЗАЯВЛЕНИЕ</w:t>
      </w:r>
    </w:p>
    <w:p>
      <w:pPr>
        <w:spacing w:after="80"/>
        <w:jc w:val="center"/>
      </w:pPr>
      <w:r>
        <w:rPr>
          <w:rFonts w:ascii="PT Serif" w:hAnsi="PT Serif"/>
          <w:b/>
          <w:spacing w:val="12"/>
          <w:sz w:val="26"/>
        </w:rPr>
        <w:t>о взыскании денежных средств</w:t>
      </w:r>
    </w:p>
    <w:p/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15.03.2024 между Обществом с ограниченной ответственностью «Ромашка» (далее — Истец) и Обществом с ограниченной ответственностью «Василек» (далее — Ответчик) был заключен договор поставки № 47, в соответствии с условиями которого Ответчик принял на себя обязательство передать в собственность Истца оборудование согласно спецификации, являющейся неотъемлемой частью указанного договора, а Истец, в свою очередь, принял на себя обязательство принять указанное оборудование и произвести его оплату в порядке и на условиях, предусмотренных договором, при этом пунктом 4.2 договора стороны согласовали, что срок передачи товара составляет 01.09.2024, а пунктом 3.1 договора был установлен порядок оплаты, предусматривающий внесение Истцом предварительной оплаты в размере 100 процентов цены договора, что и было исполнено Истцом надлежащим образом путем перечисления денежных средств в размере 6 000 000 рублей платежным поручением от 20.04.2024 № 312, однако Ответчиком обязательство по передаче товара исполнено не было ни в установленный договором срок, ни впоследствии, товарные накладные и акты приема-передачи между сторонами не подписывались, в связи с чем 14.11.2024 Истцом в адрес Ответчика была направлена и вручена под роспись претензия с требованием о возврате суммы предварительной оплаты, которая была оставлена Ответчиком без удовлетворения и без ответа, что свидетельствует о соблюдении Истцом обязательного досудебного порядка урегулирования спора.</w:t>
      </w:r>
    </w:p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В соответствии со статьей 309 Гражданского кодекса Российской Федерации обязательства должны исполняться надлежащим образом в соответствии с условиями обязательства и требованиями закона, иных правовых актов, а при отсутствии таких условий и требований — в соответствии с обычаями или иными обычно предъявляемыми требованиями, при этом согласно статье 310 Гражданского кодекса Российской Федерации односторонний отказ от исполнения обязательства и одностороннее изменение его условий не допускаются, за исключением случаев, предусмотренных настоящим Кодексом, другими законами или иными правовыми актами, а в силу пункта 3 статьи 487 Гражданского кодекса Российской Федерации в случае, когда продавец, получивший сумму предварительной оплаты, не исполняет обязанность по передаче товара в установленный срок, покупатель вправе потребовать передачи оплаченного товара или возврата суммы предварительной оплаты за товар, не переданный продавцом, в связи с чем требование Истца о взыскании суммы предварительной оплаты является обоснованным и подлежащим удовлетворению в полном объеме.</w:t>
      </w:r>
    </w:p>
    <w:p>
      <w:pPr>
        <w:spacing w:before="0" w:after="120"/>
        <w:ind w:firstLine="709"/>
        <w:jc w:val="both"/>
      </w:pPr>
      <w:r>
        <w:rPr>
          <w:rFonts w:ascii="PT Serif" w:hAnsi="PT Serif"/>
          <w:b w:val="0"/>
          <w:sz w:val="24"/>
        </w:rPr>
        <w:t>Кроме того, в соответствии с пунктом 1 статьи 395 Гражданского кодекса Российской Федерации в случаях неправомерного удержания денежных средств, уклонения от их возврата, иной просрочки в их уплате подлежат уплате проценты на сумму долга, размер которых определяется ключевой ставкой Банка России, действовавшей в соответствующие периоды, в связи с чем за период с 02.09.2024 по 20.01.2026 подлежат начислению проценты за пользование чужими денежными средствами, а именно за период с 02.09.2024 по 31.12.2024 продолжительностью 121 день при ставке 18 процентов годовых сумма процентов составляет 358 032 рубля, за период с 01.01.2025 по 30.06.2025 продолжительностью 181 день при ставке 19 процентов годовых сумма процентов составляет 565 479 рублей, за период с 01.07.2025 по 20.01.2026 продолжительностью 204 дня при ставке 16 процентов годовых сумма процентов составляет 290 789 рублей, а всего сумма процентов за пользование чужими денежными средствами составляет 1 214 300 рублей, в связи с чем общая цена иска составляет 7 214 300 рублей.</w:t>
      </w:r>
    </w:p>
    <w:p>
      <w:pPr>
        <w:spacing w:after="120"/>
        <w:jc w:val="center"/>
      </w:pPr>
      <w:r>
        <w:rPr>
          <w:rFonts w:ascii="PT Serif" w:hAnsi="PT Serif"/>
          <w:b/>
          <w:sz w:val="24"/>
        </w:rPr>
        <w:t>ПРОШУ:</w:t>
      </w:r>
    </w:p>
    <w:p>
      <w:pPr>
        <w:pStyle w:val="ListParagraph"/>
        <w:numPr>
          <w:ilvl w:val="0"/>
          <w:numId w:val="10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6 000 000 (шесть миллионов) рублей 00 копеек предварительной оплаты.</w:t>
      </w:r>
    </w:p>
    <w:p>
      <w:pPr>
        <w:pStyle w:val="ListParagraph"/>
        <w:numPr>
          <w:ilvl w:val="0"/>
          <w:numId w:val="10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1 214 300 (один миллион двести четырнадцать тысяч триста) рублей 00 копеек процентов за пользование чужими денежными средствами.</w:t>
      </w:r>
    </w:p>
    <w:p>
      <w:pPr>
        <w:pStyle w:val="ListParagraph"/>
        <w:numPr>
          <w:ilvl w:val="0"/>
          <w:numId w:val="10"/>
        </w:numPr>
        <w:spacing w:before="40" w:after="40"/>
        <w:jc w:val="both"/>
      </w:pPr>
      <w:r>
        <w:rPr>
          <w:rFonts w:ascii="PT Serif" w:hAnsi="PT Serif"/>
          <w:b w:val="0"/>
          <w:sz w:val="24"/>
        </w:rPr>
        <w:t>Взыскать с ООО «Василек» в пользу ООО «Ромашка» расходы по уплате государственной пошлины.</w:t>
      </w:r>
    </w:p>
    <w:p>
      <w:pPr>
        <w:spacing w:before="240" w:after="120"/>
        <w:jc w:val="both"/>
      </w:pPr>
      <w:r>
        <w:rPr>
          <w:rFonts w:ascii="PT Serif" w:hAnsi="PT Serif"/>
          <w:b/>
          <w:sz w:val="24"/>
        </w:rPr>
        <w:t>ПРИЛОЖЕНИЯ:</w:t>
      </w:r>
    </w:p>
    <w:p>
      <w:pPr>
        <w:pStyle w:val="ListParagraph"/>
        <w:numPr>
          <w:ilvl w:val="0"/>
          <w:numId w:val="11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Договор поставки от 15.03.2024 № 47 со спецификацией — 8 л.</w:t>
      </w:r>
    </w:p>
    <w:p>
      <w:pPr>
        <w:pStyle w:val="ListParagraph"/>
        <w:numPr>
          <w:ilvl w:val="0"/>
          <w:numId w:val="11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Платежное поручение от 20.04.2024 № 312 — 1 л.</w:t>
      </w:r>
    </w:p>
    <w:p>
      <w:pPr>
        <w:pStyle w:val="ListParagraph"/>
        <w:numPr>
          <w:ilvl w:val="0"/>
          <w:numId w:val="11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Претензия от 14.11.2024 с отметкой о вручении — 2 л.</w:t>
      </w:r>
    </w:p>
    <w:p>
      <w:pPr>
        <w:pStyle w:val="ListParagraph"/>
        <w:numPr>
          <w:ilvl w:val="0"/>
          <w:numId w:val="11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Расчет процентов — 1 л.</w:t>
      </w:r>
    </w:p>
    <w:p>
      <w:pPr>
        <w:pStyle w:val="ListParagraph"/>
        <w:numPr>
          <w:ilvl w:val="0"/>
          <w:numId w:val="11"/>
        </w:numPr>
        <w:spacing w:before="0" w:after="240"/>
        <w:jc w:val="both"/>
      </w:pPr>
      <w:r>
        <w:rPr>
          <w:rFonts w:ascii="PT Serif" w:hAnsi="PT Serif"/>
          <w:b w:val="0"/>
          <w:sz w:val="24"/>
        </w:rPr>
        <w:t>Платежное поручение об уплате государственной пошлины — 1 л.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000"/>
        <w:gridCol w:w="2339"/>
        <w:gridCol w:w="2000"/>
      </w:tblGrid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jc w:val="left"/>
            </w:pPr>
            <w:r>
              <w:rPr>
                <w:rFonts w:ascii="PT Serif" w:hAnsi="PT Serif"/>
                <w:b w:val="0"/>
                <w:sz w:val="24"/>
              </w:rPr>
              <w:t>Генеральный директор ООО «Ромашка»</w:t>
            </w:r>
          </w:p>
        </w:tc>
        <w:tc>
          <w:tcPr>
            <w:tcW w:type="dxa" w:w="3118"/>
          </w:tcPr>
          <w:p>
            <w:pPr>
              <w:jc w:val="center"/>
            </w:pPr>
          </w:p>
        </w:tc>
        <w:tc>
          <w:tcPr>
            <w:tcW w:type="dxa" w:w="3118"/>
          </w:tcPr>
          <w:p>
            <w:pPr>
              <w:jc w:val="right"/>
            </w:pPr>
            <w:r>
              <w:rPr>
                <w:rFonts w:ascii="PT Serif" w:hAnsi="PT Serif"/>
                <w:b w:val="0"/>
                <w:sz w:val="24"/>
              </w:rPr>
              <w:t>И. И. Петров</w:t>
            </w:r>
          </w:p>
        </w:tc>
      </w:tr>
    </w:tbl>
    <w:p>
      <w:pPr>
        <w:spacing w:before="120" w:after="120"/>
        <w:jc w:val="left"/>
      </w:pPr>
      <w:r>
        <w:rPr>
          <w:rFonts w:ascii="PT Serif" w:hAnsi="PT Serif"/>
          <w:b w:val="0"/>
          <w:sz w:val="24"/>
        </w:rPr>
        <w:t>20.01.2026</w:t>
      </w:r>
    </w:p>
    <w:p>
      <w:pPr>
        <w:spacing w:before="120" w:after="0"/>
        <w:jc w:val="both"/>
      </w:pPr>
    </w:p>
    <w:sectPr w:rsidR="00FC693F" w:rsidRPr="0006063C" w:rsidSect="00034616">
      <w:footerReference w:type="default" r:id="rId9"/>
      <w:pgSz w:w="11906" w:h="16838"/>
      <w:pgMar w:top="1134" w:right="850" w:bottom="1701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PT Serif" w:hAnsi="PT Serif"/>
        <w:b w:val="0"/>
        <w:sz w:val="24"/>
      </w:rPr>
    </w:r>
    <w:fldSimple w:instr=" PAGE ">
      <w:r>
        <w:rPr>
          <w:rFonts w:ascii="PT Serif" w:hAnsi="PT Serif"/>
          <w:b w:val="0"/>
          <w:sz w:val="24"/>
        </w:rPr>
        <w:t>2</w:t>
      </w:r>
    </w:fldSimple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>
    <w:nsid w:val="7A00000A"/>
    <w:multiLevelType w:val="singleLevel"/>
    <w:tmpl w:val="5B00000A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40"/>
      </w:pPr>
      <w:rPr>
        <w:rFonts w:ascii="PT Serif" w:hAnsi="PT Serif" w:cs="PT Serif" w:hint="default"/>
      </w:rPr>
    </w:lvl>
  </w:abstractNum>
  <w:abstractNum w:abstractNumId="11">
    <w:nsid w:val="7A00000B"/>
    <w:multiLevelType w:val="singleLevel"/>
    <w:tmpl w:val="5B00000B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340"/>
      </w:pPr>
      <w:rPr>
        <w:rFonts w:ascii="PT Serif" w:hAnsi="PT Serif" w:cs="PT Serif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