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horzAnchor="margin" w:vertAnchor="text" w:tblpY="-325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4"/>
        <w:gridCol w:w="5801"/>
      </w:tblGrid>
      <w:tblGrid>
        <w:gridCol w:w="4677"/>
        <w:gridCol w:w="4677"/>
      </w:tblGrid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layfair Display" w:hAnsi="Playfair Display"/>
                <w:b/>
                <w:sz w:val="24"/>
              </w:rPr>
              <w:t>Арбитражный суд Республики Татарстан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420014, г. Казань, Кремль, корп. 1</w:t>
            </w:r>
          </w:p>
        </w:tc>
      </w:tr>
      <w:tr>
        <w:tc>
          <w:tcPr>
            <w:tcW w:type="dxa" w:w="4677"/>
          </w:tcPr>
          <w:p>
            <w:pPr>
              <w:jc w:val="right"/>
            </w:pPr>
            <w:r>
              <w:rPr>
                <w:rFonts w:ascii="Golos Text" w:hAnsi="Golos Text"/>
                <w:b/>
                <w:sz w:val="24"/>
              </w:rPr>
              <w:t>ИСТЕЦ:</w:t>
            </w:r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/>
                <w:sz w:val="24"/>
              </w:rPr>
              <w:t>ООО «Ромашка»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420021, г. Казань, ул. Примерная, д. 1, оф. 10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ИНН 1600000001, ОГРН 1021600000001</w:t>
            </w:r>
          </w:p>
        </w:tc>
      </w:tr>
      <w:tr>
        <w:tc>
          <w:tcPr>
            <w:tcW w:type="dxa" w:w="4677"/>
          </w:tcPr>
          <w:p>
            <w:pPr>
              <w:jc w:val="right"/>
            </w:pPr>
            <w:r>
              <w:rPr>
                <w:rFonts w:ascii="Golos Text" w:hAnsi="Golos Text"/>
                <w:b/>
                <w:sz w:val="24"/>
              </w:rPr>
              <w:t>ОТВЕТЧИК:</w:t>
            </w:r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/>
                <w:sz w:val="24"/>
              </w:rPr>
              <w:t>ООО «Василек»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420043, г. Казань, ул. Образцовая, д. 2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ИНН 1600000002, ОГРН 1021600000002</w:t>
            </w:r>
          </w:p>
        </w:tc>
      </w:tr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Цена иска: 7 214 300 рублей</w:t>
            </w:r>
          </w:p>
        </w:tc>
      </w:tr>
    </w:tbl>
    <w:p>
      <w:pPr>
        <w:spacing w:before="120" w:after="80"/>
        <w:jc w:val="center"/>
      </w:pPr>
      <w:r>
        <w:rPr>
          <w:rFonts w:ascii="Playfair Display" w:hAnsi="Playfair Display"/>
          <w:b/>
          <w:spacing w:val="60"/>
          <w:sz w:val="28"/>
        </w:rPr>
        <w:t>ИСКОВОЕ ЗАЯВЛЕНИЕ</w:t>
      </w:r>
    </w:p>
    <w:p>
      <w:pPr>
        <w:spacing w:after="80"/>
        <w:jc w:val="center"/>
      </w:pPr>
      <w:r>
        <w:rPr>
          <w:rFonts w:ascii="Playfair Display" w:hAnsi="Playfair Display"/>
          <w:b/>
          <w:spacing w:val="12"/>
          <w:sz w:val="26"/>
        </w:rPr>
        <w:t>о взыскании денежных средств</w:t>
      </w:r>
    </w:p>
    <w:p/>
    <w:p>
      <w:pPr>
        <w:spacing w:before="0" w:after="120"/>
        <w:ind w:firstLine="709"/>
        <w:jc w:val="both"/>
      </w:pPr>
      <w:r>
        <w:rPr>
          <w:rFonts w:ascii="PT Serif" w:hAnsi="PT Serif"/>
          <w:b w:val="0"/>
          <w:sz w:val="24"/>
        </w:rPr>
        <w:t>15.03.2024 между Обществом с ограниченной ответственностью «Ромашка» (далее — Истец) и Обществом с ограниченной ответственностью «Василек» (далее — Ответчик) был заключен договор поставки № 47, в соответствии с условиями которого Ответчик принял на себя обязательство передать в собственность Истца оборудование согласно спецификации, являющейся неотъемлемой частью указанного договора, а Истец, в свою очередь, принял на себя обязательство принять указанное оборудование и произвести его оплату в порядке и на условиях, предусмотренных договором, при этом пунктом 4.2 договора стороны согласовали, что срок передачи товара составляет 01.09.2024, а пунктом 3.1 договора был установлен порядок оплаты, предусматривающий внесение Истцом предварительной оплаты в размере 100 процентов цены договора, что и было исполнено Истцом надлежащим образом путем перечисления денежных средств в размере 6 000 000 рублей платежным поручением от 20.04.2024 № 312, однако Ответчиком обязательство по передаче товара исполнено не было ни в установленный договором срок, ни впоследствии, товарные накладные и акты приема-передачи между сторонами не подписывались, в связи с чем 14.11.2024 Истцом в адрес Ответчика была направлена и вручена под роспись претензия с требованием о возврате суммы предварительной оплаты, которая была оставлена Ответчиком без удовлетворения и без ответа, что свидетельствует о соблюдении Истцом обязательного досудебного порядка урегулирования спора.</w:t>
      </w:r>
    </w:p>
    <w:p>
      <w:pPr>
        <w:spacing w:before="0" w:after="120"/>
        <w:ind w:firstLine="709"/>
        <w:jc w:val="both"/>
      </w:pPr>
      <w:r>
        <w:rPr>
          <w:rFonts w:ascii="PT Serif" w:hAnsi="PT Serif"/>
          <w:b w:val="0"/>
          <w:sz w:val="24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— в соответствии с обычаями или иными обычно предъявляемыми требованиями, при этом 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актами, а в силу пункта 3 статьи 487 Гражданского кодекса Российской Федерации в случае, когда продавец, получивший сумму предварительной оплаты, не исполняет обязанность по передаче товара в установленный срок, покупатель вправе потребовать передачи оплаченного товара или возврата суммы предварительной оплаты за товар, не переданный продавцом, в связи с чем требование Истца о взыскании суммы предварительной оплаты является обоснованным и подлежащим удовлетворению в полном объеме.</w:t>
      </w:r>
    </w:p>
    <w:p>
      <w:pPr>
        <w:spacing w:before="0" w:after="120"/>
        <w:ind w:firstLine="709"/>
        <w:jc w:val="both"/>
      </w:pPr>
      <w:r>
        <w:rPr>
          <w:rFonts w:ascii="PT Serif" w:hAnsi="PT Serif"/>
          <w:b w:val="0"/>
          <w:sz w:val="24"/>
        </w:rPr>
        <w:t>Кроме того, в соответствии с пунктом 1 статьи 395 Гражданского кодекса Российской Федерации в случаях неправомерного удержания денежных средств, уклонения от их возврата, иной просрочки в их уплате подлежат уплате проценты на сумму долга, размер которых определяется ключевой ставкой Банка России, действовавшей в соответствующие периоды, в связи с чем за период с 02.09.2024 по 20.01.2026 подлежат начислению проценты за пользование чужими денежными средствами, а именно за период с 02.09.2024 по 31.12.2024 продолжительностью 121 день при ставке 18 процентов годовых сумма процентов составляет 358 032 рубля, за период с 01.01.2025 по 30.06.2025 продолжительностью 181 день при ставке 19 процентов годовых сумма процентов составляет 565 479 рублей, за период с 01.07.2025 по 20.01.2026 продолжительностью 204 дня при ставке 16 процентов годовых сумма процентов составляет 290 789 рублей, а всего сумма процентов за пользование чужими денежными средствами составляет 1 214 300 рублей, в связи с чем общая цена иска составляет 7 214 300 рублей.</w:t>
      </w:r>
    </w:p>
    <w:p>
      <w:pPr>
        <w:spacing w:after="120"/>
        <w:jc w:val="center"/>
      </w:pPr>
      <w:r>
        <w:rPr>
          <w:rFonts w:ascii="Golos Text" w:hAnsi="Golos Text"/>
          <w:b/>
          <w:sz w:val="24"/>
        </w:rPr>
        <w:t>ПРОШУ:</w:t>
      </w:r>
    </w:p>
    <w:p>
      <w:pPr>
        <w:pStyle w:val="ListParagraph"/>
        <w:numPr>
          <w:ilvl w:val="0"/>
          <w:numId w:val="10"/>
        </w:numPr>
        <w:spacing w:before="40" w:after="40"/>
        <w:jc w:val="both"/>
      </w:pPr>
      <w:r>
        <w:rPr>
          <w:rFonts w:ascii="PT Serif" w:hAnsi="PT Serif"/>
          <w:b w:val="0"/>
          <w:sz w:val="24"/>
        </w:rPr>
        <w:t>Взыскать с ООО «Василек» в пользу ООО «Ромашка» 6 000 000 (шесть миллионов) рублей 00 копеек предварительной оплаты.</w:t>
      </w:r>
    </w:p>
    <w:p>
      <w:pPr>
        <w:pStyle w:val="ListParagraph"/>
        <w:numPr>
          <w:ilvl w:val="0"/>
          <w:numId w:val="10"/>
        </w:numPr>
        <w:spacing w:before="40" w:after="40"/>
        <w:jc w:val="both"/>
      </w:pPr>
      <w:r>
        <w:rPr>
          <w:rFonts w:ascii="PT Serif" w:hAnsi="PT Serif"/>
          <w:b w:val="0"/>
          <w:sz w:val="24"/>
        </w:rPr>
        <w:t>Взыскать с ООО «Василек» в пользу ООО «Ромашка» 1 214 300 (один миллион двести четырнадцать тысяч триста) рублей 00 копеек процентов за пользование чужими денежными средствами.</w:t>
      </w:r>
    </w:p>
    <w:p>
      <w:pPr>
        <w:pStyle w:val="ListParagraph"/>
        <w:numPr>
          <w:ilvl w:val="0"/>
          <w:numId w:val="10"/>
        </w:numPr>
        <w:spacing w:before="40" w:after="40"/>
        <w:jc w:val="both"/>
      </w:pPr>
      <w:r>
        <w:rPr>
          <w:rFonts w:ascii="PT Serif" w:hAnsi="PT Serif"/>
          <w:b w:val="0"/>
          <w:sz w:val="24"/>
        </w:rPr>
        <w:t>Взыскать с ООО «Василек» в пользу ООО «Ромашка» расходы по уплате государственной пошлины.</w:t>
      </w:r>
    </w:p>
    <w:p>
      <w:pPr>
        <w:spacing w:before="240" w:after="120"/>
        <w:jc w:val="both"/>
      </w:pPr>
      <w:r>
        <w:rPr>
          <w:rFonts w:ascii="Golos Text" w:hAnsi="Golos Text"/>
          <w:b/>
          <w:sz w:val="24"/>
        </w:rPr>
        <w:t>ПРИЛОЖЕНИЯ:</w:t>
      </w:r>
    </w:p>
    <w:p>
      <w:pPr>
        <w:pStyle w:val="ListParagraph"/>
        <w:numPr>
          <w:ilvl w:val="0"/>
          <w:numId w:val="11"/>
        </w:numPr>
        <w:spacing w:before="0" w:after="240"/>
        <w:jc w:val="both"/>
      </w:pPr>
      <w:r>
        <w:rPr>
          <w:rFonts w:ascii="PT Serif" w:hAnsi="PT Serif"/>
          <w:b w:val="0"/>
          <w:sz w:val="24"/>
        </w:rPr>
        <w:t>Договор поставки от 15.03.2024 № 47 со спецификацией — 8 л.</w:t>
      </w:r>
    </w:p>
    <w:p>
      <w:pPr>
        <w:pStyle w:val="ListParagraph"/>
        <w:numPr>
          <w:ilvl w:val="0"/>
          <w:numId w:val="11"/>
        </w:numPr>
        <w:spacing w:before="0" w:after="240"/>
        <w:jc w:val="both"/>
      </w:pPr>
      <w:r>
        <w:rPr>
          <w:rFonts w:ascii="PT Serif" w:hAnsi="PT Serif"/>
          <w:b w:val="0"/>
          <w:sz w:val="24"/>
        </w:rPr>
        <w:t>Платежное поручение от 20.04.2024 № 312 — 1 л.</w:t>
      </w:r>
    </w:p>
    <w:p>
      <w:pPr>
        <w:pStyle w:val="ListParagraph"/>
        <w:numPr>
          <w:ilvl w:val="0"/>
          <w:numId w:val="11"/>
        </w:numPr>
        <w:spacing w:before="0" w:after="240"/>
        <w:jc w:val="both"/>
      </w:pPr>
      <w:r>
        <w:rPr>
          <w:rFonts w:ascii="PT Serif" w:hAnsi="PT Serif"/>
          <w:b w:val="0"/>
          <w:sz w:val="24"/>
        </w:rPr>
        <w:t>Претензия от 14.11.2024 с отметкой о вручении — 2 л.</w:t>
      </w:r>
    </w:p>
    <w:p>
      <w:pPr>
        <w:pStyle w:val="ListParagraph"/>
        <w:numPr>
          <w:ilvl w:val="0"/>
          <w:numId w:val="11"/>
        </w:numPr>
        <w:spacing w:before="0" w:after="240"/>
        <w:jc w:val="both"/>
      </w:pPr>
      <w:r>
        <w:rPr>
          <w:rFonts w:ascii="PT Serif" w:hAnsi="PT Serif"/>
          <w:b w:val="0"/>
          <w:sz w:val="24"/>
        </w:rPr>
        <w:t>Расчет процентов — 1 л.</w:t>
      </w:r>
    </w:p>
    <w:p>
      <w:pPr>
        <w:pStyle w:val="ListParagraph"/>
        <w:numPr>
          <w:ilvl w:val="0"/>
          <w:numId w:val="11"/>
        </w:numPr>
        <w:spacing w:before="0" w:after="240"/>
        <w:jc w:val="both"/>
      </w:pPr>
      <w:r>
        <w:rPr>
          <w:rFonts w:ascii="PT Serif" w:hAnsi="PT Serif"/>
          <w:b w:val="0"/>
          <w:sz w:val="24"/>
        </w:rPr>
        <w:t>Платежное поручение об уплате государственной пошлины — 1 л.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2339"/>
        <w:gridCol w:w="2000"/>
      </w:tblGrid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PT Serif" w:hAnsi="PT Serif"/>
                <w:b w:val="0"/>
                <w:sz w:val="24"/>
              </w:rPr>
              <w:t>Генеральный директор ООО «Ромашка»</w:t>
            </w: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right"/>
            </w:pPr>
            <w:r>
              <w:rPr>
                <w:rFonts w:ascii="PT Serif" w:hAnsi="PT Serif"/>
                <w:b w:val="0"/>
                <w:sz w:val="24"/>
              </w:rPr>
              <w:t>И. И. Петров</w:t>
            </w:r>
          </w:p>
        </w:tc>
      </w:tr>
    </w:tbl>
    <w:p>
      <w:pPr>
        <w:spacing w:before="120" w:after="120"/>
        <w:jc w:val="left"/>
      </w:pPr>
      <w:r>
        <w:rPr>
          <w:rFonts w:ascii="PT Serif" w:hAnsi="PT Serif"/>
          <w:b w:val="0"/>
          <w:sz w:val="24"/>
        </w:rPr>
        <w:t>20.01.2026</w:t>
      </w:r>
    </w:p>
    <w:p>
      <w:pPr>
        <w:spacing w:before="120" w:after="0"/>
        <w:jc w:val="both"/>
      </w:pPr>
    </w:p>
    <w:sectPr w:rsidR="00FC693F" w:rsidRPr="0006063C" w:rsidSect="00034616">
      <w:headerReference w:type="default" r:id="rId9"/>
      <w:pgSz w:w="11906" w:h="16838"/>
      <w:pgMar w:top="1134" w:right="850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olos Text" w:hAnsi="Golos Text"/>
        <w:b w:val="0"/>
        <w:sz w:val="24"/>
      </w:rPr>
    </w:r>
    <w:fldSimple w:instr=" PAGE ">
      <w:r>
        <w:rPr>
          <w:rFonts w:ascii="Golos Text" w:hAnsi="Golos Text"/>
          <w:b w:val="0"/>
          <w:sz w:val="24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7A00000A"/>
    <w:multiLevelType w:val="singleLevel"/>
    <w:tmpl w:val="5B0000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40"/>
      </w:pPr>
      <w:rPr>
        <w:rFonts w:ascii="PT Serif" w:hAnsi="PT Serif" w:cs="PT Serif" w:hint="default"/>
      </w:rPr>
    </w:lvl>
  </w:abstractNum>
  <w:abstractNum w:abstractNumId="11">
    <w:nsid w:val="7A00000B"/>
    <w:multiLevelType w:val="singleLevel"/>
    <w:tmpl w:val="5B00000B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40"/>
      </w:pPr>
      <w:rPr>
        <w:rFonts w:ascii="PT Serif" w:hAnsi="PT Serif" w:cs="PT Serif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