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horzAnchor="margin" w:vertAnchor="text" w:tblpY="-325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4"/>
        <w:gridCol w:w="5801"/>
      </w:tblGrid>
      <w:tblGrid>
        <w:gridCol w:w="4677"/>
        <w:gridCol w:w="4677"/>
      </w:tblGrid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layfair Display" w:hAnsi="Playfair Display"/>
                <w:b/>
                <w:sz w:val="24"/>
              </w:rPr>
              <w:t>Арбитражный суд Республики Татарстан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420014, г. Казань, Кремль, корп. 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Golos Text" w:hAnsi="Golos Text"/>
                <w:b/>
                <w:sz w:val="24"/>
              </w:rPr>
              <w:t>ИСТЕЦ: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ООО «Ромашка»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420021, г. Казань, ул. Примерная, д. 1, оф. 10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ИНН 1600000001, ОГРН 1021600000001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тел. +7 900 000-00-00, romashka@example.com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Golos Text" w:hAnsi="Golos Text"/>
                <w:b/>
                <w:sz w:val="24"/>
              </w:rPr>
              <w:t>ОТВЕТЧИК: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ООО «Василек»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420043, г. Казань, ул. Образцовая, д. 2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ИНН 1600000002, ОГРН 1021600000002</w:t>
            </w:r>
          </w:p>
        </w:tc>
      </w:tr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Цена иска: 7 214 300 рублей</w:t>
            </w:r>
          </w:p>
        </w:tc>
      </w:tr>
    </w:tbl>
    <w:p>
      <w:pPr>
        <w:spacing w:before="120" w:after="80"/>
        <w:jc w:val="center"/>
      </w:pPr>
      <w:r>
        <w:rPr>
          <w:rFonts w:ascii="Playfair Display" w:hAnsi="Playfair Display"/>
          <w:b/>
          <w:spacing w:val="60"/>
          <w:sz w:val="28"/>
        </w:rPr>
        <w:t>ИСКОВОЕ ЗАЯВЛЕНИЕ</w:t>
      </w:r>
    </w:p>
    <w:p>
      <w:pPr>
        <w:spacing w:after="80"/>
        <w:jc w:val="center"/>
      </w:pPr>
      <w:r>
        <w:rPr>
          <w:rFonts w:ascii="Playfair Display" w:hAnsi="Playfair Display"/>
          <w:b/>
          <w:spacing w:val="12"/>
          <w:sz w:val="26"/>
        </w:rPr>
        <w:t>о взыскании предварительной оплаты и процентов за пользование чужими денежными средствами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Суть спора. </w:t>
            </w:r>
            <w:r>
              <w:rPr>
                <w:rFonts w:ascii="PT Serif" w:hAnsi="PT Serif"/>
                <w:b w:val="0"/>
                <w:sz w:val="24"/>
              </w:rPr>
              <w:t>Ответчик получил 6 000 000 рублей предварительной оплаты по договору поставки и за 17 месяцев не передал ни одной единицы товара.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Требование. </w:t>
            </w:r>
            <w:r>
              <w:rPr>
                <w:rFonts w:ascii="PT Serif" w:hAnsi="PT Serif"/>
                <w:b w:val="0"/>
                <w:sz w:val="24"/>
              </w:rPr>
              <w:t>Взыскать 6 000 000 рублей предварительной оплаты и проценты по статье 395 ГК РФ.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Цена иска. </w:t>
            </w:r>
            <w:r>
              <w:rPr>
                <w:rFonts w:ascii="PT Serif" w:hAnsi="PT Serif"/>
                <w:b w:val="0"/>
                <w:sz w:val="24"/>
              </w:rPr>
              <w:t>7 214 300 рублей.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Ключевой документ. </w:t>
            </w:r>
            <w:r>
              <w:rPr>
                <w:rFonts w:ascii="PT Serif" w:hAnsi="PT Serif"/>
                <w:b w:val="0"/>
                <w:sz w:val="24"/>
              </w:rPr>
              <w:t>Договор поставки от 15.03.2024 № 47, пункт 4.2 — срок передачи товара 01.09.2024 (Приложение 1).</w:t>
            </w:r>
          </w:p>
        </w:tc>
      </w:tr>
    </w:tbl>
    <w:p/>
    <w:p>
      <w:pPr>
        <w:spacing w:before="120" w:after="120"/>
        <w:jc w:val="center"/>
      </w:pPr>
      <w:r>
        <w:rPr>
          <w:rFonts w:ascii="Golos Text" w:hAnsi="Golos Text"/>
          <w:b/>
          <w:sz w:val="24"/>
        </w:rPr>
        <w:t>СОДЕРЖАНИЕ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I. Обстоятельства дела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II. Правовое обоснование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III. Расчет требований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IV. Доводы, которые заявит ответчик</w:t>
      </w:r>
    </w:p>
    <w:p/>
    <w:p>
      <w:bookmarkStart w:id="1001" w:name="SEC1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I. Обстоятельства дела</w:t>
      </w:r>
      <w:bookmarkEnd w:id="1001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/>
          <w:sz w:val="24"/>
        </w:rPr>
        <w:t>15.03.2024</w:t>
      </w:r>
      <w:r>
        <w:rPr>
          <w:rFonts w:ascii="PT Serif" w:hAnsi="PT Serif"/>
          <w:b w:val="0"/>
          <w:sz w:val="24"/>
        </w:rPr>
        <w:t xml:space="preserve"> между Истцом и Ответчиком заключен договор поставки № 47. Предмет — поставка оборудования по спецификации (Приложение 1). Пунктом 4.2 договора срок передачи товара определен как </w:t>
      </w:r>
      <w:r>
        <w:rPr>
          <w:rFonts w:ascii="PT Serif" w:hAnsi="PT Serif"/>
          <w:b/>
          <w:sz w:val="24"/>
        </w:rPr>
        <w:t>01.09.2024</w:t>
      </w:r>
      <w:r>
        <w:rPr>
          <w:rFonts w:ascii="PT Serif" w:hAnsi="PT Serif"/>
          <w:b w:val="0"/>
          <w:sz w:val="24"/>
        </w:rPr>
        <w:t>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20.04.2024 Истец перечислил Ответчику предварительную оплату в размере </w:t>
      </w:r>
      <w:r>
        <w:rPr>
          <w:rFonts w:ascii="PT Serif" w:hAnsi="PT Serif"/>
          <w:b/>
          <w:sz w:val="24"/>
        </w:rPr>
        <w:t>6 000 000 рублей</w:t>
      </w:r>
      <w:r>
        <w:rPr>
          <w:rFonts w:ascii="PT Serif" w:hAnsi="PT Serif"/>
          <w:b w:val="0"/>
          <w:sz w:val="24"/>
        </w:rPr>
        <w:t xml:space="preserve"> платежным поручением № 312 (Приложение 2). Оплата произведена в полном объеме и в срок, установленный пунктом 3.1 договора, что подтверждается выпиской по расчетному счету (Приложение 3).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К 01.09.2024 товар Истцу не передан. Товарные накладные и акты приема-передачи между сторонами не подписывались, что Ответчик не оспаривает.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14.11.2024 Истец вручил Ответчику претензию с требованием возвратить предварительную оплату (Приложение 4). Претензия получена под роспись, ответ не поступил. Досудебный порядок соблюден </w:t>
      </w:r>
      <w:r>
        <w:rPr>
          <w:rFonts w:ascii="PT Serif" w:hAnsi="PT Serif"/>
          <w:b/>
          <w:sz w:val="24"/>
        </w:rPr>
        <w:t>[ч. 5 ст. 4 АПК РФ]</w:t>
      </w:r>
      <w:r>
        <w:rPr>
          <w:rFonts w:ascii="PT Serif" w:hAnsi="PT Serif"/>
          <w:b w:val="0"/>
          <w:sz w:val="24"/>
        </w:rPr>
        <w:t>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 состоянию на дату подачи иска товар не передан, денежные средства не возвращены.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4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k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T Serif" w:hAnsi="PT Serif"/>
          <w:b w:val="0"/>
          <w:sz w:val="22"/>
        </w:rPr>
        <w:t>Схема 1. Хронология отношений сторон</w:t>
      </w:r>
    </w:p>
    <w:p>
      <w:bookmarkStart w:id="1002" w:name="SEC2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II. Правовое обоснование</w:t>
      </w:r>
      <w:bookmarkEnd w:id="1002"/>
    </w:p>
    <w:p>
      <w:pPr>
        <w:spacing w:before="120" w:after="60"/>
        <w:jc w:val="both"/>
      </w:pPr>
      <w:r>
        <w:rPr>
          <w:rFonts w:ascii="Golos Text" w:hAnsi="Golos Text"/>
          <w:b/>
          <w:sz w:val="24"/>
        </w:rPr>
        <w:t>II.1. Обязанность возвратить предварительную оплату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Ответчик обязательство по передаче товара не исполнил, тогда как обязательства подлежат исполнению надлежащим образом </w:t>
      </w:r>
      <w:r>
        <w:rPr>
          <w:rFonts w:ascii="PT Serif" w:hAnsi="PT Serif"/>
          <w:b/>
          <w:sz w:val="24"/>
        </w:rPr>
        <w:t>[ст. 309 ГК РФ]</w:t>
      </w:r>
      <w:r>
        <w:rPr>
          <w:rFonts w:ascii="PT Serif" w:hAnsi="PT Serif"/>
          <w:b w:val="0"/>
          <w:sz w:val="24"/>
        </w:rPr>
        <w:t>:</w:t>
      </w:r>
    </w:p>
    <w:p>
      <w:pPr>
        <w:spacing w:before="120" w:after="120"/>
        <w:ind w:left="709" w:right="709" w:firstLine="0"/>
        <w:jc w:val="both"/>
      </w:pPr>
      <w:r>
        <w:rPr>
          <w:rFonts w:ascii="PT Serif" w:hAnsi="PT Serif"/>
          <w:b w:val="0"/>
          <w:sz w:val="22"/>
        </w:rPr>
        <w:t>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Товар в установленный договором срок не передан. Истец вправе потребовать возврата суммы предварительной оплаты </w:t>
      </w:r>
      <w:r>
        <w:rPr>
          <w:rFonts w:ascii="PT Serif" w:hAnsi="PT Serif"/>
          <w:b/>
          <w:sz w:val="24"/>
        </w:rPr>
        <w:t>[п. 3 ст. 487 ГК РФ]</w:t>
      </w:r>
      <w:r>
        <w:rPr>
          <w:rFonts w:ascii="PT Serif" w:hAnsi="PT Serif"/>
          <w:b w:val="0"/>
          <w:sz w:val="24"/>
        </w:rPr>
        <w:t>. Основание требования — неисполнение встречного обязательства, а не расторжение договора, поэтому доказывать существенность нарушения не требуется.</w:t>
      </w:r>
    </w:p>
    <w:p>
      <w:pPr>
        <w:spacing w:before="120" w:after="60"/>
        <w:jc w:val="both"/>
      </w:pPr>
      <w:r>
        <w:rPr>
          <w:rFonts w:ascii="Golos Text" w:hAnsi="Golos Text"/>
          <w:b/>
          <w:sz w:val="24"/>
        </w:rPr>
        <w:t>II.2. Проценты за пользование чужими денежными средствами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С 02.09.2024 денежные средства удерживаются Ответчиком неправомерно </w:t>
      </w:r>
      <w:r>
        <w:rPr>
          <w:rFonts w:ascii="PT Serif" w:hAnsi="PT Serif"/>
          <w:b/>
          <w:sz w:val="24"/>
        </w:rPr>
        <w:t>[п. 1 ст. 395 ГК РФ]</w:t>
      </w:r>
      <w:r>
        <w:rPr>
          <w:rFonts w:ascii="PT Serif" w:hAnsi="PT Serif"/>
          <w:b w:val="0"/>
          <w:sz w:val="24"/>
        </w:rPr>
        <w:t>:</w:t>
      </w:r>
    </w:p>
    <w:p>
      <w:pPr>
        <w:spacing w:before="120" w:after="120"/>
        <w:ind w:left="709" w:right="709" w:firstLine="0"/>
        <w:jc w:val="both"/>
      </w:pPr>
      <w:r>
        <w:rPr>
          <w:rFonts w:ascii="PT Serif" w:hAnsi="PT Serif"/>
          <w:b w:val="0"/>
          <w:sz w:val="22"/>
        </w:rPr>
        <w:t>В случаях неправомерного удержания денежных средств, уклонения от их возврата, иной просрочки в их уплате подлежат уплате проценты на сумму долга. Размер процентов определяется ключевой ставкой Банка России, действовавшей в соответствующие периоды. Эти правила применяются, если иной размер процентов не установлен законом или договором.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Договором иной размер процентов не установлен, договорная неустойка за просрочку передачи товара не предусмотрена, поэтому ограничение пункта 4 статьи 395 ГК РФ не применяется </w:t>
      </w:r>
      <w:r>
        <w:rPr>
          <w:rFonts w:ascii="PT Serif" w:hAnsi="PT Serif"/>
          <w:b/>
          <w:sz w:val="24"/>
        </w:rPr>
        <w:t>[п. 4 ст. 395 ГК РФ]</w:t>
      </w:r>
      <w:r>
        <w:rPr>
          <w:rFonts w:ascii="PT Serif" w:hAnsi="PT Serif"/>
          <w:b w:val="0"/>
          <w:sz w:val="24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040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k_pa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0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T Serif" w:hAnsi="PT Serif"/>
          <w:b w:val="0"/>
          <w:sz w:val="22"/>
        </w:rPr>
        <w:t>Схема 2. Связи сторон</w:t>
      </w:r>
    </w:p>
    <w:p>
      <w:bookmarkStart w:id="1003" w:name="SEC3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III. Расчет требований</w:t>
      </w:r>
      <w:bookmarkEnd w:id="1003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Расчет процентов приведен по периодам действия ключевой ставки Банка России и вынесен отдельным документом (Приложение 5). Значения ставок в настоящем образце условны.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9352" w:type="dxa"/>
        <w:tblLayout w:type="fixed"/>
      </w:tblPr>
      <w:tblGrid>
        <w:gridCol w:w="3180"/>
        <w:gridCol w:w="1683"/>
        <w:gridCol w:w="1216"/>
        <w:gridCol w:w="935"/>
        <w:gridCol w:w="2338"/>
      </w:tblGrid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Период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Golos Text" w:hAnsi="Golos Text"/>
                <w:b/>
                <w:sz w:val="22"/>
              </w:rPr>
              <w:t>Сумма долга, руб.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Golos Text" w:hAnsi="Golos Text"/>
                <w:b/>
                <w:sz w:val="22"/>
              </w:rPr>
              <w:t>Ставка, %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Golos Text" w:hAnsi="Golos Text"/>
                <w:b/>
                <w:sz w:val="22"/>
              </w:rPr>
              <w:t>Дней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Golos Text" w:hAnsi="Golos Text"/>
                <w:b/>
                <w:sz w:val="22"/>
              </w:rPr>
              <w:t>Проценты, руб.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02.09.2024 - 31.12.2024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18,00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121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358 032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01.01.2025 - 30.06.2025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19,00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181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565 479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01.07.2025 - 20.01.2026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16,00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204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  <w:t>290 789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Итого проценты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/>
                <w:sz w:val="22"/>
              </w:rPr>
              <w:t>1 214 300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Основной долг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/>
                <w:sz w:val="22"/>
              </w:rPr>
              <w:t>6 000 000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Цена иска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Mono" w:hAnsi="PT Mono"/>
                <w:b/>
                <w:sz w:val="22"/>
              </w:rPr>
              <w:t>7 214 300</w:t>
            </w:r>
          </w:p>
        </w:tc>
      </w:tr>
    </w:tbl>
    <w:p/>
    <w:p>
      <w:bookmarkStart w:id="1004" w:name="SEC4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IV. Доводы, которые заявит ответчик</w:t>
      </w:r>
      <w:bookmarkEnd w:id="1004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Ответчик сошлется на невозможность поставки из-за действий изготовителя. Вместе с тем риск неисполнения обязательства контрагентом лежит на поставщике: предпринимательская деятельность осуществляется на свой риск </w:t>
      </w:r>
      <w:r>
        <w:rPr>
          <w:rFonts w:ascii="PT Serif" w:hAnsi="PT Serif"/>
          <w:b/>
          <w:sz w:val="24"/>
        </w:rPr>
        <w:t>[абз. 3 п. 1 ст. 2 ГК РФ]</w:t>
      </w:r>
      <w:r>
        <w:rPr>
          <w:rFonts w:ascii="PT Serif" w:hAnsi="PT Serif"/>
          <w:b w:val="0"/>
          <w:sz w:val="24"/>
        </w:rPr>
        <w:t>, а отсутствие товара у изготовителя обстоятельством непреодолимой силы не является.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Ответчик заявит о снижении процентов. Проценты по статье 395 ГК РФ определяются ключевой ставкой и снижению по статье 333 ГК РФ не подлежат ниже этого предела </w:t>
      </w:r>
      <w:r>
        <w:rPr>
          <w:rFonts w:ascii="PT Serif" w:hAnsi="PT Serif"/>
          <w:b/>
          <w:sz w:val="24"/>
        </w:rPr>
        <w:t>[п. 6 ст. 395 ГК РФ]</w:t>
      </w:r>
      <w:r>
        <w:rPr>
          <w:rFonts w:ascii="PT Serif" w:hAnsi="PT Serif"/>
          <w:b w:val="0"/>
          <w:sz w:val="24"/>
        </w:rPr>
        <w:t>.</w:t>
      </w:r>
    </w:p>
    <w:p/>
    <w:p>
      <w:pPr>
        <w:spacing w:after="120"/>
        <w:jc w:val="center"/>
      </w:pPr>
      <w:r>
        <w:rPr>
          <w:rFonts w:ascii="Golos Text" w:hAnsi="Golos Text"/>
          <w:b/>
          <w:sz w:val="24"/>
        </w:rPr>
        <w:t>ПРОШУ: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6 000 000 (шесть миллионов) рублей 00 копеек предварительной оплаты по договору поставки от 15.03.2024 № 47.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1 214 300 (один миллион двести четырнадцать тысяч триста) рублей 00 копеек процентов за пользование чужими денежными средствами за период с 02.09.2024 по 20.01.2026.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проценты за пользование чужими денежными средствами, начисляемые на сумму 6 000 000 рублей по ключевой ставке Банка России, с 21.01.2026 по день фактического возврата суммы.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расходы по уплате государственной пошлины.</w:t>
      </w:r>
    </w:p>
    <w:p>
      <w:pPr>
        <w:spacing w:before="240" w:after="120"/>
        <w:jc w:val="both"/>
      </w:pPr>
      <w:r>
        <w:rPr>
          <w:rFonts w:ascii="Golos Text" w:hAnsi="Golos Text"/>
          <w:b/>
          <w:sz w:val="24"/>
        </w:rPr>
        <w:t>ПРИЛОЖЕНИЯ: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Договор поставки от 15.03.2024 № 47 со спецификацией — 8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Платежное поручение от 20.04.2024 № 312 — 1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Выписка по расчетному счету за период с 20.04.2024 по 20.01.2026 — 3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Претензия от 14.11.2024 с отметкой о вручении — 2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Расчет процентов за период с 02.09.2024 по 20.01.2026 — 1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Платежное поручение об уплате государственной пошлины — 1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Выписки из ЕГРЮЛ в отношении Истца и Ответчика — 4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Документы о направлении копии иска Ответчику — 2 л.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00"/>
        <w:gridCol w:w="2339"/>
        <w:gridCol w:w="2000"/>
      </w:tblGrid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PT Serif" w:hAnsi="PT Serif"/>
                <w:b w:val="0"/>
                <w:sz w:val="24"/>
              </w:rPr>
              <w:t>Генеральный директор ООО «Ромашка»</w:t>
            </w:r>
          </w:p>
        </w:tc>
        <w:tc>
          <w:tcPr>
            <w:tcW w:type="dxa" w:w="3118"/>
          </w:tcPr>
          <w:p>
            <w:pPr>
              <w:jc w:val="center"/>
            </w:pPr>
          </w:p>
        </w:tc>
        <w:tc>
          <w:tcPr>
            <w:tcW w:type="dxa" w:w="3118"/>
          </w:tcPr>
          <w:p>
            <w:pPr>
              <w:jc w:val="right"/>
            </w:pPr>
            <w:r>
              <w:rPr>
                <w:rFonts w:ascii="PT Serif" w:hAnsi="PT Serif"/>
                <w:b w:val="0"/>
                <w:sz w:val="24"/>
              </w:rPr>
              <w:t>И. И. Петров</w:t>
            </w:r>
          </w:p>
        </w:tc>
      </w:tr>
    </w:tbl>
    <w:p>
      <w:pPr>
        <w:spacing w:before="120" w:after="120"/>
        <w:jc w:val="left"/>
      </w:pPr>
      <w:r>
        <w:rPr>
          <w:rFonts w:ascii="PT Serif" w:hAnsi="PT Serif"/>
          <w:b w:val="0"/>
          <w:sz w:val="24"/>
        </w:rPr>
        <w:t>20.01.2026</w:t>
      </w:r>
    </w:p>
    <w:p>
      <w:pPr>
        <w:spacing w:before="120" w:after="0"/>
        <w:jc w:val="both"/>
      </w:pPr>
    </w:p>
    <w:sectPr w:rsidR="00FC693F" w:rsidRPr="0006063C" w:rsidSect="00034616">
      <w:footerReference w:type="default" r:id="rId11"/>
      <w:headerReference w:type="default" r:id="rId12"/>
      <w:pgSz w:w="11906" w:h="16838"/>
      <w:pgMar w:top="1134" w:right="850" w:bottom="1701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PT Serif" w:hAnsi="PT Serif"/>
        <w:b w:val="0"/>
        <w:sz w:val="18"/>
      </w:rPr>
      <w:t>Образец. Фактура вымышлена, реквизиты недействительны.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Golos Text" w:hAnsi="Golos Text"/>
        <w:b w:val="0"/>
        <w:sz w:val="24"/>
      </w:rPr>
    </w:r>
    <w:fldSimple w:instr=" PAGE ">
      <w:r>
        <w:rPr>
          <w:rFonts w:ascii="Golos Text" w:hAnsi="Golos Text"/>
          <w:b w:val="0"/>
          <w:sz w:val="24"/>
        </w:rPr>
        <w:t>2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7A00000A"/>
    <w:multiLevelType w:val="singleLevel"/>
    <w:tmpl w:val="5B00000A"/>
    <w:lvl w:ilvl="0">
      <w:start w:val="1"/>
      <w:numFmt w:val="decimal"/>
      <w:lvlText w:val="%1."/>
      <w:lvlJc w:val="left"/>
      <w:pPr>
        <w:tabs>
          <w:tab w:val="num" w:pos="624"/>
        </w:tabs>
        <w:ind w:left="624" w:hanging="624"/>
      </w:pPr>
      <w:rPr>
        <w:rFonts w:ascii="PT Serif" w:hAnsi="PT Serif" w:cs="PT Serif" w:hint="default"/>
      </w:rPr>
    </w:lvl>
  </w:abstractNum>
  <w:abstractNum w:abstractNumId="11">
    <w:nsid w:val="7A00000B"/>
    <w:multiLevelType w:val="singleLevel"/>
    <w:tmpl w:val="5B00000B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40"/>
      </w:pPr>
      <w:rPr>
        <w:rFonts w:ascii="PT Serif" w:hAnsi="PT Serif" w:cs="PT Serif" w:hint="default"/>
      </w:rPr>
    </w:lvl>
  </w:abstractNum>
  <w:abstractNum w:abstractNumId="12">
    <w:nsid w:val="7A00000C"/>
    <w:multiLevelType w:val="singleLevel"/>
    <w:tmpl w:val="5B00000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40"/>
      </w:pPr>
      <w:rPr>
        <w:rFonts w:ascii="PT Serif" w:hAnsi="PT Serif" w:cs="PT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