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Calibri" w:cs="Calibri" w:eastAsia="Calibri" w:hAnsi="Calibri"/>
          <w:b/>
          <w:bCs/>
          <w:color w:val="2E5395"/>
          <w:sz w:val="22"/>
          <w:szCs w:val="22"/>
        </w:rPr>
        <w:t xml:space="preserve">DE10-Standard FPGA Engineering Knowledge Base</w:t>
      </w:r>
    </w:p>
    <w:p>
      <w:pPr>
        <w:spacing w:after="400"/>
        <w:jc w:val="center"/>
      </w:pPr>
      <w:r>
        <w:rPr>
          <w:rFonts w:ascii="Calibri" w:cs="Calibri" w:eastAsia="Calibri" w:hAnsi="Calibri"/>
          <w:i/>
          <w:iCs/>
          <w:color w:val="595959"/>
          <w:sz w:val="20"/>
          <w:szCs w:val="20"/>
        </w:rPr>
        <w:t xml:space="preserve">EKB-PM-004</w:t>
      </w:r>
    </w:p>
    <w:p>
      <w:pPr>
        <w:spacing w:after="100"/>
        <w:jc w:val="center"/>
      </w:pPr>
      <w:r>
        <w:rPr>
          <w:rFonts w:ascii="Calibri" w:cs="Calibri" w:eastAsia="Calibri" w:hAnsi="Calibri"/>
          <w:b/>
          <w:bCs/>
          <w:color w:val="1F3864"/>
          <w:sz w:val="56"/>
          <w:szCs w:val="56"/>
        </w:rPr>
        <w:t xml:space="preserve">Engineering Decision Log</w:t>
      </w:r>
    </w:p>
    <w:p>
      <w:pPr>
        <w:spacing w:after="600"/>
        <w:jc w:val="center"/>
      </w:pPr>
      <w:r>
        <w:rPr>
          <w:rFonts w:ascii="Calibri" w:cs="Calibri" w:eastAsia="Calibri" w:hAnsi="Calibri"/>
          <w:color w:val="2E5395"/>
          <w:sz w:val="28"/>
          <w:szCs w:val="28"/>
        </w:rPr>
        <w:t xml:space="preserve">Architecture Decision Records (ADR) cho toàn bộ EKB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Project</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DE10-Standard FPGA Engineering Handbook</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Board</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Terasic DE10-Standard — Intel Cyclone V SoC 5CSXFC6D6F31C6N</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Status</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Living document</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Owner</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(điền tên bạn)</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Repository path</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DE10-Standard_FPGA_EKB/00_Project_Management/</w:t>
            </w:r>
          </w:p>
        </w:tc>
      </w:tr>
    </w:tbl>
    <w:p>
      <w:r>
        <w:br w:type="page"/>
      </w:r>
    </w:p>
    <w:p>
      <w:pPr>
        <w:pStyle w:val="Heading1"/>
        <w:spacing w:after="240" w:before="480"/>
      </w:pPr>
      <w:r>
        <w:rPr>
          <w:rFonts w:ascii="Calibri" w:cs="Calibri" w:eastAsia="Calibri" w:hAnsi="Calibri"/>
          <w:b/>
          <w:bCs/>
          <w:color w:val="1F3864"/>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3864"/>
        </w:rPr>
        <w:t xml:space="preserve">1. Mục đích</w:t>
      </w:r>
    </w:p>
    <w:p>
      <w:pPr>
        <w:spacing w:after="160"/>
      </w:pPr>
      <w:r>
        <w:rPr>
          <w:rFonts w:ascii="Calibri" w:cs="Calibri" w:eastAsia="Calibri" w:hAnsi="Calibri"/>
          <w:b w:val="false"/>
          <w:bCs w:val="false"/>
          <w:i w:val="false"/>
          <w:iCs w:val="false"/>
          <w:color w:val="000000"/>
          <w:sz w:val="21"/>
          <w:szCs w:val="21"/>
        </w:rPr>
        <w:t xml:space="preserve">Mọi quyết định kỹ thuật có ảnh hưởng lâu dài (chọn công cụ, chọn cấu trúc RTL, chọn chuẩn giao tiếp, chọn phương pháp verify...) phải được ghi lại dưới dạng ADR (Architecture Decision Record). Mục tiêu: 6 tháng sau, bạn hoặc người kế thừa hiểu được TẠI SAO quyết định đó được đưa ra, không chỉ là NÓ LÀ GÌ.</w:t>
      </w:r>
    </w:p>
    <w:p>
      <w:pPr>
        <w:pStyle w:val="Heading1"/>
        <w:spacing w:after="240" w:before="480"/>
      </w:pPr>
      <w:r>
        <w:rPr>
          <w:rFonts w:ascii="Calibri" w:cs="Calibri" w:eastAsia="Calibri" w:hAnsi="Calibri"/>
          <w:b/>
          <w:bCs/>
          <w:color w:val="1F3864"/>
        </w:rPr>
        <w:t xml:space="preserve">2. Khi nào cần viết ADR?</w:t>
      </w:r>
    </w:p>
    <w:p>
      <w:pPr>
        <w:pStyle w:val="ListParagraph"/>
        <w:numPr>
          <w:ilvl w:val="0"/>
          <w:numId w:val="1"/>
        </w:numPr>
        <w:spacing w:after="80"/>
      </w:pPr>
      <w:r>
        <w:rPr>
          <w:rFonts w:ascii="Calibri" w:cs="Calibri" w:eastAsia="Calibri" w:hAnsi="Calibri"/>
          <w:b w:val="false"/>
          <w:bCs w:val="false"/>
          <w:color w:val="000000"/>
          <w:sz w:val="21"/>
          <w:szCs w:val="21"/>
        </w:rPr>
        <w:t xml:space="preserve">Chọn giữa 2 phương án kỹ thuật trở lên (ví dụ: UART bằng IP lõi Platform Designer vs tự viết RTL).</w:t>
      </w:r>
    </w:p>
    <w:p>
      <w:pPr>
        <w:pStyle w:val="ListParagraph"/>
        <w:numPr>
          <w:ilvl w:val="0"/>
          <w:numId w:val="1"/>
        </w:numPr>
        <w:spacing w:after="80"/>
      </w:pPr>
      <w:r>
        <w:rPr>
          <w:rFonts w:ascii="Calibri" w:cs="Calibri" w:eastAsia="Calibri" w:hAnsi="Calibri"/>
          <w:b w:val="false"/>
          <w:bCs w:val="false"/>
          <w:color w:val="000000"/>
          <w:sz w:val="21"/>
          <w:szCs w:val="21"/>
        </w:rPr>
        <w:t xml:space="preserve">Quyết định ảnh hưởng đến nhiều Volume/Project cùng lúc (ví dụ: quy ước đặt tên tín hiệu, chuẩn reset đồng bộ/bất đồng bộ).</w:t>
      </w:r>
    </w:p>
    <w:p>
      <w:pPr>
        <w:pStyle w:val="ListParagraph"/>
        <w:numPr>
          <w:ilvl w:val="0"/>
          <w:numId w:val="1"/>
        </w:numPr>
        <w:spacing w:after="80"/>
      </w:pPr>
      <w:r>
        <w:rPr>
          <w:rFonts w:ascii="Calibri" w:cs="Calibri" w:eastAsia="Calibri" w:hAnsi="Calibri"/>
          <w:b w:val="false"/>
          <w:bCs w:val="false"/>
          <w:color w:val="000000"/>
          <w:sz w:val="21"/>
          <w:szCs w:val="21"/>
        </w:rPr>
        <w:t xml:space="preserve">Quyết định khó đảo ngược hoặc tốn công sức lớn để đổi sau này.</w:t>
      </w:r>
    </w:p>
    <w:p>
      <w:pPr>
        <w:pStyle w:val="ListParagraph"/>
        <w:numPr>
          <w:ilvl w:val="0"/>
          <w:numId w:val="1"/>
        </w:numPr>
        <w:spacing w:after="80"/>
      </w:pPr>
      <w:r>
        <w:rPr>
          <w:rFonts w:ascii="Calibri" w:cs="Calibri" w:eastAsia="Calibri" w:hAnsi="Calibri"/>
          <w:b w:val="false"/>
          <w:bCs w:val="false"/>
          <w:color w:val="000000"/>
          <w:sz w:val="21"/>
          <w:szCs w:val="21"/>
        </w:rPr>
        <w:t xml:space="preserve">Không cần ADR cho: sửa lỗi chính tả, đổi màu sơ đồ, các quyết định hiển nhiên không có phương án thay thế.</w:t>
      </w:r>
    </w:p>
    <w:p>
      <w:pPr>
        <w:pStyle w:val="Heading1"/>
        <w:spacing w:after="240" w:before="480"/>
      </w:pPr>
      <w:r>
        <w:rPr>
          <w:rFonts w:ascii="Calibri" w:cs="Calibri" w:eastAsia="Calibri" w:hAnsi="Calibri"/>
          <w:b/>
          <w:bCs/>
          <w:color w:val="1F3864"/>
        </w:rPr>
        <w:t xml:space="preserve">3. Mẫu ADR chuẩn (copy mục này cho mỗi quyết định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6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Nội dung cần điền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Mã ADR</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ADR-XXX (tăng dần, không tái sử dụng số đã bỏ)</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Tiêu đề</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Câu ngắn gọn nêu quyết định, dạng động từ: 'Chọn ...', 'Áp dụng ...'</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Ngày</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DD/MM/YYYY</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Trạng thái</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Proposed / Accepted / Superseded by ADR-YYY / Deprecated</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Bối cảnh (Context)</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Vấn đề cần giải quyết là gì? Ràng buộc nào đang tồn tại (phần cứng, thời gian, license)?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Phương án đã xét (Alternatives)</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Liệt kê ít nhất 2 phương án, kèm ưu/nhược điểm mỗi phương án</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Quyết định (Decision)</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Phương án được chọn, phát biểu dứt khoát bằng 1–2 câu</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Hệ quả (Consequences)</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Điều gì trở nên dễ hơn? Điều gì trở nên khó hơn/phải đánh đổi?</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Volume/Project liên quan</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Ví dụ: Volume II Ch.4, 04_Projects/UART/</w:t>
            </w:r>
          </w:p>
        </w:tc>
      </w:tr>
    </w:tbl>
    <w:p>
      <w:pPr>
        <w:pStyle w:val="Heading1"/>
        <w:spacing w:after="240" w:before="480"/>
      </w:pPr>
      <w:r>
        <w:rPr>
          <w:rFonts w:ascii="Calibri" w:cs="Calibri" w:eastAsia="Calibri" w:hAnsi="Calibri"/>
          <w:b/>
          <w:bCs/>
          <w:color w:val="1F3864"/>
        </w:rPr>
        <w:t xml:space="preserve">4. Ví dụ ADR đã điền mẫu — dùng để tham khảo cách viết</w:t>
      </w:r>
    </w:p>
    <w:p>
      <w:pPr>
        <w:pStyle w:val="Heading2"/>
        <w:spacing w:after="160" w:before="320"/>
      </w:pPr>
      <w:r>
        <w:rPr>
          <w:rFonts w:ascii="Calibri" w:cs="Calibri" w:eastAsia="Calibri" w:hAnsi="Calibri"/>
          <w:b/>
          <w:bCs/>
          <w:color w:val="2E5395"/>
        </w:rPr>
        <w:t xml:space="preserve">ADR-001: Chọn Terasic DE10-Standard (Cyclone V 5CSXFC6D6F31C6N) làm board chuẩn cho EKB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Trường</w:t>
            </w:r>
          </w:p>
        </w:tc>
        <w:tc>
          <w:tcPr>
            <w:tcW w:type="dxa" w:w="6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Nội dung</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Trạng thái</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Accepted</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Ngày</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 /__ /2026</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Bối cảnh</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Cần một board FPGA hỗ trợ Altera University Program, có HPS (ARM Cortex-A9 dual-core) để thực hành cả PL (Programmable Logic) lẫn PS (Processing System), phù hợp chương trình thực tập.</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Phương án xét đến</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(1) DE10-Standard/Cyclone V SoC — có HPS, RAM DDR3 1GB HPS + 1GB FPGA, nhiều ngoại vi (VGA, Audio, GPIO, Ethernet); (2) DE0-CV/Cyclone V (không HPS) — rẻ hơn nhưng không học được SoC/Linux embedded; (3) DE10-Lite/MAX10 — không đủ tài nguyên logic cho project SoC phức tạp.</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Quyết định</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Chọn DE10-Standard, chip Cyclone V 5CSXFC6D6F31C6N, vì cân bằng giữa chi phí, tài nguyên logic (110K LE), và khả năng học cả RTL thuần lẫn hệ thống SoC/HPS.</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Hệ quả</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Handbook phải có riêng Volume V cho SoC/Platform Designer/HPS. Cần cài thêm SoC EDS (Embedded Design Suite) ngoài Quartus Prime.</w:t>
            </w:r>
          </w:p>
        </w:tc>
      </w:tr>
      <w:tr>
        <w:tc>
          <w:tcPr>
            <w:tcW w:type="dxa" w:w="2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Volume/Project liên quan</w:t>
            </w:r>
          </w:p>
        </w:tc>
        <w:tc>
          <w:tcPr>
            <w:tcW w:type="dxa" w:w="6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Volume I (board setup), Volume V (SoC/HPS), toàn bộ 04_Projects/</w:t>
            </w:r>
          </w:p>
        </w:tc>
      </w:tr>
    </w:tbl>
    <w:p>
      <w:pPr>
        <w:pStyle w:val="Heading1"/>
        <w:spacing w:after="240" w:before="480"/>
      </w:pPr>
      <w:r>
        <w:rPr>
          <w:rFonts w:ascii="Calibri" w:cs="Calibri" w:eastAsia="Calibri" w:hAnsi="Calibri"/>
          <w:b/>
          <w:bCs/>
          <w:color w:val="1F3864"/>
        </w:rPr>
        <w:t xml:space="preserve">5. Bảng tổng hợp Decision Log (index — cập nhật mỗi khi thêm ADR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1600"/>
        <w:gridCol w:w="1400"/>
      </w:tblGrid>
      <w:tr>
        <w:trPr>
          <w:tblHeader/>
        </w:trPr>
        <w:tc>
          <w:tcPr>
            <w:tcW w:type="dxa" w:w="1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Mã ADR</w:t>
            </w:r>
          </w:p>
        </w:tc>
        <w:tc>
          <w:tcPr>
            <w:tcW w:type="dxa" w:w="4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Tiêu đề</w:t>
            </w:r>
          </w:p>
        </w:tc>
        <w:tc>
          <w:tcPr>
            <w:tcW w:type="dxa" w:w="1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Trạng thái</w:t>
            </w:r>
          </w:p>
        </w:tc>
        <w:tc>
          <w:tcPr>
            <w:tcW w:type="dxa" w:w="1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Ngày</w:t>
            </w:r>
          </w:p>
        </w:tc>
      </w:tr>
      <w:tr>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ADR-001</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Chọn DE10-Standard / Cyclone V 5CSXFC6D6F31C6N làm board chuẩn</w:t>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Accepted</w:t>
            </w:r>
          </w:p>
        </w:tc>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 /__ /2026</w:t>
            </w:r>
          </w:p>
        </w:tc>
      </w:tr>
      <w:tr>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ADR-002</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w:r>
          </w:p>
        </w:tc>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w:r>
          </w:p>
        </w:tc>
      </w:tr>
      <w:tr>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ADR-003</w:t>
            </w:r>
          </w:p>
        </w:tc>
        <w:tc>
          <w:tcPr>
            <w:tcW w:type="dxa" w:w="4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w:r>
          </w:p>
        </w:tc>
        <w:tc>
          <w:tcPr>
            <w:tcW w:type="dxa" w:w="16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w:r>
          </w:p>
        </w:tc>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w:r>
          </w:p>
        </w:tc>
      </w:tr>
    </w:tbl>
    <w:p>
      <w:pPr>
        <w:pStyle w:val="Heading1"/>
        <w:spacing w:after="240" w:before="480"/>
      </w:pPr>
      <w:r>
        <w:rPr>
          <w:rFonts w:ascii="Calibri" w:cs="Calibri" w:eastAsia="Calibri" w:hAnsi="Calibri"/>
          <w:b/>
          <w:bCs/>
          <w:color w:val="1F3864"/>
        </w:rPr>
        <w:t xml:space="preserve">6. Thực hành</w:t>
      </w:r>
    </w:p>
    <w:p>
      <w:pPr>
        <w:pStyle w:val="ListParagraph"/>
        <w:numPr>
          <w:ilvl w:val="0"/>
          <w:numId w:val="1"/>
        </w:numPr>
        <w:spacing w:after="80"/>
      </w:pPr>
      <w:r>
        <w:rPr>
          <w:rFonts w:ascii="Calibri" w:cs="Calibri" w:eastAsia="Calibri" w:hAnsi="Calibri"/>
          <w:b w:val="false"/>
          <w:bCs w:val="false"/>
          <w:color w:val="000000"/>
          <w:sz w:val="21"/>
          <w:szCs w:val="21"/>
        </w:rPr>
        <w:t xml:space="preserve">Thực hành: viết ADR-002 thật cho quyết định tiếp theo bạn sắp đưa ra — ví dụ 'Chọn Verilog hay VHDL làm ngôn ngữ RTL chính cho EKB'.</w:t>
      </w:r>
    </w:p>
    <w:p>
      <w:pPr>
        <w:pStyle w:val="ListParagraph"/>
        <w:numPr>
          <w:ilvl w:val="0"/>
          <w:numId w:val="1"/>
        </w:numPr>
        <w:spacing w:after="80"/>
      </w:pPr>
      <w:r>
        <w:rPr>
          <w:rFonts w:ascii="Calibri" w:cs="Calibri" w:eastAsia="Calibri" w:hAnsi="Calibri"/>
          <w:b w:val="false"/>
          <w:bCs w:val="false"/>
          <w:color w:val="000000"/>
          <w:sz w:val="21"/>
          <w:szCs w:val="21"/>
        </w:rPr>
        <w:t xml:space="preserve">Thực hành: mỗi khi mở Quartus Prime để bắt đầu 1 project mới trong 04_Projects/, tự hỏi 'quyết định thiết kế nào ở đây cần ghi ADR?' trước khi code.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DE10-Standard FPGA EKB  |  Trang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95959"/>
        <w:sz w:val="16"/>
        <w:szCs w:val="16"/>
      </w:rPr>
      <w:t xml:space="preserve">EKB-PM-004 · Engineering Decision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F3864"/>
      <w:sz w:val="32"/>
      <w:szCs w:val="32"/>
    </w:rPr>
  </w:style>
  <w:style w:type="paragraph" w:styleId="Heading2">
    <w:name w:val="Heading 2"/>
    <w:basedOn w:val="Normal"/>
    <w:next w:val="Normal"/>
    <w:qFormat/>
    <w:pPr>
      <w:spacing w:after="160" w:before="320"/>
    </w:pPr>
    <w:rPr>
      <w:rFonts w:ascii="Calibri" w:cs="Calibri" w:eastAsia="Calibri" w:hAnsi="Calibri"/>
      <w:b/>
      <w:bCs/>
      <w:color w:val="2E5395"/>
      <w:sz w:val="26"/>
      <w:szCs w:val="26"/>
    </w:rPr>
  </w:style>
  <w:style w:type="paragraph" w:styleId="Heading3">
    <w:name w:val="Heading 3"/>
    <w:basedOn w:val="Normal"/>
    <w:next w:val="Normal"/>
    <w:qFormat/>
    <w:pPr>
      <w:spacing w:after="120" w:before="240"/>
    </w:pPr>
    <w:rPr>
      <w:rFonts w:ascii="Calibri" w:cs="Calibri" w:eastAsia="Calibri" w:hAnsi="Calibri"/>
      <w:b/>
      <w:bCs/>
      <w:color w:val="595959"/>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2026-07-22T04:33:48.361Z</dcterms:created>
  <dcterms:modified xsi:type="dcterms:W3CDTF">2026-07-22T04:33:48.361Z</dcterms:modified>
</cp:coreProperties>
</file>

<file path=docProps/custom.xml><?xml version="1.0" encoding="utf-8"?>
<Properties xmlns="http://schemas.openxmlformats.org/officeDocument/2006/custom-properties" xmlns:vt="http://schemas.openxmlformats.org/officeDocument/2006/docPropsVTypes"/>
</file>