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Arial"/>
          <w:b/>
          <w:color w:val="319795"/>
          <w:sz w:val="24"/>
        </w:rPr>
        <w:t>INSTRUCTOR ANSWER KEY · INTERNAL · DO NOT DISTRIBUTE TO STUDENTS</w:t>
      </w:r>
    </w:p>
    <w:p>
      <w:pPr>
        <w:pStyle w:val="Title"/>
      </w:pPr>
      <w:r>
        <w:rPr>
          <w:rFonts w:ascii="Arial" w:hAnsi="Arial" w:eastAsia="Arial" w:cs="Arial"/>
        </w:rPr>
        <w:t>LAB 07 ANSWER KEY</w:t>
        <w:br/>
        <w:t>HAZARD-AWARE PIPELINE AND FPGA CAPSTONE</w:t>
      </w:r>
    </w:p>
    <w:p>
      <w:pPr>
        <w:pStyle w:val="Subtitle"/>
      </w:pPr>
      <w:r>
        <w:rPr>
          <w:rFonts w:ascii="Arial" w:hAnsi="Arial" w:eastAsia="Arial" w:cs="Arial"/>
        </w:rPr>
        <w:t>Reference answers for instruction, grading, and hidden-test construction; run the full regression on the course simulator before official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07</w:t>
              <w:br/>
              <w:t>week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5</w:t>
              <w:br/>
              <w:t>hidden tests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INTERNAL</w:t>
              <w:br/>
              <w:t>release level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Language and sources: All solutions use Verilog-2001 (.v). The Week 02/03/04/06/07 code was adapted from the submitted RISC-V codebases; Week 01 and Week 05 were added under the same contract.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Source adjustments: Reuse Hazard_Unit.v/Pipelined_RISCV.v; fix M-before-W priority, RdE!=0, UseRs1D/UseRs2D, store-data forwarding, and the integrated top.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Not a golden implementation: If the starter RTL, hex program, or control encoding changes, increment the answer-key version and rerun the full regression before using it for grading.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Quick answers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Topic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answer/contract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Forward priority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M→E (10) has priority over W→E (01); Rd=0 or RegWrite=0 does not forward.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Store data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Forward operand B before the ALUSrc mux; WriteDataE comes from forwarded B.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Load-use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Stall F/D for one cycle and flush E; RdE must be nonzero.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hazard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PCSrcE redirects the PC and flushes both D/E to remove two younger instructions.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2. Answers by experiment</w:t>
      </w:r>
    </w:p>
    <w:p>
      <w:pPr>
        <w:pStyle w:val="Heading2"/>
      </w:pPr>
      <w:r>
        <w:rPr>
          <w:rFonts w:ascii="Arial" w:hAnsi="Arial" w:eastAsia="Arial" w:cs="Arial"/>
        </w:rPr>
        <w:t>Experiment 1: EX forwarding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Resolve RAW hazards when the result is in M or W.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ForwardAE/BE default to 00; an M match selects 10, and W is checked for 01 only when M does not match.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Source 10 is ALUResultM; source 01 is ResultW.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WriteDataE must be forwarded_B, while SrcBE selects between forwarded_B and ImmExtE.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INSTRUCTOR/REFERENCE_RTL/Week_07/forwarding_unit.v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forwarding_unit(</w:t>
        <w:br/>
        <w:t xml:space="preserve">    input wire [4:0] Rs1E,Rs2E,RdM,RdW,</w:t>
        <w:br/>
        <w:t xml:space="preserve">    input wire RegWriteM,RegWriteW,</w:t>
        <w:br/>
        <w:t xml:space="preserve">    output reg [1:0] ForwardAE,ForwardBE);</w:t>
        <w:br/>
        <w:t xml:space="preserve">    always @(*) begin</w:t>
        <w:br/>
        <w:t xml:space="preserve">        ForwardAE=2'b00; ForwardBE=2'b00;</w:t>
        <w:br/>
        <w:t xml:space="preserve">        if (RegWriteM &amp;&amp; RdM!=0 &amp;&amp; RdM==Rs1E) ForwardAE=2'b10;</w:t>
        <w:br/>
        <w:t xml:space="preserve">        else if (RegWriteW &amp;&amp; RdW!=0 &amp;&amp; RdW==Rs1E) ForwardAE=2'b01;</w:t>
        <w:br/>
        <w:t xml:space="preserve">        if (RegWriteM &amp;&amp; RdM!=0 &amp;&amp; RdM==Rs2E) ForwardBE=2'b10;</w:t>
        <w:br/>
        <w:t xml:space="preserve">        else if (RegWriteW &amp;&amp; RdW!=0 &amp;&amp; RdW==Rs2E) ForwardBE=2'b01;</w:t>
        <w:br/>
        <w:t xml:space="preserve">   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 and W both match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Select M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RdM/RdW=0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00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RegWrite=0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00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ALU→store data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RAM receives the new value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W overrides M because of two independent if statements.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Forwarding the load address from M as if it were load data.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Forwarding SrcBE only after the mux, so sw still writes old data.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ForwardAE/BE, SrcAE/SrcBE, StallF/StallD, FlushD/FlushE, PCSrcE, RdE/RdM/RdW, and RegWrite/ResultSrc; the correct bubble/flush behavior must be visible.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Load-use stall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Hold F/D and insert one bubble into E for exactly one cycle.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Load-use is valid only when the instruction in E is a load, RdE!=0, and D actually reads that register.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The baseline may compare both Rs1D/Rs2D; a false stall only reduces performance. An optimized version uses UseRs1D/UseRs2D from the decoder.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StallF=StallD=lwStall and FlushE includes lwStall. After one cycle, the consumer remains in D and the load moves to W to forward ResultW.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INSTRUCTOR/REFERENCE_RTL/Week_07/hazard_unit.v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hazard_unit(</w:t>
        <w:br/>
        <w:t xml:space="preserve">    input wire [4:0] Rs1D,Rs2D,Rs1E,Rs2E,RdE,RdM,RdW,</w:t>
        <w:br/>
        <w:t xml:space="preserve">    input wire RegWriteM,RegWriteW,ResultSrcE0,PCSrcE,</w:t>
        <w:br/>
        <w:t xml:space="preserve">    input wire UseRs1D,UseRs2D,</w:t>
        <w:br/>
        <w:t xml:space="preserve">    output wire [1:0] ForwardAE,ForwardBE,</w:t>
        <w:br/>
        <w:t xml:space="preserve">    output wire StallF,StallD,FlushE,FlushD);</w:t>
        <w:br/>
        <w:t xml:space="preserve">    wire lwStall;</w:t>
        <w:br/>
        <w:t xml:space="preserve">    forwarding_unit fw(Rs1E,Rs2E,RdM,RdW,RegWriteM,RegWriteW,</w:t>
        <w:br/>
        <w:t xml:space="preserve">                       ForwardAE,ForwardBE);</w:t>
        <w:br/>
        <w:t xml:space="preserve">    assign lwStall=ResultSrcE0 &amp;&amp; (RdE!=5'd0) &amp;&amp;</w:t>
        <w:br/>
        <w:t xml:space="preserve">      ((UseRs1D &amp;&amp; Rs1D==RdE)||(UseRs2D &amp;&amp; Rs2D==RdE));</w:t>
        <w:br/>
        <w:t xml:space="preserve">    assign StallF=lwStall;</w:t>
        <w:br/>
        <w:t xml:space="preserve">    assign StallD=lwStall;</w:t>
        <w:br/>
        <w:t xml:space="preserve">    assign FlushD=PCSrcE;</w:t>
        <w:br/>
        <w:t xml:space="preserve">    assign FlushE=lwStall|PCSrcE;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lw→ALU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Exactly 1 bubble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lw→sw data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Exactly 1 bubble and correct store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 rd=x0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stall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dependency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stall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Omitting RdE!=0.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Stalling E instead of inserting a bubble.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Stalling for two cycles.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Treating a false stall as a functional error even though the baseline contract permits it.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ForwardAE/BE, SrcAE/SrcBE, StallF/StallD, FlushD/FlushE, PCSrcE, RdE/RdM/RdW, and RegWrite/ResultSrc; the correct bubble/flush behavior must be visible.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Control hazard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Flush wrong-path instructions when the PC redirects at EX.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When PCSrcE=1, the PC receives PCTargetE at the next edge; the instructions in D and F are both wrong-path.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FlushE removes instruction D before it enters E; FlushD removes instruction F before it enters 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Wrong-path RegWrite and MemWrite must be 0 in the side-effect stages.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INSTRUCTOR/REFERENCE_RTL/Week_07/hazard_datapath_connections.v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hazard_datapath_connections(</w:t>
        <w:br/>
        <w:t xml:space="preserve">    input wire [31:0] RD1E,RD2E,ResultW,ALUResultM,ImmExtE,</w:t>
        <w:br/>
        <w:t xml:space="preserve">    input wire [1:0] ForwardAE,ForwardBE,input wire ALUSrcE,</w:t>
        <w:br/>
        <w:t xml:space="preserve">    output reg [31:0] SrcAE,ForwardedB,</w:t>
        <w:br/>
        <w:t xml:space="preserve">    output wire [31:0] WriteDataE,SrcBE);</w:t>
        <w:br/>
        <w:t xml:space="preserve">    always @(*) begin</w:t>
        <w:br/>
        <w:t xml:space="preserve">        case(ForwardAE)</w:t>
        <w:br/>
        <w:t xml:space="preserve">          2'b01:SrcAE=ResultW; 2'b10:SrcAE=ALUResultM; default:SrcAE=RD1E;</w:t>
        <w:br/>
        <w:t xml:space="preserve">        endcase</w:t>
        <w:br/>
        <w:t xml:space="preserve">        case(ForwardBE)</w:t>
        <w:br/>
        <w:t xml:space="preserve">          2'b01:ForwardedB=ResultW; 2'b10:ForwardedB=ALUResultM;</w:t>
        <w:br/>
        <w:t xml:space="preserve">          default:ForwardedB=RD2E;</w:t>
        <w:br/>
        <w:t xml:space="preserve">        endcase</w:t>
        <w:br/>
        <w:t xml:space="preserve">    end</w:t>
        <w:br/>
        <w:t xml:space="preserve">    assign WriteDataE=ForwardedB;</w:t>
        <w:br/>
        <w:t xml:space="preserve">    assign SrcBE=ALUSrcE?ImmExtE:ForwardedB;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taken beq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Two bubbles are inserted, PC=PCTargetE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not-taken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flush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wrong-path sw/addi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RAM/RF write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Flushing only FlushD or only FlushE.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Flushing data without disabling write controls.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PC redirect is correct but the wrong-path store still commits.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ForwardAE/BE, SrcAE/SrcBE, StallF/StallD, FlushD/FlushE, PCSrcE, RdE/RdM/RdW, and RegWrite/ResultSrc; the correct bubble/flush behavior must be visible.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Capstone regression + FPGA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Freeze the contract and create reproducible evidence.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Run Hazard Unit tests first, followed by integration and canonical architectural regression without NOPs.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Golden RF/RAM must match single-cycle/multi-cycle; only the cycle count differs.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FPGA wrapper observes PC/signature/hazard state, QSF loads the SDC, and the timing report has no unconstrained clock.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INSTRUCTOR/REFERENCE_RTL/Week_07/pipelined_rv32i_hazard.v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 w:val="0"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pipelined_rv32i_hazard(</w:t>
        <w:br/>
        <w:t xml:space="preserve">    input wire clk, reset_n,</w:t>
        <w:br/>
        <w:t xml:space="preserve">    output wire [31:0] PCF,ResultW,</w:t>
        <w:br/>
        <w:t xml:space="preserve">    output wire [1:0] ForwardAE,ForwardBE,</w:t>
        <w:br/>
        <w:t xml:space="preserve">    output wire StallF,StallD,FlushD,FlushE);</w:t>
        <w:br/>
        <w:t xml:space="preserve">    wire [31:0] PCNext,PCPlus4F,InstrF,PCD,InstrD,PCPlus4D;</w:t>
        <w:br/>
        <w:t xml:space="preserve">    wire [31:0] RD1D,RD2D,ImmExtD,PCE,RD1E,RD2E,ImmExtE,PCPlus4E;</w:t>
        <w:br/>
        <w:t xml:space="preserve">    wire [31:0] SrcAE,ForwardedB,SrcBE,WriteDataE,ALUResultE,PCTargetE;</w:t>
        <w:br/>
        <w:t xml:space="preserve">    wire [31:0] ALUResultM,WriteDataM,ReadDataM,PCPlus4M;</w:t>
        <w:br/>
        <w:t xml:space="preserve">    wire [31:0] ReadDataW,ALUResultW,PCPlus4W;</w:t>
        <w:br/>
        <w:t xml:space="preserve">    wire [4:0] Rs1E,Rs2E,RdE,RdM,RdW;</w:t>
        <w:br/>
        <w:t xml:space="preserve">    wire RegWriteD,ALUSrcD,MemWriteD,BranchD;</w:t>
        <w:br/>
        <w:t xml:space="preserve">    wire RegWriteE,ALUSrcE,MemWriteE,BranchE;</w:t>
        <w:br/>
        <w:t xml:space="preserve">    wire RegWriteM,MemWriteM,RegWriteW,ZeroE,PCSrcE;</w:t>
        <w:br/>
        <w:t xml:space="preserve">    wire UseRs1D,UseRs2D;</w:t>
        <w:br/>
        <w:t xml:space="preserve">    wire [1:0] ImmSrcD,ResultSrcD,ResultSrcE,ResultSrcM,ResultSrcW;</w:t>
        <w:br/>
        <w:t xml:space="preserve">    wire [2:0] ALUControlD,ALUControlE;</w:t>
        <w:br/>
        <w:br/>
        <w:t xml:space="preserve">    assign PCPlus4F=PCF+32'd4;</w:t>
        <w:br/>
        <w:t xml:space="preserve">    assign PCTargetE=PCE+ImmExtE;</w:t>
        <w:br/>
        <w:t xml:space="preserve">    assign PCSrcE=BranchE&amp;ZeroE;</w:t>
        <w:br/>
        <w:t xml:space="preserve">    assign PCNext=PCSrcE?PCTargetE:PCPlus4F;</w:t>
        <w:br/>
        <w:t xml:space="preserve">    program_counter pc0(clk,reset_n,~StallF,PCNext,PCF);</w:t>
        <w:br/>
        <w:t xml:space="preserve">    instruction_memory imem(PCF,InstrF);</w:t>
        <w:br/>
        <w:t xml:space="preserve">    reg_if_id fd(clk,reset_n,FlushD,~StallD,PCF,InstrF,PCPlus4F,</w:t>
        <w:br/>
        <w:t xml:space="preserve">      PCD,InstrD,PCPlus4D);</w:t>
        <w:br/>
        <w:br/>
        <w:t xml:space="preserve">    control_unit_full cu(InstrD[6:0],InstrD[14:12],InstrD[30],</w:t>
        <w:br/>
        <w:t xml:space="preserve">      RegWriteD,ALUSrcD,MemWriteD,BranchD,ImmSrcD,ResultSrcD,ALUControlD);</w:t>
        <w:br/>
        <w:t xml:space="preserve">    register_file rf(clk,reset_n,RegWriteW,InstrD[19:15],InstrD[24:20],</w:t>
        <w:br/>
        <w:t xml:space="preserve">      RdW,ResultW,RD1D,RD2D);</w:t>
        <w:br/>
        <w:t xml:space="preserve">    extend ext(ImmSrcD,InstrD[31:7],ImmExtD);</w:t>
        <w:br/>
        <w:t xml:space="preserve">    reg_id_ex de(clk,reset_n,FlushE,RegWriteD,ALUSrcD,MemWriteD,BranchD,</w:t>
        <w:br/>
        <w:t xml:space="preserve">      ResultSrcD,ALUControlD,RD1D,RD2D,PCD,ImmExtD,PCPlus4D,</w:t>
        <w:br/>
        <w:t xml:space="preserve">      InstrD[19:15],InstrD[24:20],InstrD[11:7],RegWriteE,ALUSrcE,</w:t>
        <w:br/>
        <w:t xml:space="preserve">      MemWriteE,BranchE,ResultSrcE,ALUControlE,RD1E,RD2E,PCE,ImmExtE,</w:t>
        <w:br/>
        <w:t xml:space="preserve">      PCPlus4E,Rs1E,Rs2E,RdE);</w:t>
        <w:br/>
        <w:br/>
        <w:t xml:space="preserve">    hazard_datapath_connections fwd_data(RD1E,RD2E,ResultW,ALUResultM,</w:t>
        <w:br/>
        <w:t xml:space="preserve">      ImmExtE,ForwardAE,ForwardBE,ALUSrcE,SrcAE,ForwardedB,WriteDataE,SrcBE);</w:t>
        <w:br/>
        <w:t xml:space="preserve">    alu alu0(ALUControlE,SrcAE,SrcBE,ALUResultE,ZeroE);</w:t>
        <w:br/>
        <w:t xml:space="preserve">    reg_ex_mem em(clk,reset_n,RegWriteE,MemWriteE,ResultSrcE,</w:t>
        <w:br/>
        <w:t xml:space="preserve">      ALUResultE,WriteDataE,PCPlus4E,RdE,RegWriteM,MemWriteM,ResultSrcM,</w:t>
        <w:br/>
        <w:t xml:space="preserve">      ALUResultM,WriteDataM,PCPlus4M,RdM);</w:t>
        <w:br/>
        <w:t xml:space="preserve">    data_memory dmem(clk,MemWriteM,ALUResultM,WriteDataM,ReadDataM);</w:t>
        <w:br/>
        <w:t xml:space="preserve">    reg_mem_wb mw(clk,reset_n,RegWriteM,ResultSrcM,ReadDataM,ALUResultM,</w:t>
        <w:br/>
        <w:t xml:space="preserve">      PCPlus4M,RdM,RegWriteW,ResultSrcW,ReadDataW,ALUResultW,PCPlus4W,RdW);</w:t>
        <w:br/>
        <w:t xml:space="preserve">    assign ResultW=(ResultSrcW==2'b01)?ReadDataW:</w:t>
        <w:br/>
        <w:t xml:space="preserve">                   (ResultSrcW==2'b10)?PCPlus4W:ALUResultW;</w:t>
        <w:br/>
        <w:br/>
        <w:t xml:space="preserve">    assign UseRs1D=(InstrD[6:0]==7'b0110011)||(InstrD[6:0]==7'b0010011)||</w:t>
        <w:br/>
        <w:t xml:space="preserve">                   (InstrD[6:0]==7'b0000011)||(InstrD[6:0]==7'b0100011)||</w:t>
        <w:br/>
        <w:t xml:space="preserve">                   (InstrD[6:0]==7'b1100011);</w:t>
        <w:br/>
        <w:t xml:space="preserve">    assign UseRs2D=(InstrD[6:0]==7'b0110011)||(InstrD[6:0]==7'b0100011)||</w:t>
        <w:br/>
        <w:t xml:space="preserve">                   (InstrD[6:0]==7'b1100011);</w:t>
        <w:br/>
        <w:t xml:space="preserve">    hazard_unit hz(InstrD[19:15],InstrD[24:20],Rs1E,Rs2E,RdE,RdM,RdW,</w:t>
        <w:br/>
        <w:t xml:space="preserve">      RegWriteM,RegWriteW,ResultSrcE[0],PCSrcE,UseRs1D,UseRs2D,</w:t>
        <w:br/>
        <w:t xml:space="preserve">      ForwardAE,ForwardBE,StallF,StallD,FlushE,FlushD);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No-NOP canonical program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Signature matches Week 04/05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 RAW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0 stall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Load-use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 stall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Taken branch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 younger instructions flushed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Running only a demo waveform.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Making the golden result depend on internal cycles instead of architectural state.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Submitting Quartus db/work/WLF artifacts.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ForwardAE/BE, SrcAE/SrcBE, StallF/StallD, FlushD/FlushE, PCSrcE, RdE/RdM/RdW, and RegWrite/ResultSrc; the correct bubble/flush behavior must be visible.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3. Recommended hidden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Test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Stimulus/intent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Oracle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M/W double match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Two consecutive producers write the same rd, followed immediately by the consumer.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Forward from M.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Load to store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 x5,0(x0); sw x5,4(x0).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One stall, mem[1]=loaded value.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x0 load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 x0,0(x0) followed by an independent instruction.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stall/forward for x0.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Wrong-path store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Taken beq followed by sw and addi in the two younger slots.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memory/register side effect.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PCSrcE with pending dependency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Create a control case with flush and stall close together.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redirect wins functionally; D/E are both flushed correctly.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Principle: A hidden test must check functionality and side effects, include a timeout, and not depend on internal hierarchy unless the published interface requires it.</w:t>
      </w:r>
      <w:r>
        <w:rPr>
          <w:rFonts w:ascii="Arial" w:hAnsi="Arial" w:eastAsia="Arial" w:cs="Arial"/>
          <w:color w:val="8A6500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4. Answers to oral examination questions</w:t>
      </w:r>
    </w:p>
    <w:p>
      <w:pPr>
        <w:pStyle w:val="Heading2"/>
      </w:pPr>
      <w:r>
        <w:rPr>
          <w:rFonts w:ascii="Arial" w:hAnsi="Arial" w:eastAsia="Arial" w:cs="Arial"/>
        </w:rPr>
        <w:t>1. When M and W both match, which source is selected?</w:t>
      </w:r>
    </w:p>
    <w:p>
      <w:pPr>
        <w:ind w:left="240"/>
      </w:pPr>
      <w:r>
        <w:rPr>
          <w:rFonts w:ascii="Arial" w:hAnsi="Arial" w:eastAsia="Arial" w:cs="Arial"/>
          <w:sz w:val="24"/>
        </w:rPr>
        <w:t>Select M because it is the newer value. W may be selected only when M does not match the same operand.</w:t>
      </w:r>
    </w:p>
    <w:p>
      <w:pPr>
        <w:pStyle w:val="Heading2"/>
      </w:pPr>
      <w:r>
        <w:rPr>
          <w:rFonts w:ascii="Arial" w:hAnsi="Arial" w:eastAsia="Arial" w:cs="Arial"/>
        </w:rPr>
        <w:t>2. Why cannot load-use be resolved with the current forwarding alone?</w:t>
      </w:r>
    </w:p>
    <w:p>
      <w:pPr>
        <w:ind w:left="240"/>
      </w:pPr>
      <w:r>
        <w:rPr>
          <w:rFonts w:ascii="Arial" w:hAnsi="Arial" w:eastAsia="Arial" w:cs="Arial"/>
          <w:sz w:val="24"/>
        </w:rPr>
        <w:t>When the consumer enters E, the load is only in M and ALUResultM is only the address; memory data is not yet available at the M→E forwarding source. A one-cycle stall moves the load to W so the consumer receives ResultW.</w:t>
      </w:r>
    </w:p>
    <w:p>
      <w:pPr>
        <w:pStyle w:val="Heading2"/>
      </w:pPr>
      <w:r>
        <w:rPr>
          <w:rFonts w:ascii="Arial" w:hAnsi="Arial" w:eastAsia="Arial" w:cs="Arial"/>
        </w:rPr>
        <w:t>3. How does FlushE differ from StallD in effect?</w:t>
      </w:r>
    </w:p>
    <w:p>
      <w:pPr>
        <w:ind w:left="240"/>
      </w:pPr>
      <w:r>
        <w:rPr>
          <w:rFonts w:ascii="Arial" w:hAnsi="Arial" w:eastAsia="Arial" w:cs="Arial"/>
          <w:sz w:val="24"/>
        </w:rPr>
        <w:t>StallD holds IF/ID so instruction D can retry. FlushE turns the content entering ID/EX into a no-side-effect bubble. Load-use requires holding F/D and flushing E; branch redirect requires flushing D and E.</w:t>
      </w:r>
    </w:p>
    <w:p>
      <w:r>
        <w:rPr>
          <w:rFonts w:ascii="Arial" w:hAnsi="Arial" w:eastAsia="Arial" w:cs="Arial"/>
          <w:sz w:val="24"/>
        </w:rPr>
        <w:t>Student submission package reference: The main report is the completed student manual exported as DSD_Labxx_MSSV_HoVaTen.pdf. It must contain the student information, RTL code, testbench code, and waveform evidence embedded after each experiment. The package must also include clean rtl/pipeline_hazard/ and sim/unit+integration+regression/ directories, programs/, constraints/, logs/, waveforms/, and fpga_evidence/.</w:t>
      </w:r>
    </w:p>
    <w:p>
      <w:pPr>
        <w:pStyle w:val="Heading1"/>
      </w:pPr>
      <w:r>
        <w:rPr>
          <w:rFonts w:ascii="Arial" w:hAnsi="Arial" w:eastAsia="Arial" w:cs="Arial"/>
        </w:rPr>
        <w:t>5. Grading gates and minimum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Instructor verification method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 RAW runs without NOPs.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Load-use creates exactly one bubble.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Taken branch flushes the correct wrong-path instructions.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Regression runs from a clean directory and FPGA compile meets timing.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6. Unified grading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Answer-key guidance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public and hidden tests; ISA or side-effect errors are severe.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has an oracle, corner cases, a timeout,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Explain the cause, signal lifetime, and trade-offs; do not merely read the waveform.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width, names, reset polarity, clock edge, and module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Runs from a clean folder; no db/output_files/work/WLF.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Instructor Answer Key · Week 07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GIẢNG VIÊN — WEEK 07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