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Thank you for the clarification — that resolves the confusion, and I’ve completed the audit on that basis.</w:t>
      </w:r>
    </w:p>
    <w:p>
      <w:pPr>
        <w:pStyle w:val="BodyText"/>
      </w:pPr>
      <w:r>
        <w:t xml:space="preserve">I compared</w:t>
      </w:r>
      <w:r>
        <w:t xml:space="preserve"> </w:t>
      </w:r>
      <w:r>
        <w:rPr>
          <w:rStyle w:val="VerbatimChar"/>
        </w:rPr>
        <w:t xml:space="preserve">src/core/prompts.js</w:t>
      </w:r>
      <w:r>
        <w:t xml:space="preserve">, the JSON structure, and the Gemini API configuration against the exact prompt in Section 1.3, and separately compared the current Judge logic (</w:t>
      </w:r>
      <w:r>
        <w:rPr>
          <w:rStyle w:val="VerbatimChar"/>
        </w:rPr>
        <w:t xml:space="preserve">src/engine/judge.js</w:t>
      </w:r>
      <w:r>
        <w:t xml:space="preserve">) against the rules you described. As instructed, the remaining PDF sections were used only as functional/business context — none of that code was treated as authoritative or reused.</w:t>
      </w:r>
    </w:p>
    <w:p>
      <w:pPr>
        <w:pStyle w:val="BodyText"/>
      </w:pPr>
      <w:r>
        <w:t xml:space="preserve">The full report is attached. Short version:</w:t>
      </w:r>
    </w:p>
    <w:p>
      <w:pPr>
        <w:pStyle w:val="Compact"/>
        <w:numPr>
          <w:ilvl w:val="0"/>
          <w:numId w:val="1001"/>
        </w:numPr>
      </w:pPr>
      <w:r>
        <w:t xml:space="preserve">The core separation you require is real in the code: Gemini only produces neutral structured observations, and a fully deterministic Judge is the sole component computing the verdict.</w:t>
      </w:r>
    </w:p>
    <w:p>
      <w:pPr>
        <w:pStyle w:val="Compact"/>
        <w:numPr>
          <w:ilvl w:val="0"/>
          <w:numId w:val="1001"/>
        </w:numPr>
      </w:pPr>
      <w:r>
        <w:t xml:space="preserve">I found 11 differences between the live implementation and your reference materials. Two matter most: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 Judge logic bug that can suppress a correct nest detection</w:t>
      </w:r>
      <w:r>
        <w:t xml:space="preserve"> </w:t>
      </w:r>
      <w:r>
        <w:t xml:space="preserve">when a photo shows both strong nest evidence and even one artificial-looking element (e.g. a nest against a gutter or shed) — your spec requires more than one such element before overriding, the live code only requires one. I’d treat this as the top priority fix regardless of anything else.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prompt’s five-step gated structure was flattened</w:t>
      </w:r>
      <w:r>
        <w:t xml:space="preserve"> </w:t>
      </w:r>
      <w:r>
        <w:t xml:space="preserve">during the earlier reorganization. This is the most plausible technical explanation for the consistency drop you originally described.</w:t>
      </w:r>
    </w:p>
    <w:p>
      <w:pPr>
        <w:pStyle w:val="Compact"/>
        <w:numPr>
          <w:ilvl w:val="0"/>
          <w:numId w:val="1001"/>
        </w:numPr>
      </w:pPr>
      <w:r>
        <w:t xml:space="preserve">Everything else is a mislabeled tag, a few additions to the prompt wording that need your explicit approval, and some hardening recommendations for the Gemini API call (no structured-output schema currently enforced, and the API key currently ships inside the app rather than behind a server-side proxy).</w:t>
      </w:r>
    </w:p>
    <w:p>
      <w:pPr>
        <w:pStyle w:val="FirstParagraph"/>
      </w:pPr>
      <w:r>
        <w:t xml:space="preserve">The report also includes a proposed milestone plan (M1–M5) for the corrective work, so you can review effort estimates alongside the findings.</w:t>
      </w:r>
    </w:p>
    <w:p>
      <w:pPr>
        <w:pStyle w:val="BodyText"/>
      </w:pPr>
      <w:r>
        <w:t xml:space="preserve">Before I move into any implementation phase, I have four open questions in the report — the most important being which exact Gemini model/settings you use for your manual reference testing, since that affects how directly comparable the live results can be.</w:t>
      </w:r>
    </w:p>
    <w:p>
      <w:pPr>
        <w:pStyle w:val="BodyText"/>
      </w:pPr>
      <w:r>
        <w:t xml:space="preserve">Let me know if this fully satisfies the audit milestone, or if you’d like anything expanded before we discuss next steps.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2026-07-29T13:34:51Z</dcterms:created>
  <dcterms:modified xsi:type="dcterms:W3CDTF">2026-07-29T13:34:51Z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