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86896b56bc981ee46c7667dd127d89cadd0af4"/>
    <w:p>
      <w:pPr>
        <w:pStyle w:val="Heading1"/>
      </w:pPr>
      <w:r>
        <w:t xml:space="preserve">ApiSave — Engineering Assessment: M2 Closure &amp; Realistic M3/M4 Outlook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Nordine</w:t>
      </w:r>
      <w:r>
        <w:t xml:space="preserve"> </w:t>
      </w:r>
      <w:r>
        <w:rPr>
          <w:b/>
          <w:bCs/>
        </w:rPr>
        <w:t xml:space="preserve">Basis:</w:t>
      </w:r>
      <w:r>
        <w:t xml:space="preserve"> </w:t>
      </w:r>
      <w:r>
        <w:t xml:space="preserve">4 rounds of real API testing on the M2 reference set (40 individual live calls total), plus the M1 reference set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2026-08-09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a direct, candid answer to your questions before you approve M3 — not a sales pitch for the next milestone.</w:t>
      </w:r>
    </w:p>
    <w:p>
      <w:pPr>
        <w:pStyle w:val="BodyText"/>
      </w:pPr>
      <w:r>
        <w:t xml:space="preserve">You asked for my honest professional judgment, not reassurance, and said plainly you’re not looking for a guarantee. I’m going to answer in that spirit: where I have genuine confidence, I’ll say so and explain why; where I don’t, I’ll say that too, and tell you what I do and don’t have evidence for.</w:t>
      </w:r>
    </w:p>
    <w:p>
      <w:r>
        <w:pict>
          <v:rect style="width:0;height:1.5pt" o:hralign="center" o:hrstd="t" o:hr="t"/>
        </w:pict>
      </w:r>
    </w:p>
    <w:bookmarkStart w:id="9" w:name="where-things-actually-stand"/>
    <w:p>
      <w:pPr>
        <w:pStyle w:val="Heading2"/>
      </w:pPr>
      <w:r>
        <w:t xml:space="preserve">1. Where things actually stand</w:t>
      </w:r>
    </w:p>
    <w:p>
      <w:pPr>
        <w:pStyle w:val="FirstParagraph"/>
      </w:pPr>
      <w:r>
        <w:t xml:space="preserve">Score across the four M2 rounds on the same 10-image set:</w:t>
      </w:r>
      <w:r>
        <w:t xml:space="preserve"> </w:t>
      </w:r>
      <w:r>
        <w:rPr>
          <w:b/>
          <w:bCs/>
        </w:rPr>
        <w:t xml:space="preserve">3/10 → 3/10 → 6/10 → 9/10.</w:t>
      </w:r>
      <w:r>
        <w:t xml:space="preserve"> </w:t>
      </w:r>
      <w:r>
        <w:t xml:space="preserve">The trend is real and each jump traces to a specific, understood fix (Root Cause A, the tiered wasp rule, the crabro override, the field-separation clarification) — this isn’t noise trending upward, it’s genuine bugs and ambiguities being closed one at a time, each confirmed on real data before moving to the next.</w:t>
      </w:r>
    </w:p>
    <w:p>
      <w:pPr>
        <w:pStyle w:val="BodyText"/>
      </w:pPr>
      <w:r>
        <w:t xml:space="preserve">But two individual photos in this round’s data change how I’d characterize what’s left: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Photo #1</w:t>
      </w:r>
      <w:r>
        <w:t xml:space="preserve">, which I described in Round 3 as</w:t>
      </w:r>
      <w:r>
        <w:t xml:space="preserve"> </w:t>
      </w:r>
      <w:r>
        <w:t xml:space="preserve">“a stable, repeatable”</w:t>
      </w:r>
      <w:r>
        <w:t xml:space="preserve"> </w:t>
      </w:r>
      <w:r>
        <w:t xml:space="preserve">wrong answer after three identical misses, flipped to correct in Round 4 with no code change on the path that handles it. I was wrong to lean toward</w:t>
      </w:r>
      <w:r>
        <w:t xml:space="preserve"> </w:t>
      </w:r>
      <w:r>
        <w:t xml:space="preserve">“stable”</w:t>
      </w:r>
      <w:r>
        <w:t xml:space="preserve"> </w:t>
      </w:r>
      <w:r>
        <w:t xml:space="preserve">off three samples — it was actually variable, just with a run of bad luck. I’m telling you this plainly because it’s directly relevant to your question about repeated-run testing:</w:t>
      </w:r>
      <w:r>
        <w:t xml:space="preserve"> </w:t>
      </w:r>
      <w:r>
        <w:rPr>
          <w:b/>
          <w:bCs/>
        </w:rPr>
        <w:t xml:space="preserve">three or even five repeats is not always enough to tell a systematic bias apart from variance with a long streak.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Photo #10</w:t>
      </w:r>
      <w:r>
        <w:t xml:space="preserve">, by contrast, has now failed identically in</w:t>
      </w:r>
      <w:r>
        <w:t xml:space="preserve"> </w:t>
      </w:r>
      <w:r>
        <w:rPr>
          <w:b/>
          <w:bCs/>
        </w:rPr>
        <w:t xml:space="preserve">all four</w:t>
      </w:r>
      <w:r>
        <w:t xml:space="preserve"> </w:t>
      </w:r>
      <w:r>
        <w:t xml:space="preserve">rounds — the only image in the set with a 0-for-4 record. Its description text has repeatedly implied the same wasp-like traits, but the model has never once written down the specific tag combination needed. That is a materially different, more concerning pattern than #1 turned out to be.</w:t>
      </w:r>
    </w:p>
    <w:p>
      <w:pPr>
        <w:pStyle w:val="FirstParagraph"/>
      </w:pPr>
      <w:r>
        <w:t xml:space="preserve">I’m leading with this because it reframes your question. The evidence doesn’t point to one hard photo and otherwise-solid ground. It points to at least one genuine, reproducible reliability gap (#10) sitting alongside ordinary model variance (#1, #7, and others across rounds) — and those two things need different answers.</w:t>
      </w:r>
    </w:p>
    <w:p>
      <w:r>
        <w:pict>
          <v:rect style="width:0;height:1.5pt" o:hralign="center" o:hrstd="t" o:hr="t"/>
        </w:pict>
      </w:r>
    </w:p>
    <w:bookmarkEnd w:id="9"/>
    <w:bookmarkStart w:id="14" w:name="your-four-questions-answered-directly"/>
    <w:p>
      <w:pPr>
        <w:pStyle w:val="Heading2"/>
      </w:pPr>
      <w:r>
        <w:t xml:space="preserve">2. Your four questions, answered directly</w:t>
      </w:r>
    </w:p>
    <w:bookmarkStart w:id="10" w:name="X0013cb281b6c15d581ba5c849909603bf89eff3"/>
    <w:p>
      <w:pPr>
        <w:pStyle w:val="Heading3"/>
      </w:pPr>
      <w:r>
        <w:t xml:space="preserve">“Can M3+M4 realistically achieve 10/10 technically valid outputs?”</w:t>
      </w:r>
    </w:p>
    <w:p>
      <w:pPr>
        <w:pStyle w:val="FirstParagraph"/>
      </w:pPr>
      <w:r>
        <w:rPr>
          <w:b/>
          <w:bCs/>
        </w:rPr>
        <w:t xml:space="preserve">Yes — I have real confidence in this one.</w:t>
      </w:r>
      <w:r>
        <w:t xml:space="preserve"> </w:t>
      </w:r>
      <w:r>
        <w:t xml:space="preserve">Every schema failure we’ve seen (Round 2’s</w:t>
      </w:r>
      <w:r>
        <w:t xml:space="preserve"> </w:t>
      </w:r>
      <w:r>
        <w:rPr>
          <w:rStyle w:val="VerbatimChar"/>
        </w:rPr>
        <w:t xml:space="preserve">proportions_robustes</w:t>
      </w:r>
      <w:r>
        <w:t xml:space="preserve">, Round 3’s</w:t>
      </w:r>
      <w:r>
        <w:t xml:space="preserve"> </w:t>
      </w:r>
      <w:r>
        <w:rPr>
          <w:rStyle w:val="VerbatimChar"/>
        </w:rPr>
        <w:t xml:space="preserve">elements_visibles</w:t>
      </w:r>
      <w:r>
        <w:t xml:space="preserve"> </w:t>
      </w:r>
      <w:r>
        <w:t xml:space="preserve">misplacement) has been the model writing a value outside the allowed set. Native structured-output enforcement (</w:t>
      </w:r>
      <w:r>
        <w:rPr>
          <w:rStyle w:val="VerbatimChar"/>
        </w:rPr>
        <w:t xml:space="preserve">responseSchema</w:t>
      </w:r>
      <w:r>
        <w:t xml:space="preserve">) doesn’t ask the model to</w:t>
      </w:r>
      <w:r>
        <w:t xml:space="preserve"> </w:t>
      </w:r>
      <w:r>
        <w:rPr>
          <w:i/>
          <w:iCs/>
        </w:rPr>
        <w:t xml:space="preserve">try</w:t>
      </w:r>
      <w:r>
        <w:t xml:space="preserve"> </w:t>
      </w:r>
      <w:r>
        <w:t xml:space="preserve">to stay within the schema and then check afterward, the way today’s pipeline works — it constrains what the model is</w:t>
      </w:r>
      <w:r>
        <w:t xml:space="preserve"> </w:t>
      </w:r>
      <w:r>
        <w:rPr>
          <w:i/>
          <w:iCs/>
        </w:rPr>
        <w:t xml:space="preserve">able</w:t>
      </w:r>
      <w:r>
        <w:t xml:space="preserve"> </w:t>
      </w:r>
      <w:r>
        <w:t xml:space="preserve">to generate at the decoding level. This is exactly the failure mode that mechanism exists to eliminate. Combined with the safe fallback you’ve asked for as a backstop, I’d expect this to be at or very close to 10/10 in practice.</w:t>
      </w:r>
    </w:p>
    <w:bookmarkEnd w:id="10"/>
    <w:bookmarkStart w:id="11" w:name="X751a4487d16539dd82add322ff42596f641394e"/>
    <w:p>
      <w:pPr>
        <w:pStyle w:val="Heading3"/>
      </w:pPr>
      <w:r>
        <w:t xml:space="preserve">“Can M3+M4 realistically achieve 10/10 expected verdicts on this reference set?”</w:t>
      </w:r>
    </w:p>
    <w:p>
      <w:pPr>
        <w:pStyle w:val="FirstParagraph"/>
      </w:pPr>
      <w:r>
        <w:rPr>
          <w:b/>
          <w:bCs/>
        </w:rPr>
        <w:t xml:space="preserve">No, and I don’t think I’d be giving you an honest answer if I said yes.</w:t>
      </w:r>
      <w:r>
        <w:t xml:space="preserve"> </w:t>
      </w:r>
      <w:r>
        <w:t xml:space="preserve">Photo #10 is my evidence: it is not a formatting problem. The model has, four independent times, chosen not to write a tag that its own description text implies applies. Structured-output enforcement controls</w:t>
      </w:r>
      <w:r>
        <w:t xml:space="preserve"> </w:t>
      </w:r>
      <w:r>
        <w:rPr>
          <w:i/>
          <w:iCs/>
        </w:rPr>
        <w:t xml:space="preserve">which values are legal if the model writes a tag</w:t>
      </w:r>
      <w:r>
        <w:t xml:space="preserve"> </w:t>
      </w:r>
      <w:r>
        <w:t xml:space="preserve">— it has no mechanism to compel the model to write every tag that’s arguably applicable. That’s a recall problem, not a precision problem, and M3 as scoped only addresses precision. I don’t have a concrete, proven fix for this to offer you today. I can speculate about further prompt-level countermeasures (for instance, an instruction requiring consistency between the free-text justification and the selected tags), but that would be unproven, untested work, not something I can respons</w:t>
      </w:r>
      <w:r>
        <w:softHyphen/>
      </w:r>
      <w:r>
        <w:t xml:space="preserve">ibly fold into M3’s current scope or promise will work.</w:t>
      </w:r>
    </w:p>
    <w:bookmarkEnd w:id="11"/>
    <w:bookmarkStart w:id="12" w:name="X1ed94b898882d5e4428803cc8b649a5810591f3"/>
    <w:p>
      <w:pPr>
        <w:pStyle w:val="Heading3"/>
      </w:pPr>
      <w:r>
        <w:t xml:space="preserve">“Can M3+M4 realistically achieve stable reproduction across repeated runs?”</w:t>
      </w:r>
    </w:p>
    <w:p>
      <w:pPr>
        <w:pStyle w:val="FirstParagraph"/>
      </w:pPr>
      <w:r>
        <w:t xml:space="preserve">This depends entirely on what</w:t>
      </w:r>
      <w:r>
        <w:t xml:space="preserve"> </w:t>
      </w:r>
      <w:r>
        <w:t xml:space="preserve">“stable”</w:t>
      </w:r>
      <w:r>
        <w:t xml:space="preserve"> </w:t>
      </w:r>
      <w:r>
        <w:t xml:space="preserve">means, and I want to be precise about that rather than give a one-word answer:</w:t>
      </w:r>
    </w:p>
    <w:p>
      <w:pPr>
        <w:pStyle w:val="Compact"/>
        <w:numPr>
          <w:ilvl w:val="0"/>
          <w:numId w:val="1002"/>
        </w:numPr>
      </w:pPr>
      <w:r>
        <w:t xml:space="preserve">If you mean</w:t>
      </w:r>
      <w:r>
        <w:t xml:space="preserve"> </w:t>
      </w:r>
      <w:r>
        <w:rPr>
          <w:b/>
          <w:bCs/>
        </w:rPr>
        <w:t xml:space="preserve">“M4 will produce trustworthy, reliable data about how consistent each category actually is”</w:t>
      </w:r>
      <w:r>
        <w:t xml:space="preserve"> </w:t>
      </w:r>
      <w:r>
        <w:t xml:space="preserve">— yes, I’m confident in that. That’s exactly what a 5-run harness measuring a consistency rate is built to do.</w:t>
      </w:r>
    </w:p>
    <w:p>
      <w:pPr>
        <w:pStyle w:val="Compact"/>
        <w:numPr>
          <w:ilvl w:val="0"/>
          <w:numId w:val="1002"/>
        </w:numPr>
      </w:pPr>
      <w:r>
        <w:t xml:space="preserve">If you mean</w:t>
      </w:r>
      <w:r>
        <w:t xml:space="preserve"> </w:t>
      </w:r>
      <w:r>
        <w:rPr>
          <w:b/>
          <w:bCs/>
        </w:rPr>
        <w:t xml:space="preserve">“the underlying model’s answers will themselves become consistent”</w:t>
      </w:r>
      <w:r>
        <w:t xml:space="preserve"> </w:t>
      </w:r>
      <w:r>
        <w:t xml:space="preserve">— that’s not something M4 can deliver by itself. M4 as scoped is a measurement tool, not an intervention. It will tell us, with real numbers, which categories are reliable and which aren’t (photo #10-style patterns will show up clearly as a sub-100% consistency rate). It will not, on its own, make an unreliable category more reliable.</w:t>
      </w:r>
    </w:p>
    <w:bookmarkEnd w:id="12"/>
    <w:bookmarkStart w:id="13" w:name="Xb7c68bf7ff9544bda938c1e95b104ae7f107212"/>
    <w:p>
      <w:pPr>
        <w:pStyle w:val="Heading3"/>
      </w:pPr>
      <w:r>
        <w:t xml:space="preserve">“Will M3+M4 achieve sufficient reliability on new, real-world images?”</w:t>
      </w:r>
    </w:p>
    <w:p>
      <w:pPr>
        <w:pStyle w:val="FirstParagraph"/>
      </w:pPr>
      <w:r>
        <w:t xml:space="preserve">I can’t respons</w:t>
      </w:r>
      <w:r>
        <w:softHyphen/>
      </w:r>
      <w:r>
        <w:t xml:space="preserve">ibly answer this with a number, and I don’t think you’d want me to invent one. Ten hand-picked images, however carefully chosen, is not a statistically meaningful sample of real-world field photos — different lighting, angles, phone cameras, insect poses, and regional coloring variation are all things this set doesn’t exercise. If you want a real, evidence-backed answer to this question specifically, it would mean deliberately expanding the reference set well beyond 10 images — that’s a genuine option worth considering, not something I’d assume you want without asking. Separately, I’d point back to the app’s own disclaimer text (</w:t>
      </w:r>
      <w:r>
        <w:t xml:space="preserve">“indicative analysis, professional confirmation recommended”</w:t>
      </w:r>
      <w:r>
        <w:t xml:space="preserve">) — that framing isn’t just legal cover, it’s the technically honest posture for a phone-photo species classification tool. Even trained entomologists sometimes disagree on</w:t>
      </w:r>
      <w:r>
        <w:t xml:space="preserve"> </w:t>
      </w:r>
      <w:r>
        <w:rPr>
          <w:i/>
          <w:iCs/>
        </w:rPr>
        <w:t xml:space="preserve">Vespa crabro</w:t>
      </w:r>
      <w:r>
        <w:t xml:space="preserve"> </w:t>
      </w:r>
      <w:r>
        <w:t xml:space="preserve">vs. </w:t>
      </w:r>
      <w:r>
        <w:rPr>
          <w:i/>
          <w:iCs/>
        </w:rPr>
        <w:t xml:space="preserve">velutina</w:t>
      </w:r>
      <w:r>
        <w:t xml:space="preserve"> </w:t>
      </w:r>
      <w:r>
        <w:t xml:space="preserve">from a single photo in poor lighting. I don’t think 100% reliability is a realistic engineering target for this problem, regardless of how much further work goes into it — and I’d rather tell you that now than imply otherwise.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2a702a5762b5b5ae32d119aa5b1e31c87e2a9c7"/>
    <w:p>
      <w:pPr>
        <w:pStyle w:val="Heading2"/>
      </w:pPr>
      <w:r>
        <w:t xml:space="preserve">3. The</w:t>
      </w:r>
      <w:r>
        <w:t xml:space="preserve"> </w:t>
      </w:r>
      <w:r>
        <w:t xml:space="preserve">“shape vs. selection”</w:t>
      </w:r>
      <w:r>
        <w:t xml:space="preserve"> </w:t>
      </w:r>
      <w:r>
        <w:t xml:space="preserve">distinction, concretely</w:t>
      </w:r>
    </w:p>
    <w:p>
      <w:pPr>
        <w:pStyle w:val="FirstParagraph"/>
      </w:pPr>
      <w:r>
        <w:t xml:space="preserve">You quoted my own line back to me, which is fair — I want to make sure it’s not just a phrase but something I can show you with evidence. Structured-output enforcement is a well-established technique specifically for constraining</w:t>
      </w:r>
      <w:r>
        <w:t xml:space="preserve"> </w:t>
      </w:r>
      <w:r>
        <w:rPr>
          <w:i/>
          <w:iCs/>
        </w:rPr>
        <w:t xml:space="preserve">output format</w:t>
      </w:r>
      <w:r>
        <w:t xml:space="preserve">: it guarantees every enum value the model writes is one of the allowed values, and that the JSON always has the required shape. It has no mechanism — none that I’m aware of in Gemini’s current API, and none that exists in this class of technique generally — for guaranteeing the model</w:t>
      </w:r>
      <w:r>
        <w:t xml:space="preserve"> </w:t>
      </w:r>
      <w:r>
        <w:rPr>
          <w:i/>
          <w:iCs/>
        </w:rPr>
        <w:t xml:space="preserve">chooses</w:t>
      </w:r>
      <w:r>
        <w:t xml:space="preserve"> </w:t>
      </w:r>
      <w:r>
        <w:t xml:space="preserve">to populate every field that’s arguably applicable based on what it can see. Photo #10 is a clean illustration: the model’s own prose keeps describing wasp-like traits, but the corresponding tag doesn’t always get written. Schema enforcement would not change that behavior, because the tag it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write is always valid — the gap isn’t an invalid value, it’s a missing one.</w:t>
      </w:r>
    </w:p>
    <w:p>
      <w:r>
        <w:pict>
          <v:rect style="width:0;height:1.5pt" o:hralign="center" o:hrstd="t" o:hr="t"/>
        </w:pict>
      </w:r>
    </w:p>
    <w:bookmarkEnd w:id="15"/>
    <w:bookmarkStart w:id="16" w:name="X290c189f62d94b2dfecb55e393a7bf46a6eac71"/>
    <w:p>
      <w:pPr>
        <w:pStyle w:val="Heading2"/>
      </w:pPr>
      <w:r>
        <w:t xml:space="preserve">4. Will M4 fix instability, or only measure it?</w:t>
      </w:r>
    </w:p>
    <w:p>
      <w:pPr>
        <w:pStyle w:val="FirstParagraph"/>
      </w:pPr>
      <w:r>
        <w:rPr>
          <w:b/>
          <w:bCs/>
        </w:rPr>
        <w:t xml:space="preserve">As currently scoped, M4 tests and documents. It does not include a mandate to fix whatever it finds.</w:t>
      </w:r>
      <w:r>
        <w:t xml:space="preserve"> </w:t>
      </w:r>
      <w:r>
        <w:t xml:space="preserve">I want to be direct about this rather than let it stay ambiguous: if M4’s repeated-run testing confirms a pattern like photo #10 (which I’d expect it to, given four rounds of consistent evidence already), that finding would need to become a new, separately scoped and priced piece of work — designed around what the actual data shows, not guessed at in advance. That’s the same discipline we’ve used for everything else in this engagement: I’m not going to fold speculative corrective work into M4’s existing price, and I don’t think you’d want me to.</w:t>
      </w:r>
    </w:p>
    <w:p>
      <w:r>
        <w:pict>
          <v:rect style="width:0;height:1.5pt" o:hralign="center" o:hrstd="t" o:hr="t"/>
        </w:pict>
      </w:r>
    </w:p>
    <w:bookmarkEnd w:id="16"/>
    <w:bookmarkStart w:id="17" w:name="X7e9bc73305296ee2510cf26d876043ceb56e4de"/>
    <w:p>
      <w:pPr>
        <w:pStyle w:val="Heading2"/>
      </w:pPr>
      <w:r>
        <w:t xml:space="preserve">5. M3 vs. M4 acceptance criteria — one clear list</w:t>
      </w:r>
    </w:p>
    <w:p>
      <w:pPr>
        <w:pStyle w:val="FirstParagraph"/>
      </w:pPr>
      <w:r>
        <w:rPr>
          <w:b/>
          <w:bCs/>
        </w:rPr>
        <w:t xml:space="preserve">M3 (already recorded in the implementation plan):</w:t>
      </w:r>
      <w:r>
        <w:t xml:space="preserve"> </w:t>
      </w:r>
      <w:r>
        <w:t xml:space="preserve">- Gemini constrained to exact enum values via</w:t>
      </w:r>
      <w:r>
        <w:t xml:space="preserve"> </w:t>
      </w:r>
      <w:r>
        <w:rPr>
          <w:rStyle w:val="VerbatimChar"/>
        </w:rPr>
        <w:t xml:space="preserve">responseSchema</w:t>
      </w:r>
      <w:r>
        <w:t xml:space="preserve">.</w:t>
      </w:r>
      <w:r>
        <w:t xml:space="preserve"> </w:t>
      </w:r>
      <w:r>
        <w:t xml:space="preserve">- Every analysis produces valid JSON and a usable verdict.</w:t>
      </w:r>
      <w:r>
        <w:t xml:space="preserve"> </w:t>
      </w:r>
      <w:r>
        <w:t xml:space="preserve">- A safe fallback verdict exists if validation still somehow fails.</w:t>
      </w:r>
      <w:r>
        <w:t xml:space="preserve"> </w:t>
      </w:r>
      <w:r>
        <w:t xml:space="preserve">- Photo #9 (Asian-hornet control) returns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 </w:t>
      </w:r>
      <w:r>
        <w:t xml:space="preserve">on the M3 acceptance run.</w:t>
      </w:r>
    </w:p>
    <w:p>
      <w:pPr>
        <w:pStyle w:val="BodyText"/>
      </w:pPr>
      <w:r>
        <w:rPr>
          <w:b/>
          <w:bCs/>
        </w:rPr>
        <w:t xml:space="preserve">M4 (already recorded in the implementation plan):</w:t>
      </w:r>
      <w:r>
        <w:t xml:space="preserve"> </w:t>
      </w:r>
      <w:r>
        <w:t xml:space="preserve">- Reference bank and automated full-pipeline harness, covering all six categories from the original scope.</w:t>
      </w:r>
      <w:r>
        <w:t xml:space="preserve"> </w:t>
      </w:r>
      <w:r>
        <w:t xml:space="preserve">- Field-based comparison (exact match on decision-relevant fields; free-text logged, not scored).</w:t>
      </w:r>
      <w:r>
        <w:t xml:space="preserve"> </w:t>
      </w:r>
      <w:r>
        <w:t xml:space="preserve">- 5x repeated runs on the critical categories (Asian hornet, European hornet), consistency rate reported.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Explicitly a measurement deliverable, not a corrective one.</w:t>
      </w:r>
    </w:p>
    <w:bookmarkEnd w:id="17"/>
    <w:bookmarkStart w:id="18" w:name="X5b2595ded29a33908f94db1a645f6f10ae241c6"/>
    <w:p>
      <w:pPr>
        <w:pStyle w:val="Heading2"/>
      </w:pPr>
      <w:r>
        <w:t xml:space="preserve">6. Proposed course of action if M4’s stability numbers come back bad</w:t>
      </w:r>
    </w:p>
    <w:p>
      <w:pPr>
        <w:pStyle w:val="FirstParagraph"/>
      </w:pPr>
      <w:r>
        <w:t xml:space="preserve">I’d propose we agree on acceptable consistency thresholds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M4 runs, not after — and that the threshold should depend on verdict severity, not be a single flat number: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ROUGE-relevant consistency</w:t>
      </w:r>
      <w:r>
        <w:t xml:space="preserve"> </w:t>
      </w:r>
      <w:r>
        <w:t xml:space="preserve">needs to be very high — this is the safety-critical case, and I’d want to see something close to full consistency before calling it acceptable.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ORANGE_PROBABLE_NON_CIBLE / ORANGE_INSUFFISANCE consistency</w:t>
      </w:r>
      <w:r>
        <w:t xml:space="preserve"> </w:t>
      </w:r>
      <w:r>
        <w:t xml:space="preserve">can reasonably tolerate more variance, since an inconsistent read in that range degrades to</w:t>
      </w:r>
      <w:r>
        <w:t xml:space="preserve"> </w:t>
      </w:r>
      <w:r>
        <w:t xml:space="preserve">“ask for a second photo”</w:t>
      </w:r>
      <w:r>
        <w:t xml:space="preserve"> </w:t>
      </w:r>
      <w:r>
        <w:t xml:space="preserve">rather than a wrong high-stakes verdict — the system already has a built-in self-correction path for this tier.</w:t>
      </w:r>
    </w:p>
    <w:p>
      <w:pPr>
        <w:pStyle w:val="FirstParagraph"/>
      </w:pPr>
      <w:r>
        <w:t xml:space="preserve">If M4’s data shows a pattern below whatever threshold we agree on, I’d bring you the specific finding, a proposed fix, and a price for a follow-on milestone at that point — the same way Root Cause A, the tiered wasp rule, and the crabro override each went through you before implementation, not folded in silently.</w:t>
      </w:r>
    </w:p>
    <w:p>
      <w:r>
        <w:pict>
          <v:rect style="width:0;height:1.5pt" o:hralign="center" o:hrstd="t" o:hr="t"/>
        </w:pict>
      </w:r>
    </w:p>
    <w:bookmarkEnd w:id="18"/>
    <w:bookmarkStart w:id="19" w:name="Xe6091e125a7d887d7dd1e55001c5ff6aa9ce161"/>
    <w:p>
      <w:pPr>
        <w:pStyle w:val="Heading2"/>
      </w:pPr>
      <w:r>
        <w:t xml:space="preserve">7. What I genuinely expect — concrete numbers, not a guarantee</w:t>
      </w:r>
    </w:p>
    <w:p>
      <w:pPr>
        <w:pStyle w:val="FirstParagraph"/>
      </w:pPr>
      <w:r>
        <w:t xml:space="preserve">You asked directly what stable result I actually expect, so here it is: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 this specific 10-image set, once M3 lands:</w:t>
      </w:r>
      <w:r>
        <w:t xml:space="preserve"> </w:t>
      </w:r>
      <w:r>
        <w:t xml:space="preserve">I’d expect somewhere around 8–9 out of 10 correct on any given run. Photo #10’s pattern is the most likely recurring gap; occasional one-off misses from ordinary variance (what #1, #7 showed across rounds) should become rarer once the safe fallback prevents them from surfacing as validation errors, but I wouldn’t call the number a floor — it’s an honest estimate from a trend, not an extrapolation I’d stake much confidence in beyond</w:t>
      </w:r>
      <w:r>
        <w:t xml:space="preserve"> </w:t>
      </w:r>
      <w:r>
        <w:t xml:space="preserve">“meaningfully better than today, not perfect.”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 repeated-run consistency for the two control-style categories</w:t>
      </w:r>
      <w:r>
        <w:t xml:space="preserve"> </w:t>
      </w:r>
      <w:r>
        <w:t xml:space="preserve">(confirmed Asian hornet, confirmed European hornet): based on what we’ve seen when the underlying tags were present at all, I’d expect high consistency — my rough expectation is somewhere in the 80–95%+ range — but this is exactly what M4 exists to actually measure, not something I’d ask you to take on faith.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 new, real-world images beyond this set:</w:t>
      </w:r>
      <w:r>
        <w:t xml:space="preserve"> </w:t>
      </w:r>
      <w:r>
        <w:t xml:space="preserve">I don’t have a number to give you honestly, and I’d be inventing one if I did. That requires either a larger validation set or production monitoring data (which the app’s existing feedback mechanism and community map are already positioned to eventually provide).</w:t>
      </w:r>
    </w:p>
    <w:p>
      <w:pPr>
        <w:pStyle w:val="FirstParagraph"/>
      </w:pPr>
      <w:r>
        <w:rPr>
          <w:b/>
          <w:bCs/>
        </w:rPr>
        <w:t xml:space="preserve">Limitations I expect to remain even after M3 and M4, stated plainly:</w:t>
      </w:r>
      <w:r>
        <w:t xml:space="preserve"> </w:t>
      </w:r>
      <w:r>
        <w:t xml:space="preserve">1. Tag-recall gaps like photo #10 may persist without dedicated, separately-scoped follow-on prompt work informed by real M4 data — I don’t have a proven fix for this today.</w:t>
      </w:r>
      <w:r>
        <w:t xml:space="preserve"> </w:t>
      </w:r>
      <w:r>
        <w:t xml:space="preserve">2. Individual hard photos (specific lighting, angle, or coloring conditions) will likely always exist to some degree. That’s a property of single-photo visual classification, not a bug to eventually be found and squashed.</w:t>
      </w:r>
      <w:r>
        <w:t xml:space="preserve"> </w:t>
      </w:r>
      <w:r>
        <w:t xml:space="preserve">3. Confidence about reliability on real-world images beyond this 10-image set stays genuinely unquantified until the reference set grows or production data accumulates.</w:t>
      </w:r>
    </w:p>
    <w:p>
      <w:r>
        <w:pict>
          <v:rect style="width:0;height:1.5pt" o:hralign="center" o:hrstd="t" o:hr="t"/>
        </w:pict>
      </w:r>
    </w:p>
    <w:bookmarkEnd w:id="19"/>
    <w:bookmarkStart w:id="20" w:name="on-your-m2m3-allocation-question"/>
    <w:p>
      <w:pPr>
        <w:pStyle w:val="Heading2"/>
      </w:pPr>
      <w:r>
        <w:t xml:space="preserve">8. On your M2/M3 allocation question</w:t>
      </w:r>
    </w:p>
    <w:p>
      <w:pPr>
        <w:pStyle w:val="FirstParagraph"/>
      </w:pPr>
      <w:r>
        <w:t xml:space="preserve">Yes, I agree with your allocation: the</w:t>
      </w:r>
      <w:r>
        <w:t xml:space="preserve"> </w:t>
      </w:r>
      <w:r>
        <w:rPr>
          <w:rStyle w:val="VerbatimChar"/>
        </w:rPr>
        <w:t xml:space="preserve">elements_visibles</w:t>
      </w:r>
      <w:r>
        <w:t xml:space="preserve"> </w:t>
      </w:r>
      <w:r>
        <w:t xml:space="preserve">clarification was a prompt-wording ambiguity discovered during M2 validation, the same category as Root Cause A — it belongs in M2 and is now done and confirmed (Round 4, attached separately). Native enum</w:t>
      </w:r>
      <w:r>
        <w:t xml:space="preserve"> </w:t>
      </w:r>
      <w:r>
        <w:rPr>
          <w:i/>
          <w:iCs/>
        </w:rPr>
        <w:t xml:space="preserve">enforcement</w:t>
      </w:r>
      <w:r>
        <w:t xml:space="preserve"> </w:t>
      </w:r>
      <w:r>
        <w:t xml:space="preserve">is a different mechanism entirely (API-level constrained decoding vs. prompt wording), and correctly stays in M3.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I’d rather hand you this than a cleaner-sounding summary. Happy to talk through any of it, or adjust M3/M4’s scope based on where you land after reading this.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2026-08-12T07:23:32Z</dcterms:created>
  <dcterms:modified xsi:type="dcterms:W3CDTF">2026-08-12T07:23:32Z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