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Thank you — Finding 5 and the schema proposal are both noted as closed exactly as you decided; no further discussion needed on either.</w:t>
      </w:r>
    </w:p>
    <w:p>
      <w:pPr>
        <w:pStyle w:val="BodyText"/>
      </w:pPr>
      <w:r>
        <w:t xml:space="preserve">On your four questions: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build at end of M2</w:t>
      </w:r>
      <w:r>
        <w:t xml:space="preserve"> </w:t>
      </w:r>
      <w:r>
        <w:t xml:space="preserve">— agreed. TestFlight for iOS, a direct-install internal build for Android, so you can run your own reference images through the actual app before approving M3. This does move your Apple Developer / App Store Connect access requirement up to before M2 starts, rather than M5 as originally planned — could you arrange that access ahead of time so it doesn’t hold things up? One caveat worth flagging: since M3 (key security) hasn’t happened yet at that point, this build still has the Gemini key embedded client-side — fine for your own testing, just not something to distribute further in the meantime.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European-hornet schema addition in M2</w:t>
      </w:r>
      <w:r>
        <w:t xml:space="preserve"> </w:t>
      </w:r>
      <w:r>
        <w:t xml:space="preserve">— confirmed, it stays inside M2’s fixed price, provided it remains a narrow addition serving this specific rule (a tag or two, not a broader redesign) and still subject to your approval before implementation, same as everything else.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M4 methodology</w:t>
      </w:r>
      <w:r>
        <w:t xml:space="preserve"> </w:t>
      </w:r>
      <w:r>
        <w:t xml:space="preserve">— confirmed on both counts. Comparison is field-based on every decision-relevant structured field (exact match, since these are enums driving the Judge); free-text fields are logged for review, not scored word-for-word. For stability, I’ll run the Asian-hornet and European-hornet reference cases 5 times each through the full pipeline and report the consistency rate — included in M4’s existing scope, no extra charge.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Proxy status</w:t>
      </w:r>
      <w:r>
        <w:t xml:space="preserve"> </w:t>
      </w:r>
      <w:r>
        <w:t xml:space="preserve">— I checked the sanitized repository first, as you asked, and I can confirm this genuinely can’t be determined from what’s there: the real</w:t>
      </w:r>
      <w:r>
        <w:t xml:space="preserve"> </w:t>
      </w:r>
      <w:r>
        <w:rPr>
          <w:rStyle w:val="VerbatimChar"/>
        </w:rPr>
        <w:t xml:space="preserve">PROXY_URL</w:t>
      </w:r>
      <w:r>
        <w:t xml:space="preserve"> </w:t>
      </w:r>
      <w:r>
        <w:t xml:space="preserve">value was correctly stripped during sanitization, and the only trace left is a code comment suggesting a proxy was considered, not proof one is actually deployed. I’ll need you to either confirm directly (and share the endpoint if it exists) or approve the $125 check — which, confirmed, would be credited toward whichever M3 price applies, not billed on top.</w:t>
      </w:r>
    </w:p>
    <w:bookmarkStart w:id="9" w:name="on-the-budget"/>
    <w:p>
      <w:pPr>
        <w:pStyle w:val="Heading2"/>
      </w:pPr>
      <w:r>
        <w:t xml:space="preserve">On the budget</w:t>
      </w:r>
    </w:p>
    <w:p>
      <w:pPr>
        <w:pStyle w:val="FirstParagraph"/>
      </w:pPr>
      <w:r>
        <w:t xml:space="preserve">I understand $1,200 is where you’d like to land for this validation stage, and I want to be transparent about why I can’t quite meet that number rather than just asking you to trust it. Below is the actual task breakdown behind M1 and M2 — not padded, this is what the work concretely involves:</w:t>
      </w:r>
    </w:p>
    <w:p>
      <w:pPr>
        <w:pStyle w:val="BodyText"/>
      </w:pPr>
      <w:r>
        <w:rPr>
          <w:b/>
          <w:bCs/>
        </w:rPr>
        <w:t xml:space="preserve">M1 — Critical Judge fix + model pin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and pin the exact stable</w:t>
            </w:r>
            <w:r>
              <w:t xml:space="preserve"> </w:t>
            </w:r>
            <w:r>
              <w:rPr>
                <w:rStyle w:val="VerbatimChar"/>
              </w:rPr>
              <w:t xml:space="preserve">gemini-3.6-flash</w:t>
            </w:r>
            <w:r>
              <w:t xml:space="preserve"> </w:t>
            </w:r>
            <w:r>
              <w:t xml:space="preserve">identifier (not an alias), update the API config</w:t>
            </w:r>
          </w:p>
        </w:tc>
        <w:tc>
          <w:tcPr/>
          <w:p>
            <w:pPr>
              <w:pStyle w:val="Compact"/>
            </w:pPr>
            <w:r>
              <w:t xml:space="preserve">1–2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the structure-Judge override bug — code change plus edge-case handling around the nest/artificial-object interaction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the before/after test harness for the nest/structure reference subset</w:t>
            </w:r>
          </w:p>
        </w:tc>
        <w:tc>
          <w:tcPr/>
          <w:p>
            <w:pPr>
              <w:pStyle w:val="Compact"/>
            </w:pPr>
            <w:r>
              <w:t xml:space="preserve">3–4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reference images before and after the fix, capture raw JSON + verdict for each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 the before/after comparison report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and buffer for anything the reference images surface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~14–18 hrs (≈2 days)</w:t>
            </w:r>
          </w:p>
        </w:tc>
      </w:tr>
    </w:tbl>
    <w:p>
      <w:pPr>
        <w:pStyle w:val="BodyText"/>
      </w:pPr>
      <w:r>
        <w:rPr>
          <w:b/>
          <w:bCs/>
        </w:rPr>
        <w:t xml:space="preserve">M2 — Prompt/schema/Judge fidelity + European hornet rule + test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the exact five-step</w:t>
            </w:r>
            <w:r>
              <w:t xml:space="preserve"> </w:t>
            </w:r>
            <w:r>
              <w:rPr>
                <w:rStyle w:val="VerbatimChar"/>
              </w:rPr>
              <w:t xml:space="preserve">ETAPE</w:t>
            </w:r>
            <w:r>
              <w:t xml:space="preserve"> </w:t>
            </w:r>
            <w:r>
              <w:t xml:space="preserve">structure from §1.3, cross-checked line by line</w:t>
            </w:r>
          </w:p>
        </w:tc>
        <w:tc>
          <w:tcPr/>
          <w:p>
            <w:pPr>
              <w:pStyle w:val="Compact"/>
            </w:pPr>
            <w:r>
              <w:t xml:space="preserve">4–5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the beetle-label bug, restore the stop instruction, reconcile the JSON enum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the four Finding 5 decisions</w:t>
            </w:r>
          </w:p>
        </w:tc>
        <w:tc>
          <w:tcPr/>
          <w:p>
            <w:pPr>
              <w:pStyle w:val="Compact"/>
            </w:pPr>
            <w:r>
              <w:t xml:space="preserve">1–2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the two new incompatibility tags and wire the two dedicated reason codes into the Judge</w:t>
            </w:r>
          </w:p>
        </w:tc>
        <w:tc>
          <w:tcPr/>
          <w:p>
            <w:pPr>
              <w:pStyle w:val="Compact"/>
            </w:pPr>
            <w:r>
              <w:t xml:space="preserve">4–6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Design, implement, and validate the European-hornet routing rule against your reference images</w:t>
            </w:r>
          </w:p>
        </w:tc>
        <w:tc>
          <w:tcPr/>
          <w:p>
            <w:pPr>
              <w:pStyle w:val="Compact"/>
            </w:pPr>
            <w:r>
              <w:t xml:space="preserve">5–6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full reference set before/after (all six categories), capture raw JSON + verdict</w:t>
            </w:r>
          </w:p>
        </w:tc>
        <w:tc>
          <w:tcPr/>
          <w:p>
            <w:pPr>
              <w:pStyle w:val="Compact"/>
            </w:pPr>
            <w:r>
              <w:t xml:space="preserve">3–4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 the before/after report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and produce the TestFlight (iOS) and internal (Android) test build</w:t>
            </w:r>
          </w:p>
        </w:tc>
        <w:tc>
          <w:tcPr/>
          <w:p>
            <w:pPr>
              <w:pStyle w:val="Compact"/>
            </w:pPr>
            <w:r>
              <w:t xml:space="preserve">4–5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and buffer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~27–37 hrs (≈4 days)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Combined: roughly 6 days of work</w:t>
      </w:r>
      <w:r>
        <w:t xml:space="preserve">, which is what the $1,500 figure reflects — already down from the originally quoted $1,750, absorbing the European-hornet contingency and the new test-build deliverable as a concession rather than charging for them separately. $1,200 would land below what’s itemized above even before accounting for the added scope, which is why I can’t bring it down further without either cutting into the verification work or dropping a deliverable — and I don’t think either of those serves you well on a safety-critical fix you’re specifically asking to validate rigorously.</w:t>
      </w:r>
    </w:p>
    <w:p>
      <w:pPr>
        <w:pStyle w:val="BodyText"/>
      </w:pPr>
      <w:r>
        <w:t xml:space="preserve">If it helps, I’m glad to keep the milestones exactly as separate and sequential as you’ve asked — M2 only gets created once you’ve confirmed M1’s results are satisfactory, so nothing beyond the first $500 is at risk while you’re still evaluating.</w:t>
      </w:r>
    </w:p>
    <w:p>
      <w:pPr>
        <w:pStyle w:val="BodyText"/>
      </w:pPr>
      <w:r>
        <w:t xml:space="preserve">As requested, I’ll create only the M1 milestone now, at $500, once you’re ready — looking forward to the reference images so we can get started.</w:t>
      </w:r>
    </w:p>
    <w:p>
      <w:pPr>
        <w:pStyle w:val="BodyText"/>
      </w:pPr>
      <w:r>
        <w:t xml:space="preserve">Thank you.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2026-07-31T15:02:00Z</dcterms:created>
  <dcterms:modified xsi:type="dcterms:W3CDTF">2026-07-31T15:02:00Z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