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Thank you for accepting M2’s results, and for engaging with the assessment as closely as you did — the correction on photo #1 included. It made the next round of work sharper, which is exactly what that process is for.</w:t>
      </w:r>
    </w:p>
    <w:p>
      <w:pPr>
        <w:pStyle w:val="BodyText"/>
      </w:pPr>
      <w:r>
        <w:rPr>
          <w:b/>
          <w:bCs/>
        </w:rPr>
        <w:t xml:space="preserve">TestFlight / App Store Connect access</w:t>
      </w:r>
    </w:p>
    <w:p>
      <w:pPr>
        <w:pStyle w:val="BodyText"/>
      </w:pPr>
      <w:r>
        <w:t xml:space="preserve">My Apple ID is</w:t>
      </w:r>
      <w:r>
        <w:t xml:space="preserve"> </w:t>
      </w:r>
      <w:r>
        <w:rPr>
          <w:rStyle w:val="VerbatimChar"/>
        </w:rPr>
        <w:t xml:space="preserve">zaryab.dev01@gmail.com</w:t>
      </w:r>
      <w:r>
        <w:t xml:space="preserve">. Could you add me under App Store Connect → Users and Access, with the App Manager role? That’s enough for me to handle builds and TestFlight distribution directly without needing further permission changes mid-way.</w:t>
      </w:r>
    </w:p>
    <w:p>
      <w:pPr>
        <w:pStyle w:val="BodyText"/>
      </w:pPr>
      <w:r>
        <w:t xml:space="preserve">Once that invitation lands and I accept it, I’ll produce the build (TestFlight for iOS, a direct-install internal build for Android) and let you know as soon as it’s ready for you to test against your own reference images — that’s the one remaining item before M2 formally closes.</w:t>
      </w:r>
    </w:p>
    <w:p>
      <w:pPr>
        <w:pStyle w:val="BodyText"/>
      </w:pPr>
      <w:r>
        <w:rPr>
          <w:b/>
          <w:bCs/>
        </w:rPr>
        <w:t xml:space="preserve">M3 — response to your points, attached</w:t>
      </w:r>
    </w:p>
    <w:p>
      <w:pPr>
        <w:pStyle w:val="BodyText"/>
      </w:pPr>
      <w:r>
        <w:t xml:space="preserve">Attached is the full response to everything in your last message. In summary:</w:t>
      </w:r>
    </w:p>
    <w:p>
      <w:pPr>
        <w:pStyle w:val="Compact"/>
        <w:numPr>
          <w:ilvl w:val="0"/>
          <w:numId w:val="1001"/>
        </w:numPr>
      </w:pPr>
      <w:r>
        <w:t xml:space="preserve">All six of your M3 acceptance criteria are confirmed as written, including the native-valid-vs-fallback reporting split.</w:t>
      </w:r>
    </w:p>
    <w:p>
      <w:pPr>
        <w:pStyle w:val="Compact"/>
        <w:numPr>
          <w:ilvl w:val="0"/>
          <w:numId w:val="1001"/>
        </w:numPr>
      </w:pPr>
      <w:r>
        <w:t xml:space="preserve">On photo #10: I’ve given you a genuine technical opinion, not a hedge. The mandatory-per-trait-field approach is the structurally stronger option, and I can show why using evidence from our own four rounds rather than general claims about how language models behave. My recommendation is to treat it as a small, separately-scoped experiment run between M3 and M4 — not folded into either — with a rough 1.5–2.5 day estimate, pending your agreement before anything starts.</w:t>
      </w:r>
    </w:p>
    <w:p>
      <w:pPr>
        <w:pStyle w:val="Compact"/>
        <w:numPr>
          <w:ilvl w:val="0"/>
          <w:numId w:val="1001"/>
        </w:numPr>
      </w:pPr>
      <w:r>
        <w:t xml:space="preserve">On M4: a revised protocol proposal with tiered repeat counts, severity-based consistency thresholds, permanent inclusion of #1/#9/#10, a minimum of 3 images per critical category, and a preliminary (explicitly not final) cost range reflecting the stronger scope. I’ve also asked you directly how many additional real-world images might realistically be available, since that materially changes what M4 can conclude.</w:t>
      </w:r>
    </w:p>
    <w:p>
      <w:pPr>
        <w:pStyle w:val="Compact"/>
        <w:numPr>
          <w:ilvl w:val="0"/>
          <w:numId w:val="1001"/>
        </w:numPr>
      </w:pPr>
      <w:r>
        <w:t xml:space="preserve">On the server-side model configuration question: yes, it fits naturally inside M3 at no additional cost, and I’ve answered all five of your sub-questions directly, including a specific recommendation against Firebase Remote Config as disproportionate to ApiSave’s current scale, and a proposal to version the model identifier together with the prompt and schema as one atomic bundle, extending the</w:t>
      </w:r>
      <w:r>
        <w:t xml:space="preserve"> </w:t>
      </w:r>
      <w:r>
        <w:rPr>
          <w:rStyle w:val="VerbatimChar"/>
        </w:rPr>
        <w:t xml:space="preserve">ENGINE.protocole</w:t>
      </w:r>
      <w:r>
        <w:t xml:space="preserve"> </w:t>
      </w:r>
      <w:r>
        <w:t xml:space="preserve">convention already in the codebase.</w:t>
      </w:r>
    </w:p>
    <w:p>
      <w:pPr>
        <w:pStyle w:val="FirstParagraph"/>
      </w:pPr>
      <w:r>
        <w:t xml:space="preserve">Nothing on M3 has been started. As you asked, I’m waiting on your confirmation of the points in the attached document — particularly the acceptance criteria and the architecture question, since those directly shape how M3 gets built — before any implementation begins.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2026-08-13T09:08:57Z</dcterms:created>
  <dcterms:modified xsi:type="dcterms:W3CDTF">2026-08-13T09:08:57Z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