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Nordine,</w:t>
      </w:r>
    </w:p>
    <w:p>
      <w:pPr>
        <w:pStyle w:val="BodyText"/>
      </w:pPr>
      <w:r>
        <w:t xml:space="preserve">Two documents attached: the Round 4 results, and the candid assessment you asked for. I’d read the assessment first — the score is the less important of the two.</w:t>
      </w:r>
    </w:p>
    <w:p>
      <w:pPr>
        <w:pStyle w:val="BodyText"/>
      </w:pPr>
      <w:r>
        <w:rPr>
          <w:b/>
          <w:bCs/>
        </w:rPr>
        <w:t xml:space="preserve">Round 4, briefly:</w:t>
      </w:r>
      <w:r>
        <w:t xml:space="preserve"> </w:t>
      </w:r>
      <w:r>
        <w:t xml:space="preserve">the</w:t>
      </w:r>
      <w:r>
        <w:t xml:space="preserve"> </w:t>
      </w:r>
      <w:r>
        <w:rPr>
          <w:rStyle w:val="VerbatimChar"/>
        </w:rPr>
        <w:t xml:space="preserve">elements_visibles</w:t>
      </w:r>
      <w:r>
        <w:t xml:space="preserve"> </w:t>
      </w:r>
      <w:r>
        <w:t xml:space="preserve">clarification worked — photo #3 resolved cleanly on the first real test, exactly as intended. 9 of 10 matched, up from 6/10. But the more important finding isn’t the score: photo #1, which I told you in Round 3 looked like a stable, repeatable wrong answer after three identical misses, flipped to correct this round with no code change on its path. I was wrong to call that</w:t>
      </w:r>
      <w:r>
        <w:t xml:space="preserve"> </w:t>
      </w:r>
      <w:r>
        <w:t xml:space="preserve">“stable”</w:t>
      </w:r>
      <w:r>
        <w:t xml:space="preserve"> </w:t>
      </w:r>
      <w:r>
        <w:t xml:space="preserve">off three samples, and I say so directly in the assessment — it was variance with a long streak, not a systematic bias. Photo #10, meanwhile, has now failed identically in all four rounds — the only image with a 0-for-4 record, and a materially different, more concerning pattern than #1 turned out to be.</w:t>
      </w:r>
    </w:p>
    <w:p>
      <w:pPr>
        <w:pStyle w:val="BodyText"/>
      </w:pPr>
      <w:r>
        <w:rPr>
          <w:b/>
          <w:bCs/>
        </w:rPr>
        <w:t xml:space="preserve">On your four questions</w:t>
      </w:r>
      <w:r>
        <w:t xml:space="preserve">, I’ve answered each directly and specifically in the attached assessment, but the honest summary is:</w:t>
      </w:r>
    </w:p>
    <w:p>
      <w:pPr>
        <w:pStyle w:val="Compact"/>
        <w:numPr>
          <w:ilvl w:val="0"/>
          <w:numId w:val="1001"/>
        </w:numPr>
      </w:pPr>
      <w:r>
        <w:t xml:space="preserve">10/10</w:t>
      </w:r>
      <w:r>
        <w:t xml:space="preserve"> </w:t>
      </w:r>
      <w:r>
        <w:rPr>
          <w:i/>
          <w:iCs/>
        </w:rPr>
        <w:t xml:space="preserve">valid</w:t>
      </w:r>
      <w:r>
        <w:t xml:space="preserve"> </w:t>
      </w:r>
      <w:r>
        <w:t xml:space="preserve">outputs from M3 — yes, I have real confidence in this, and I explain why.</w:t>
      </w:r>
    </w:p>
    <w:p>
      <w:pPr>
        <w:pStyle w:val="Compact"/>
        <w:numPr>
          <w:ilvl w:val="0"/>
          <w:numId w:val="1001"/>
        </w:numPr>
      </w:pPr>
      <w:r>
        <w:t xml:space="preserve">10/10</w:t>
      </w:r>
      <w:r>
        <w:t xml:space="preserve"> </w:t>
      </w:r>
      <w:r>
        <w:rPr>
          <w:i/>
          <w:iCs/>
        </w:rPr>
        <w:t xml:space="preserve">correct</w:t>
      </w:r>
      <w:r>
        <w:t xml:space="preserve"> </w:t>
      </w:r>
      <w:r>
        <w:t xml:space="preserve">outputs on this reference set — no, and photo #10 is the concrete evidence for why not. Structured-output enforcement fixes which values are legal; it has no mechanism to make the model choose to write every applicable tag, which is what #10 is actually missing.</w:t>
      </w:r>
    </w:p>
    <w:p>
      <w:pPr>
        <w:pStyle w:val="Compact"/>
        <w:numPr>
          <w:ilvl w:val="0"/>
          <w:numId w:val="1001"/>
        </w:numPr>
      </w:pPr>
      <w:r>
        <w:t xml:space="preserve">Stable repeated runs — depends what</w:t>
      </w:r>
      <w:r>
        <w:t xml:space="preserve"> </w:t>
      </w:r>
      <w:r>
        <w:t xml:space="preserve">“stable”</w:t>
      </w:r>
      <w:r>
        <w:t xml:space="preserve"> </w:t>
      </w:r>
      <w:r>
        <w:t xml:space="preserve">means, and I’ve drawn that distinction explicitly rather than give a one-word answer.</w:t>
      </w:r>
    </w:p>
    <w:p>
      <w:pPr>
        <w:pStyle w:val="Compact"/>
        <w:numPr>
          <w:ilvl w:val="0"/>
          <w:numId w:val="1001"/>
        </w:numPr>
      </w:pPr>
      <w:r>
        <w:t xml:space="preserve">Reliability on new real-world images — I don’t have a number I can honestly give you from a 10-image set, and I say that plainly rather than invent one.</w:t>
      </w:r>
    </w:p>
    <w:p>
      <w:pPr>
        <w:pStyle w:val="FirstParagraph"/>
      </w:pPr>
      <w:r>
        <w:t xml:space="preserve">I’ve also answered directly: M4 as scoped tests and documents, it does not include a mandate to fix what it finds — if photo #10’s pattern shows up in M4’s data (which I’d expect), that becomes a new, separately scoped and priced piece of work, decided from real data rather than guessed at now. The assessment proposes how we’d set acceptable consistency thresholds before M4 runs, and what happens if the numbers come back below them.</w:t>
      </w:r>
    </w:p>
    <w:p>
      <w:pPr>
        <w:pStyle w:val="BodyText"/>
      </w:pPr>
      <w:r>
        <w:t xml:space="preserve">And yes, I agree with your allocation — the</w:t>
      </w:r>
      <w:r>
        <w:t xml:space="preserve"> </w:t>
      </w:r>
      <w:r>
        <w:rPr>
          <w:rStyle w:val="VerbatimChar"/>
        </w:rPr>
        <w:t xml:space="preserve">elements_visibles</w:t>
      </w:r>
      <w:r>
        <w:t xml:space="preserve"> </w:t>
      </w:r>
      <w:r>
        <w:t xml:space="preserve">fix belongs in M2 (done), native enum enforcement stays in M3.</w:t>
      </w:r>
    </w:p>
    <w:p>
      <w:pPr>
        <w:pStyle w:val="BodyText"/>
      </w:pPr>
      <w:r>
        <w:t xml:space="preserve">I’d rather you read the full assessment than a shorter version of it — it’s built to answer exactly what you asked, not to make M3 sound better than the evidence supports.</w:t>
      </w:r>
    </w:p>
    <w:p>
      <w:pPr>
        <w:pStyle w:val="BodyText"/>
      </w:pPr>
      <w:r>
        <w:t xml:space="preserve">Thank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2026-08-12T07:23:52Z</dcterms:created>
  <dcterms:modified xsi:type="dcterms:W3CDTF">2026-08-12T07:23:52Z</dcterms:modified>
</cp:coreProperties>
</file>

<file path=docProps/custom.xml><?xml version="1.0" encoding="utf-8"?>
<Properties xmlns="http://schemas.openxmlformats.org/officeDocument/2006/custom-properties" xmlns:vt="http://schemas.openxmlformats.org/officeDocument/2006/docPropsVTypes"/>
</file>