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ApiSave — Post-Validation Work: Scope, Price and Sequencing</w:t>
      </w:r>
    </w:p>
    <w:p>
      <w:pPr>
        <w:pStyle w:val="Subtitle"/>
      </w:pPr>
      <w:r>
        <w:t xml:space="preserve">Response to the M2 post-validation approval — the three approved items</w:t>
      </w:r>
    </w:p>
    <w:p>
      <w:pPr>
        <w:pStyle w:val="Date"/>
      </w:pPr>
      <w:r>
        <w:t xml:space="preserve">2026-09-02</w:t>
      </w:r>
    </w:p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You have approved the direction for all three post-validation items. This document gives the</w:t>
      </w:r>
      <w:r>
        <w:t xml:space="preserve"> </w:t>
      </w:r>
      <w:r>
        <w:t xml:space="preserve">fixed price, the split across the three items, the recommended sequence, and a</w:t>
      </w:r>
      <w:r>
        <w:t xml:space="preserve"> </w:t>
      </w:r>
      <w:r>
        <w:t xml:space="preserve">recommendation on whether each belongs inside M3.</w:t>
      </w:r>
    </w:p>
    <w:p>
      <w:pPr>
        <w:pStyle w:val="BodyText"/>
      </w:pPr>
      <w:r>
        <w:rPr>
          <w:b/>
          <w:bCs/>
        </w:rPr>
        <w:t xml:space="preserve">Fixed price for all three items combined: $300</w:t>
      </w:r>
      <w:r>
        <w:t xml:space="preserve">, split as below. This is a fixed fee for</w:t>
      </w:r>
      <w:r>
        <w:t xml:space="preserve"> </w:t>
      </w:r>
      <w:r>
        <w:t xml:space="preserve">the defined scope, not a day-rate estimate.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Asian-hornet false-negative correction</w:t>
            </w:r>
          </w:p>
        </w:tc>
        <w:tc>
          <w:tcPr/>
          <w:p>
            <w:pPr>
              <w:pStyle w:val="Compact"/>
            </w:pPr>
            <w:r>
              <w:t xml:space="preserve">Prompt + Judge + schema changes, full before/after repeated-sampling regression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Gemini 503 handling and latency</w:t>
            </w:r>
          </w:p>
        </w:tc>
        <w:tc>
          <w:tcPr/>
          <w:p>
            <w:pPr>
              <w:pStyle w:val="Compact"/>
            </w:pPr>
            <w:r>
              <w:t xml:space="preserve">Stage timing, 5xx retry with backoff + jitter, image downscaling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Distant-structure guided retake</w:t>
            </w:r>
          </w:p>
        </w:tc>
        <w:tc>
          <w:tcPr/>
          <w:p>
            <w:pPr>
              <w:pStyle w:val="Compact"/>
            </w:pPr>
            <w:r>
              <w:t xml:space="preserve">Schema flag + Judge suggestion +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be75db959b67e657e61dafe1b6a9849f4f52679"/>
    <w:p>
      <w:pPr>
        <w:pStyle w:val="Heading1"/>
      </w:pPr>
      <w:r>
        <w:t xml:space="preserve">Item 1 — Asian-hornet false-negative correction — $150</w:t>
      </w:r>
    </w:p>
    <w:p>
      <w:pPr>
        <w:pStyle w:val="FirstParagraph"/>
      </w:pPr>
      <w:r>
        <w:rPr>
          <w:b/>
          <w:bCs/>
        </w:rPr>
        <w:t xml:space="preserve">Nature:</w:t>
      </w:r>
      <w:r>
        <w:t xml:space="preserve"> </w:t>
      </w:r>
      <w:r>
        <w:t xml:space="preserve">detection-logic change (prompt + Judge + observation schema). Target-adjacent.</w:t>
      </w:r>
      <w:r>
        <w:t xml:space="preserve"> </w:t>
      </w:r>
      <w:r>
        <w:t xml:space="preserve">Largest of the three: it carries the full regression obligation and is likely to need</w:t>
      </w:r>
      <w:r>
        <w:t xml:space="preserve"> </w:t>
      </w:r>
      <w:r>
        <w:t xml:space="preserve">several tuning rounds.</w:t>
      </w:r>
    </w:p>
    <w:p>
      <w:pPr>
        <w:pStyle w:val="BodyText"/>
      </w:pPr>
      <w:r>
        <w:rPr>
          <w:b/>
          <w:bCs/>
        </w:rPr>
        <w:t xml:space="preserve">Approved changes:</w:t>
      </w:r>
    </w:p>
    <w:p>
      <w:pPr>
        <w:pStyle w:val="Compact"/>
        <w:numPr>
          <w:ilvl w:val="0"/>
          <w:numId w:val="1001"/>
        </w:numPr>
      </w:pPr>
      <w:r>
        <w:t xml:space="preserve">Prompt — sharpen the abdomen interpretation so a dark ground with one broad orange band</w:t>
      </w:r>
      <w:r>
        <w:t xml:space="preserve"> </w:t>
      </w:r>
      <w:r>
        <w:t xml:space="preserve">and thin pale segment margins resolves to</w:t>
      </w:r>
      <w:r>
        <w:t xml:space="preserve"> </w:t>
      </w:r>
      <w:r>
        <w:rPr>
          <w:rStyle w:val="VerbatimChar"/>
        </w:rPr>
        <w:t xml:space="preserve">Q2 = OUI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fond_dominant = sombre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mixte_jaune_noir_alterne</w:t>
      </w:r>
      <w:r>
        <w:t xml:space="preserve">. Add a worked</w:t>
      </w:r>
      <w:r>
        <w:t xml:space="preserve"> </w:t>
      </w:r>
      <w:r>
        <w:rPr>
          <w:i/>
          <w:iCs/>
        </w:rPr>
        <w:t xml:space="preserve">velutina</w:t>
      </w:r>
      <w:r>
        <w:t xml:space="preserve"> </w:t>
      </w:r>
      <w:r>
        <w:t xml:space="preserve">abdomen example.</w:t>
      </w:r>
    </w:p>
    <w:p>
      <w:pPr>
        <w:pStyle w:val="Compact"/>
        <w:numPr>
          <w:ilvl w:val="0"/>
          <w:numId w:val="1001"/>
        </w:numPr>
      </w:pPr>
      <w:r>
        <w:t xml:space="preserve">Prompt + schema — tighten the</w:t>
      </w:r>
      <w:r>
        <w:t xml:space="preserve"> </w:t>
      </w:r>
      <w:r>
        <w:t xml:space="preserve">“rufous head”</w:t>
      </w:r>
      <w:r>
        <w:t xml:space="preserve"> </w:t>
      </w:r>
      <w:r>
        <w:t xml:space="preserve">marker (</w:t>
      </w:r>
      <w:r>
        <w:rPr>
          <w:rStyle w:val="VerbatimChar"/>
        </w:rPr>
        <w:t xml:space="preserve">tete_rousse_orangee</w:t>
      </w:r>
      <w:r>
        <w:t xml:space="preserve">) so the normal</w:t>
      </w:r>
      <w:r>
        <w:t xml:space="preserve"> </w:t>
      </w:r>
      <w:r>
        <w:t xml:space="preserve">orange-yellow</w:t>
      </w:r>
      <w:r>
        <w:t xml:space="preserve"> </w:t>
      </w:r>
      <w:r>
        <w:rPr>
          <w:i/>
          <w:iCs/>
        </w:rPr>
        <w:t xml:space="preserve">velutina</w:t>
      </w:r>
      <w:r>
        <w:t xml:space="preserve"> </w:t>
      </w:r>
      <w:r>
        <w:t xml:space="preserve">face does not trigger it.</w:t>
      </w:r>
    </w:p>
    <w:p>
      <w:pPr>
        <w:pStyle w:val="Compact"/>
        <w:numPr>
          <w:ilvl w:val="0"/>
          <w:numId w:val="1001"/>
        </w:numPr>
      </w:pPr>
      <w:r>
        <w:t xml:space="preserve">Judge — retire the</w:t>
      </w:r>
      <w:r>
        <w:t xml:space="preserve"> </w:t>
      </w:r>
      <w:r>
        <w:t xml:space="preserve">“one chromatic marker is enough at HIGH confidence”</w:t>
      </w:r>
      <w:r>
        <w:t xml:space="preserve"> </w:t>
      </w:r>
      <w:r>
        <w:t xml:space="preserve">shortcut on the</w:t>
      </w:r>
      <w:r>
        <w:t xml:space="preserve"> </w:t>
      </w:r>
      <w:r>
        <w:rPr>
          <w:rStyle w:val="VerbatimChar"/>
        </w:rPr>
        <w:t xml:space="preserve">CRABRO_LIKE_PROFILE</w:t>
      </w:r>
      <w:r>
        <w:t xml:space="preserve"> </w:t>
      </w:r>
      <w:r>
        <w:t xml:space="preserve">route; require at least two, or</w:t>
      </w:r>
      <w:r>
        <w:t xml:space="preserve"> </w:t>
      </w:r>
      <w:r>
        <w:rPr>
          <w:rStyle w:val="VerbatimChar"/>
        </w:rPr>
        <w:t xml:space="preserve">Q1 = NON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Judge — use</w:t>
      </w:r>
      <w:r>
        <w:t xml:space="preserve"> </w:t>
      </w:r>
      <w:r>
        <w:rPr>
          <w:rStyle w:val="VerbatimChar"/>
        </w:rPr>
        <w:t xml:space="preserve">zone_terminale_orangee = true</w:t>
      </w:r>
      <w:r>
        <w:t xml:space="preserve"> </w:t>
      </w:r>
      <w:r>
        <w:t xml:space="preserve">together with a dark thorax as a</w:t>
      </w:r>
      <w:r>
        <w:t xml:space="preserve"> </w:t>
      </w:r>
      <w:r>
        <w:rPr>
          <w:i/>
          <w:iCs/>
        </w:rPr>
        <w:t xml:space="preserve">velutina</w:t>
      </w:r>
      <w:r>
        <w:t xml:space="preserve">-positive counter-signal that blocks the crabro route.</w:t>
      </w:r>
    </w:p>
    <w:p>
      <w:pPr>
        <w:pStyle w:val="Compact"/>
        <w:numPr>
          <w:ilvl w:val="0"/>
          <w:numId w:val="1001"/>
        </w:numPr>
      </w:pPr>
      <w:r>
        <w:t xml:space="preserve">Prompt — strengthen the single-individual instruction for images containing prey or more</w:t>
      </w:r>
      <w:r>
        <w:t xml:space="preserve"> </w:t>
      </w:r>
      <w:r>
        <w:t xml:space="preserve">than one insect.</w:t>
      </w:r>
    </w:p>
    <w:p>
      <w:pPr>
        <w:pStyle w:val="FirstParagraph"/>
      </w:pPr>
      <w:r>
        <w:rPr>
          <w:b/>
          <w:bCs/>
        </w:rPr>
        <w:t xml:space="preserve">Validation (as you required):</w:t>
      </w:r>
      <w:r>
        <w:t xml:space="preserve"> </w:t>
      </w:r>
      <w:r>
        <w:t xml:space="preserve">before-and-after, repeated-sampling, against the</w:t>
      </w:r>
      <w:r>
        <w:t xml:space="preserve"> </w:t>
      </w: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 set</w:t>
      </w:r>
      <w:r>
        <w:t xml:space="preserve"> </w:t>
      </w:r>
      <w:r>
        <w:t xml:space="preserve">— the two new false-negative cases (</w:t>
      </w:r>
      <w:r>
        <w:rPr>
          <w:rStyle w:val="VerbatimChar"/>
        </w:rPr>
        <w:t xml:space="preserve">test_images_5</w:t>
      </w:r>
      <w:r>
        <w:t xml:space="preserve">), the existing</w:t>
      </w:r>
      <w:r>
        <w:t xml:space="preserve"> </w:t>
      </w:r>
      <w:r>
        <w:t xml:space="preserve">confirmed-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Asian-hornet cases, the confirmed European-hornet cases, and the wider M2</w:t>
      </w:r>
      <w:r>
        <w:t xml:space="preserve"> </w:t>
      </w:r>
      <w:r>
        <w:t xml:space="preserve">reference set (</w:t>
      </w:r>
      <w:r>
        <w:rPr>
          <w:rStyle w:val="VerbatimChar"/>
        </w:rPr>
        <w:t xml:space="preserve">test_images_2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test_images_3</w:t>
      </w:r>
      <w:r>
        <w:t xml:space="preserve">). ROUGE-adjacent cases are sampled 5–8 times</w:t>
      </w:r>
      <w:r>
        <w:t xml:space="preserve"> </w:t>
      </w:r>
      <w:r>
        <w:t xml:space="preserve">each, not once (the Photo 1 lesson). No new regressions is the acceptance bar.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the modified prompt / Judge / schema, plus a report with raw before/after</w:t>
      </w:r>
      <w:r>
        <w:t xml:space="preserve"> </w:t>
      </w:r>
      <w:r>
        <w:t xml:space="preserve">decision traces for every regression case.</w:t>
      </w:r>
    </w:p>
    <w:p>
      <w:pPr>
        <w:pStyle w:val="BodyText"/>
      </w:pPr>
      <w:r>
        <w:rPr>
          <w:b/>
          <w:bCs/>
        </w:rPr>
        <w:t xml:space="preserve">Inside M3? — No, recommended separate, and done first.</w:t>
      </w:r>
      <w:r>
        <w:t xml:space="preserve"> </w:t>
      </w:r>
      <w:r>
        <w:t xml:space="preserve">M3’s headline metric is the</w:t>
      </w:r>
      <w:r>
        <w:t xml:space="preserve"> </w:t>
      </w:r>
      <w:r>
        <w:t xml:space="preserve">native-valid JSON rate. Changing the prompt and schema mid-M3 makes that number impossible</w:t>
      </w:r>
      <w:r>
        <w:t xml:space="preserve"> </w:t>
      </w:r>
      <w:r>
        <w:t xml:space="preserve">to attribute — the same reason the photo-#10 experiment was scoped outside M3. This work</w:t>
      </w:r>
      <w:r>
        <w:t xml:space="preserve"> </w:t>
      </w:r>
      <w:r>
        <w:t xml:space="preserve">bumps the prompt and schema versions; M3’s atomic protocol bundle then simply references the</w:t>
      </w:r>
      <w:r>
        <w:t xml:space="preserve"> </w:t>
      </w:r>
      <w:r>
        <w:t xml:space="preserve">corrected versions and validates against the corrected baseline.</w:t>
      </w:r>
    </w:p>
    <w:p>
      <w:r>
        <w:pict>
          <v:rect style="width:0;height:1.5pt" o:hralign="center" o:hrstd="t" o:hr="t"/>
        </w:pict>
      </w:r>
    </w:p>
    <w:bookmarkEnd w:id="10"/>
    <w:bookmarkStart w:id="11" w:name="Xed00937945500a4fad177300ff9df1150ebb488"/>
    <w:p>
      <w:pPr>
        <w:pStyle w:val="Heading1"/>
      </w:pPr>
      <w:r>
        <w:t xml:space="preserve">Item 2 — Gemini 503 handling and latency — $90</w:t>
      </w:r>
    </w:p>
    <w:p>
      <w:pPr>
        <w:pStyle w:val="FirstParagraph"/>
      </w:pPr>
      <w:r>
        <w:rPr>
          <w:b/>
          <w:bCs/>
        </w:rPr>
        <w:t xml:space="preserve">Nature:</w:t>
      </w:r>
      <w:r>
        <w:t xml:space="preserve"> </w:t>
      </w:r>
      <w:r>
        <w:t xml:space="preserve">transport layer. No detection logic touched.</w:t>
      </w:r>
    </w:p>
    <w:p>
      <w:pPr>
        <w:pStyle w:val="BodyText"/>
      </w:pPr>
      <w:r>
        <w:rPr>
          <w:b/>
          <w:bCs/>
        </w:rPr>
        <w:t xml:space="preserve">Scope:</w:t>
      </w:r>
    </w:p>
    <w:p>
      <w:pPr>
        <w:pStyle w:val="Compact"/>
        <w:numPr>
          <w:ilvl w:val="0"/>
          <w:numId w:val="1002"/>
        </w:numPr>
      </w:pPr>
      <w:r>
        <w:t xml:space="preserve">Stage-timing instrumentation — image prep, Gemini call, retries, schema validation, Judge</w:t>
      </w:r>
      <w:r>
        <w:t xml:space="preserve"> </w:t>
      </w:r>
      <w:r>
        <w:t xml:space="preserve">— surfaced in a debug log. (This is also the per-stage measurement you asked for.)</w:t>
      </w:r>
    </w:p>
    <w:p>
      <w:pPr>
        <w:pStyle w:val="Compact"/>
        <w:numPr>
          <w:ilvl w:val="0"/>
          <w:numId w:val="1002"/>
        </w:numPr>
      </w:pPr>
      <w:r>
        <w:t xml:space="preserve">Retry policy rework: include 500/502/503/504, exponential backoff with jitter, honour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, cap the retry budget.</w:t>
      </w:r>
    </w:p>
    <w:p>
      <w:pPr>
        <w:pStyle w:val="Compact"/>
        <w:numPr>
          <w:ilvl w:val="0"/>
          <w:numId w:val="1002"/>
        </w:numPr>
      </w:pPr>
      <w:r>
        <w:t xml:space="preserve">Downscale the image (longest edge ~1024–1568 px) before base64 encoding, so a multi-MB</w:t>
      </w:r>
      <w:r>
        <w:t xml:space="preserve"> </w:t>
      </w:r>
      <w:r>
        <w:t xml:space="preserve">full-resolution photo is not uploaded — and re-uploaded on every retry.</w:t>
      </w:r>
    </w:p>
    <w:p>
      <w:pPr>
        <w:pStyle w:val="FirstParagraph"/>
      </w:pPr>
      <w:r>
        <w:rPr>
          <w:b/>
          <w:bCs/>
        </w:rPr>
        <w:t xml:space="preserve">Validation:</w:t>
      </w:r>
      <w:r>
        <w:t xml:space="preserve"> </w:t>
      </w:r>
      <w:r>
        <w:t xml:space="preserve">measured before/after latency on a real device; the M2 reference set re-run</w:t>
      </w:r>
      <w:r>
        <w:t xml:space="preserve"> </w:t>
      </w:r>
      <w:r>
        <w:t xml:space="preserve">at the reduced resolution to confirm no accuracy change from downscaling.</w:t>
      </w:r>
    </w:p>
    <w:p>
      <w:pPr>
        <w:pStyle w:val="BodyText"/>
      </w:pPr>
      <w:r>
        <w:rPr>
          <w:b/>
          <w:bCs/>
        </w:rPr>
        <w:t xml:space="preserve">Inside M3? — No, independent.</w:t>
      </w:r>
      <w:r>
        <w:t xml:space="preserve"> </w:t>
      </w:r>
      <w:r>
        <w:t xml:space="preserve">It can run in parallel with Item 1 or immediately after,</w:t>
      </w:r>
      <w:r>
        <w:t xml:space="preserve"> </w:t>
      </w:r>
      <w:r>
        <w:t xml:space="preserve">and gives immediate relief from the 503s being seen now.</w:t>
      </w:r>
    </w:p>
    <w:p>
      <w:r>
        <w:pict>
          <v:rect style="width:0;height:1.5pt" o:hralign="center" o:hrstd="t" o:hr="t"/>
        </w:pict>
      </w:r>
    </w:p>
    <w:bookmarkEnd w:id="11"/>
    <w:bookmarkStart w:id="12" w:name="Xd08696d5d399f1990748ef90d24bf236b2151e1"/>
    <w:p>
      <w:pPr>
        <w:pStyle w:val="Heading1"/>
      </w:pPr>
      <w:r>
        <w:t xml:space="preserve">Item 3 — Distant-structure guided retake — $60</w:t>
      </w:r>
    </w:p>
    <w:p>
      <w:pPr>
        <w:pStyle w:val="FirstParagraph"/>
      </w:pPr>
      <w:r>
        <w:rPr>
          <w:b/>
          <w:bCs/>
        </w:rPr>
        <w:t xml:space="preserve">Nature:</w:t>
      </w:r>
      <w:r>
        <w:t xml:space="preserve"> </w:t>
      </w:r>
      <w:r>
        <w:t xml:space="preserve">new advisory feature. No verdict ever changes. Smallest and lowest-risk of the</w:t>
      </w:r>
      <w:r>
        <w:t xml:space="preserve"> </w:t>
      </w:r>
      <w:r>
        <w:t xml:space="preserve">three.</w:t>
      </w:r>
    </w:p>
    <w:p>
      <w:pPr>
        <w:pStyle w:val="BodyText"/>
      </w:pPr>
      <w:r>
        <w:rPr>
          <w:b/>
          <w:bCs/>
        </w:rPr>
        <w:t xml:space="preserve">Scope:</w:t>
      </w:r>
    </w:p>
    <w:p>
      <w:pPr>
        <w:pStyle w:val="Compact"/>
        <w:numPr>
          <w:ilvl w:val="0"/>
          <w:numId w:val="1003"/>
        </w:numPr>
      </w:pPr>
      <w:r>
        <w:t xml:space="preserve">Schema + prompt — add</w:t>
      </w:r>
      <w:r>
        <w:t xml:space="preserve"> </w:t>
      </w:r>
      <w:r>
        <w:rPr>
          <w:rStyle w:val="VerbatimChar"/>
        </w:rPr>
        <w:t xml:space="preserve">structure.trop_distante_pour_evaluer</w:t>
      </w:r>
      <w:r>
        <w:t xml:space="preserve">, set by the model when a</w:t>
      </w:r>
      <w:r>
        <w:t xml:space="preserve"> </w:t>
      </w:r>
      <w:r>
        <w:t xml:space="preserve">structure is visible but too small/far to assess (the model already says</w:t>
      </w:r>
      <w:r>
        <w:t xml:space="preserve"> </w:t>
      </w:r>
      <w:r>
        <w:t xml:space="preserve">“distant”</w:t>
      </w:r>
      <w:r>
        <w:t xml:space="preserve"> </w:t>
      </w:r>
      <w:r>
        <w:t xml:space="preserve">in its</w:t>
      </w:r>
      <w:r>
        <w:t xml:space="preserve"> </w:t>
      </w:r>
      <w:r>
        <w:t xml:space="preserve">free text; this captures it).</w:t>
      </w:r>
    </w:p>
    <w:p>
      <w:pPr>
        <w:pStyle w:val="Compact"/>
        <w:numPr>
          <w:ilvl w:val="0"/>
          <w:numId w:val="1003"/>
        </w:numPr>
      </w:pPr>
      <w:r>
        <w:t xml:space="preserve">Judge — when that flag is set and the structure path resolves to</w:t>
      </w:r>
      <w:r>
        <w:t xml:space="preserve"> </w:t>
      </w:r>
      <w:r>
        <w:rPr>
          <w:rStyle w:val="VerbatimChar"/>
        </w:rPr>
        <w:t xml:space="preserve">VERT</w:t>
      </w:r>
      <w:r>
        <w:t xml:space="preserve">, attach the</w:t>
      </w:r>
      <w:r>
        <w:t xml:space="preserve"> </w:t>
      </w:r>
      <w:r>
        <w:t xml:space="preserve">suggested wording (</w:t>
      </w:r>
      <w:r>
        <w:t xml:space="preserve">“A distant structure has been detected. Zoom in or take a closer photo</w:t>
      </w:r>
      <w:r>
        <w:t xml:space="preserve"> </w:t>
      </w:r>
      <w:r>
        <w:t xml:space="preserve">for a more precise analysis.”</w:t>
      </w:r>
      <w:r>
        <w:t xml:space="preserve">) without changing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verdict_code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UI — render the suggestion beneath the green result.</w:t>
      </w:r>
    </w:p>
    <w:p>
      <w:pPr>
        <w:pStyle w:val="FirstParagraph"/>
      </w:pPr>
      <w:r>
        <w:rPr>
          <w:b/>
          <w:bCs/>
        </w:rPr>
        <w:t xml:space="preserve">Validation:</w:t>
      </w:r>
      <w:r>
        <w:t xml:space="preserve"> </w:t>
      </w:r>
      <w:r>
        <w:t xml:space="preserve">the flag fires on distant-structure images; zero verdict changes across the</w:t>
      </w:r>
      <w:r>
        <w:t xml:space="preserve"> </w:t>
      </w:r>
      <w:r>
        <w:t xml:space="preserve">existing structure regression set (</w:t>
      </w:r>
      <w:r>
        <w:rPr>
          <w:rStyle w:val="VerbatimChar"/>
        </w:rPr>
        <w:t xml:space="preserve">test_images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test_images_5</w:t>
      </w:r>
      <w:r>
        <w:t xml:space="preserve"> </w:t>
      </w:r>
      <w:r>
        <w:t xml:space="preserve">Case 3).</w:t>
      </w:r>
    </w:p>
    <w:p>
      <w:pPr>
        <w:pStyle w:val="BodyText"/>
      </w:pPr>
      <w:r>
        <w:rPr>
          <w:b/>
          <w:bCs/>
        </w:rPr>
        <w:t xml:space="preserve">Inside M3? — No, independent.</w:t>
      </w:r>
      <w:r>
        <w:t xml:space="preserve"> </w:t>
      </w:r>
      <w:r>
        <w:t xml:space="preserve">Product feature, unrelated to M3 infrastructure.</w:t>
      </w:r>
    </w:p>
    <w:p>
      <w:r>
        <w:pict>
          <v:rect style="width:0;height:1.5pt" o:hralign="center" o:hrstd="t" o:hr="t"/>
        </w:pict>
      </w:r>
    </w:p>
    <w:bookmarkEnd w:id="12"/>
    <w:bookmarkStart w:id="13" w:name="recommended-sequence"/>
    <w:p>
      <w:pPr>
        <w:pStyle w:val="Heading1"/>
      </w:pPr>
      <w:r>
        <w:t xml:space="preserve">Recommended sequence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Why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1</w:t>
            </w:r>
            <w:r>
              <w:t xml:space="preserve"> </w:t>
            </w:r>
            <w:r>
              <w:t xml:space="preserve">— false-negative correction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Safety-critical (false negative on the target species). The detection baseline must be stable before any further build ships or M3 validates against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2</w:t>
            </w:r>
            <w:r>
              <w:t xml:space="preserve"> </w:t>
            </w:r>
            <w:r>
              <w:t xml:space="preserve">— 503 / latency</w:t>
            </w:r>
          </w:p>
        </w:tc>
        <w:tc>
          <w:tcPr/>
          <w:p>
            <w:pPr>
              <w:pStyle w:val="Compact"/>
            </w:pPr>
            <w:r>
              <w:t xml:space="preserve">$90</w:t>
            </w:r>
          </w:p>
        </w:tc>
        <w:tc>
          <w:tcPr/>
          <w:p>
            <w:pPr>
              <w:pStyle w:val="Compact"/>
            </w:pPr>
            <w:r>
              <w:t xml:space="preserve">Immediate user-visible pain. Independent of Item 1; can overlap its validation waits.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3</w:t>
            </w:r>
            <w:r>
              <w:t xml:space="preserve"> </w:t>
            </w:r>
            <w:r>
              <w:t xml:space="preserve">— distant-structure advisory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Lowest urgency and risk. Can run in parallel with Item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(its own scope)</w:t>
            </w:r>
          </w:p>
        </w:tc>
        <w:tc>
          <w:tcPr/>
          <w:p>
            <w:pPr>
              <w:pStyle w:val="Compact"/>
            </w:pPr>
            <w:r>
              <w:t xml:space="preserve">Proceeds separately once you confirm the hosting platform. Built on the Item 1 corrected prompt/schema.</w:t>
            </w:r>
          </w:p>
        </w:tc>
      </w:tr>
    </w:tbl>
    <w:p>
      <w:pPr>
        <w:pStyle w:val="BodyText"/>
      </w:pPr>
      <w:r>
        <w:t xml:space="preserve">The three items are billed</w:t>
      </w:r>
      <w:r>
        <w:t xml:space="preserve"> </w:t>
      </w:r>
      <w:r>
        <w:rPr>
          <w:b/>
          <w:bCs/>
        </w:rPr>
        <w:t xml:space="preserve">separately from M3</w:t>
      </w:r>
      <w:r>
        <w:t xml:space="preserve">. If you would rather treat them as one</w:t>
      </w:r>
      <w:r>
        <w:t xml:space="preserve"> </w:t>
      </w:r>
      <w:r>
        <w:t xml:space="preserve">approval and one payment of $300 rather than three, that is fine — the sequence is unchanged.</w:t>
      </w:r>
    </w:p>
    <w:p>
      <w:r>
        <w:pict>
          <v:rect style="width:0;height:1.5pt" o:hralign="center" o:hrstd="t" o:hr="t"/>
        </w:pict>
      </w:r>
    </w:p>
    <w:bookmarkEnd w:id="13"/>
    <w:bookmarkStart w:id="14" w:name="what-i-need-from-you"/>
    <w:p>
      <w:pPr>
        <w:pStyle w:val="Heading1"/>
      </w:pPr>
      <w:r>
        <w:t xml:space="preserve">What I need from you</w:t>
      </w:r>
    </w:p>
    <w:p>
      <w:pPr>
        <w:pStyle w:val="Compact"/>
        <w:numPr>
          <w:ilvl w:val="0"/>
          <w:numId w:val="1004"/>
        </w:numPr>
      </w:pPr>
      <w:r>
        <w:t xml:space="preserve">Confirm the $300 fixed price, the split, and the sequence above — or tell me what to</w:t>
      </w:r>
      <w:r>
        <w:t xml:space="preserve"> </w:t>
      </w:r>
      <w:r>
        <w:t xml:space="preserve">adjust.</w:t>
      </w:r>
    </w:p>
    <w:p>
      <w:pPr>
        <w:pStyle w:val="Compact"/>
        <w:numPr>
          <w:ilvl w:val="0"/>
          <w:numId w:val="1004"/>
        </w:numPr>
      </w:pPr>
      <w:r>
        <w:t xml:space="preserve">The hosting platform for M3, when you have it (you said you would send this separately).</w:t>
      </w:r>
    </w:p>
    <w:p>
      <w:pPr>
        <w:pStyle w:val="FirstParagraph"/>
      </w:pPr>
      <w:r>
        <w:t xml:space="preserve">Implementation on Item 1 starts as soon as you confirm point 1.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ApiSave — Post-Validation Work: Scope, Price and Sequencing</dc:title>
  <dc:creator/>
  <cp:keywords/>
  <dcterms:created xsi:type="dcterms:W3CDTF">2026-09-02T14:00:57Z</dcterms:created>
  <dcterms:modified xsi:type="dcterms:W3CDTF">2026-09-02T14:00:57Z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2026-09-02</vt:lpwstr>
  </property>
  <property fmtid="{D5CDD505-2E9C-101B-9397-08002B2CF9AE}" pid="3" name="subtitle">
    <vt:lpwstr>Response to the M2 post-validation approval — the three approved items</vt:lpwstr>
  </property>
</Properties>
</file>