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ApiSave — M3 Scope: Gemini API Hardening &amp; Key Security</w:t>
      </w:r>
    </w:p>
    <w:p>
      <w:pPr>
        <w:pStyle w:val="Subtitle"/>
      </w:pPr>
      <w:r>
        <w:t xml:space="preserve">Exactly what is included, what is excluded, and how it will be verified</w:t>
      </w:r>
    </w:p>
    <w:p>
      <w:pPr>
        <w:pStyle w:val="Date"/>
      </w:pPr>
      <w:r>
        <w:t xml:space="preserve">2026-09-03</w:t>
      </w:r>
    </w:p>
    <w:bookmarkStart w:id="9" w:name="what-m3-is-for"/>
    <w:p>
      <w:pPr>
        <w:pStyle w:val="Heading1"/>
      </w:pPr>
      <w:r>
        <w:t xml:space="preserve">What M3 is for</w:t>
      </w:r>
    </w:p>
    <w:p>
      <w:pPr>
        <w:pStyle w:val="FirstParagraph"/>
      </w:pPr>
      <w:r>
        <w:t xml:space="preserve">Today the Gemini API key is compiled into the mobile application. Anyone who downloads</w:t>
      </w:r>
      <w:r>
        <w:t xml:space="preserve"> </w:t>
      </w:r>
      <w:r>
        <w:t xml:space="preserve">the app can extract it from the bundle and use it. M3 closes that exposure and hardens</w:t>
      </w:r>
      <w:r>
        <w:t xml:space="preserve"> </w:t>
      </w:r>
      <w:r>
        <w:t xml:space="preserve">the whole path between the app and Gemini so that the model can only ever run in a</w:t>
      </w:r>
      <w:r>
        <w:t xml:space="preserve"> </w:t>
      </w:r>
      <w:r>
        <w:t xml:space="preserve">combination that has been validated.</w:t>
      </w:r>
    </w:p>
    <w:p>
      <w:pPr>
        <w:pStyle w:val="BodyText"/>
      </w:pPr>
      <w:r>
        <w:t xml:space="preserve">M3 is infrastructure and safety work.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what the app decides or how</w:t>
      </w:r>
      <w:r>
        <w:t xml:space="preserve"> </w:t>
      </w:r>
      <w:r>
        <w:t xml:space="preserve">it reads a photo — that behaviour stays identical, and proving it stays identical is one</w:t>
      </w:r>
      <w:r>
        <w:t xml:space="preserve"> </w:t>
      </w:r>
      <w:r>
        <w:t xml:space="preserve">of the acceptance criteria.</w:t>
      </w:r>
    </w:p>
    <w:p>
      <w:r>
        <w:pict>
          <v:rect style="width:0;height:1.5pt" o:hralign="center" o:hrstd="t" o:hr="t"/>
        </w:pict>
      </w:r>
    </w:p>
    <w:bookmarkEnd w:id="9"/>
    <w:bookmarkStart w:id="14" w:name="what-m3-delivers"/>
    <w:p>
      <w:pPr>
        <w:pStyle w:val="Heading1"/>
      </w:pPr>
      <w:r>
        <w:t xml:space="preserve">What M3 delivers</w:t>
      </w:r>
    </w:p>
    <w:bookmarkStart w:id="10" w:name="server-side-proxy-the-key-leaves-the-app"/>
    <w:p>
      <w:pPr>
        <w:pStyle w:val="Heading2"/>
      </w:pPr>
      <w:r>
        <w:t xml:space="preserve">1. Server-side proxy — the key leaves the app</w:t>
      </w:r>
    </w:p>
    <w:p>
      <w:pPr>
        <w:pStyle w:val="Compact"/>
        <w:numPr>
          <w:ilvl w:val="0"/>
          <w:numId w:val="1001"/>
        </w:numPr>
      </w:pPr>
      <w:r>
        <w:t xml:space="preserve">A small server component holds the real Gemini key. The app sends the photo to the</w:t>
      </w:r>
      <w:r>
        <w:t xml:space="preserve"> </w:t>
      </w:r>
      <w:r>
        <w:t xml:space="preserve">proxy; the proxy calls Gemini and returns the result.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GEMINI_API_KEY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removed from the app bundle entirely</w:t>
      </w:r>
      <w:r>
        <w:t xml:space="preserve"> </w:t>
      </w:r>
      <w:r>
        <w:t xml:space="preserve">— it no longer ships to any</w:t>
      </w:r>
      <w:r>
        <w:t xml:space="preserve"> </w:t>
      </w:r>
      <w:r>
        <w:t xml:space="preserve">device.</w:t>
      </w:r>
    </w:p>
    <w:p>
      <w:pPr>
        <w:pStyle w:val="Compact"/>
        <w:numPr>
          <w:ilvl w:val="0"/>
          <w:numId w:val="1001"/>
        </w:numPr>
      </w:pPr>
      <w:r>
        <w:t xml:space="preserve">The app authenticates to the proxy with a shared app-secret (</w:t>
      </w:r>
      <w:r>
        <w:rPr>
          <w:rStyle w:val="VerbatimChar"/>
        </w:rPr>
        <w:t xml:space="preserve">X-App-Secret</w:t>
      </w:r>
      <w:r>
        <w:t xml:space="preserve">), reusing</w:t>
      </w:r>
      <w:r>
        <w:t xml:space="preserve"> </w:t>
      </w:r>
      <w:r>
        <w:t xml:space="preserve">the exact</w:t>
      </w:r>
      <w:r>
        <w:t xml:space="preserve"> </w:t>
      </w:r>
      <w:r>
        <w:rPr>
          <w:rStyle w:val="VerbatimChar"/>
        </w:rPr>
        <w:t xml:space="preserve">PROXY_URL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PROXY_SECRET</w:t>
      </w:r>
      <w:r>
        <w:t xml:space="preserve"> </w:t>
      </w:r>
      <w:r>
        <w:t xml:space="preserve">convention already present in the codebase from</w:t>
      </w:r>
      <w:r>
        <w:t xml:space="preserve"> </w:t>
      </w:r>
      <w:r>
        <w:t xml:space="preserve">the retired OpenAI integration, rather than inventing a new mechanism.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is updated; the proxy is deployed to a small Node host.</w:t>
      </w:r>
    </w:p>
    <w:bookmarkEnd w:id="10"/>
    <w:bookmarkStart w:id="11" w:name="native-structured-output-enforcement"/>
    <w:p>
      <w:pPr>
        <w:pStyle w:val="Heading2"/>
      </w:pPr>
      <w:r>
        <w:t xml:space="preserve">2. Native structured-output enforcement</w:t>
      </w:r>
    </w:p>
    <w:p>
      <w:pPr>
        <w:pStyle w:val="Compact"/>
        <w:numPr>
          <w:ilvl w:val="0"/>
          <w:numId w:val="1002"/>
        </w:numPr>
      </w:pPr>
      <w:r>
        <w:t xml:space="preserve">Gemini’s own</w:t>
      </w:r>
      <w:r>
        <w:t xml:space="preserve"> </w:t>
      </w:r>
      <w:r>
        <w:rPr>
          <w:rStyle w:val="VerbatimChar"/>
        </w:rPr>
        <w:t xml:space="preserve">responseSchema</w:t>
      </w:r>
      <w:r>
        <w:t xml:space="preserve"> </w:t>
      </w:r>
      <w:r>
        <w:t xml:space="preserve">is used to constrain the model’s JSON output to the exact</w:t>
      </w:r>
      <w:r>
        <w:t xml:space="preserve"> </w:t>
      </w:r>
      <w:r>
        <w:t xml:space="preserve">allowed field values, built directly from</w:t>
      </w:r>
      <w:r>
        <w:t xml:space="preserve"> </w:t>
      </w:r>
      <w:r>
        <w:rPr>
          <w:rStyle w:val="VerbatimChar"/>
        </w:rPr>
        <w:t xml:space="preserve">src/core/schema.js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safe fallback path: if a schema-constrained response comes back malformed, or the</w:t>
      </w:r>
      <w:r>
        <w:t xml:space="preserve"> </w:t>
      </w:r>
      <w:r>
        <w:t xml:space="preserve">constrained call fails for any reason, the proxy falls back to an unconstrained call so</w:t>
      </w:r>
      <w:r>
        <w:t xml:space="preserve"> </w:t>
      </w:r>
      <w:r>
        <w:t xml:space="preserve">the user still gets a usable verdict instead of an error.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native-valid rate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fallback-activation rate</w:t>
      </w:r>
      <w:r>
        <w:t xml:space="preserve"> </w:t>
      </w:r>
      <w:r>
        <w:t xml:space="preserve">are reported as two</w:t>
      </w:r>
      <w:r>
        <w:t xml:space="preserve"> </w:t>
      </w:r>
      <w:r>
        <w:t xml:space="preserve">separate numbers, never blended into a single</w:t>
      </w:r>
      <w:r>
        <w:t xml:space="preserve"> </w:t>
      </w:r>
      <w:r>
        <w:t xml:space="preserve">“success rate”</w:t>
      </w:r>
      <w:r>
        <w:t xml:space="preserve"> </w:t>
      </w:r>
      <w:r>
        <w:t xml:space="preserve">— a fallback counts as a</w:t>
      </w:r>
      <w:r>
        <w:t xml:space="preserve"> </w:t>
      </w:r>
      <w:r>
        <w:t xml:space="preserve">usable result but explicitly does not count as a native-valid model output.</w:t>
      </w:r>
    </w:p>
    <w:bookmarkEnd w:id="11"/>
    <w:bookmarkStart w:id="12" w:name="server-configurable-model-identifier"/>
    <w:p>
      <w:pPr>
        <w:pStyle w:val="Heading2"/>
      </w:pPr>
      <w:r>
        <w:t xml:space="preserve">3. Server-configurable model identifier</w:t>
      </w:r>
    </w:p>
    <w:p>
      <w:pPr>
        <w:pStyle w:val="Compact"/>
        <w:numPr>
          <w:ilvl w:val="0"/>
          <w:numId w:val="1003"/>
        </w:numPr>
      </w:pPr>
      <w:r>
        <w:t xml:space="preserve">The Gemini model string moves out of the app and into the proxy’s configuration, gated</w:t>
      </w:r>
      <w:r>
        <w:t xml:space="preserve"> </w:t>
      </w:r>
      <w:r>
        <w:t xml:space="preserve">by a hard-coded allowlist of approved exact model strings.</w:t>
      </w:r>
    </w:p>
    <w:p>
      <w:pPr>
        <w:pStyle w:val="Compact"/>
        <w:numPr>
          <w:ilvl w:val="0"/>
          <w:numId w:val="1003"/>
        </w:numPr>
      </w:pPr>
      <w:r>
        <w:t xml:space="preserve">The proxy refuses to start if it is configured with a model that is not on the</w:t>
      </w:r>
      <w:r>
        <w:t xml:space="preserve"> </w:t>
      </w:r>
      <w:r>
        <w:t xml:space="preserve">allowlist — a misconfigured deployment fails loudly instead of silently running on an</w:t>
      </w:r>
      <w:r>
        <w:t xml:space="preserve"> </w:t>
      </w:r>
      <w:r>
        <w:t xml:space="preserve">unvalidated model.</w:t>
      </w:r>
    </w:p>
    <w:p>
      <w:pPr>
        <w:pStyle w:val="Compact"/>
        <w:numPr>
          <w:ilvl w:val="0"/>
          <w:numId w:val="1003"/>
        </w:numPr>
      </w:pPr>
      <w:r>
        <w:t xml:space="preserve">Activating an approved replacement model becomes a proxy redeploy, with no new app build</w:t>
      </w:r>
      <w:r>
        <w:t xml:space="preserve"> </w:t>
      </w:r>
      <w:r>
        <w:t xml:space="preserve">and no store resubmission.</w:t>
      </w:r>
    </w:p>
    <w:bookmarkEnd w:id="12"/>
    <w:bookmarkStart w:id="13" w:name="atomic-protocol-bundle"/>
    <w:p>
      <w:pPr>
        <w:pStyle w:val="Heading2"/>
      </w:pPr>
      <w:r>
        <w:t xml:space="preserve">4. Atomic protocol bundle</w:t>
      </w:r>
    </w:p>
    <w:p>
      <w:pPr>
        <w:pStyle w:val="Compact"/>
        <w:numPr>
          <w:ilvl w:val="0"/>
          <w:numId w:val="1004"/>
        </w:numPr>
      </w:pPr>
      <w:r>
        <w:t xml:space="preserve">The model identifier, the prompt version and the schema version are treated as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— a bundle that is versioned and activated together.</w:t>
      </w:r>
    </w:p>
    <w:p>
      <w:pPr>
        <w:pStyle w:val="Compact"/>
        <w:numPr>
          <w:ilvl w:val="0"/>
          <w:numId w:val="1004"/>
        </w:numPr>
      </w:pPr>
      <w:r>
        <w:t xml:space="preserve">The app declares the bundle it was built against on every request. The proxy rejects any</w:t>
      </w:r>
      <w:r>
        <w:t xml:space="preserve"> </w:t>
      </w:r>
      <w:r>
        <w:t xml:space="preserve">request whose declared bundle does not exactly match the bundle it is currently serving</w:t>
      </w:r>
      <w:r>
        <w:t xml:space="preserve"> </w:t>
      </w:r>
      <w:r>
        <w:t xml:space="preserve">(HTTP 409,</w:t>
      </w:r>
      <w:r>
        <w:t xml:space="preserve"> </w:t>
      </w:r>
      <w:r>
        <w:t xml:space="preserve">“update required”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This makes it structurally impossible for a model to run against a prompt or schema</w:t>
      </w:r>
      <w:r>
        <w:t xml:space="preserve"> </w:t>
      </w:r>
      <w:r>
        <w:t xml:space="preserve">version it was never validated with — the risk that a server-configurable model would</w:t>
      </w:r>
      <w:r>
        <w:t xml:space="preserve"> </w:t>
      </w:r>
      <w:r>
        <w:t xml:space="preserve">otherwise introduce.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eliverables"/>
    <w:p>
      <w:pPr>
        <w:pStyle w:val="Heading1"/>
      </w:pPr>
      <w:r>
        <w:t xml:space="preserve">Deliverables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src/services/geminiApi.js</w:t>
      </w:r>
      <w:r>
        <w:t xml:space="preserve"> </w:t>
      </w:r>
      <w:r>
        <w:t xml:space="preserve">— native schema enforcement, the pinned model, and the call</w:t>
      </w:r>
      <w:r>
        <w:t xml:space="preserve"> </w:t>
      </w:r>
      <w:r>
        <w:t xml:space="preserve">routed through the proxy.</w:t>
      </w:r>
    </w:p>
    <w:p>
      <w:pPr>
        <w:pStyle w:val="Compact"/>
        <w:numPr>
          <w:ilvl w:val="0"/>
          <w:numId w:val="1005"/>
        </w:numPr>
      </w:pPr>
      <w:r>
        <w:t xml:space="preserve">The proxy component, with its own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GEMINI_API_KEY</w:t>
      </w:r>
      <w:r>
        <w:t xml:space="preserve"> </w:t>
      </w:r>
      <w:r>
        <w:t xml:space="preserve">removed from the client bundle.</w:t>
      </w:r>
    </w:p>
    <w:p>
      <w:pPr>
        <w:pStyle w:val="Compact"/>
        <w:numPr>
          <w:ilvl w:val="0"/>
          <w:numId w:val="1005"/>
        </w:numPr>
      </w:pPr>
      <w:r>
        <w:t xml:space="preserve">The M3 validation report (see acceptance criteria below), including the raw model outputs</w:t>
      </w:r>
      <w:r>
        <w:t xml:space="preserve"> </w:t>
      </w:r>
      <w:r>
        <w:t xml:space="preserve">from the reference-image rerun.</w:t>
      </w:r>
    </w:p>
    <w:p>
      <w:r>
        <w:pict>
          <v:rect style="width:0;height:1.5pt" o:hralign="center" o:hrstd="t" o:hr="t"/>
        </w:pict>
      </w:r>
    </w:p>
    <w:bookmarkEnd w:id="15"/>
    <w:bookmarkStart w:id="16" w:name="acceptance-criteria"/>
    <w:p>
      <w:pPr>
        <w:pStyle w:val="Heading1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The Gemini key is</w:t>
      </w:r>
      <w:r>
        <w:t xml:space="preserve"> </w:t>
      </w:r>
      <w:r>
        <w:rPr>
          <w:b/>
          <w:bCs/>
        </w:rPr>
        <w:t xml:space="preserve">not present in the built app bundle</w:t>
      </w:r>
      <w:r>
        <w:t xml:space="preserve"> </w:t>
      </w:r>
      <w:r>
        <w:t xml:space="preserve">— verified by inspecting the</w:t>
      </w:r>
      <w:r>
        <w:t xml:space="preserve"> </w:t>
      </w:r>
      <w:r>
        <w:t xml:space="preserve">compiled artifact directly.</w:t>
      </w:r>
    </w:p>
    <w:p>
      <w:pPr>
        <w:pStyle w:val="Compact"/>
        <w:numPr>
          <w:ilvl w:val="0"/>
          <w:numId w:val="1006"/>
        </w:numPr>
      </w:pPr>
      <w:r>
        <w:t xml:space="preserve">Schema-conformant responses confirmed on live test calls.</w:t>
      </w:r>
    </w:p>
    <w:p>
      <w:pPr>
        <w:pStyle w:val="Compact"/>
        <w:numPr>
          <w:ilvl w:val="0"/>
          <w:numId w:val="1006"/>
        </w:numPr>
      </w:pPr>
      <w:r>
        <w:t xml:space="preserve">The 10 reference images are rerun through the proxy with raw model outputs included; the</w:t>
      </w:r>
      <w:r>
        <w:t xml:space="preserve"> </w:t>
      </w:r>
      <w:r>
        <w:t xml:space="preserve">native-valid rate and the fallback-activation rate are reported</w:t>
      </w:r>
      <w:r>
        <w:t xml:space="preserve"> </w:t>
      </w:r>
      <w:r>
        <w:rPr>
          <w:b/>
          <w:bCs/>
        </w:rPr>
        <w:t xml:space="preserve">side by side</w:t>
      </w:r>
      <w:r>
        <w:t xml:space="preserve">, never</w:t>
      </w:r>
      <w:r>
        <w:t xml:space="preserve"> </w:t>
      </w:r>
      <w:r>
        <w:t xml:space="preserve">as one figure.</w:t>
      </w:r>
    </w:p>
    <w:p>
      <w:pPr>
        <w:pStyle w:val="Compact"/>
        <w:numPr>
          <w:ilvl w:val="0"/>
          <w:numId w:val="1006"/>
        </w:numPr>
      </w:pPr>
      <w:r>
        <w:t xml:space="preserve">Photo #9 returns ROUGE; there are zero unjustified VERT verdicts.</w:t>
      </w:r>
    </w:p>
    <w:p>
      <w:pPr>
        <w:pStyle w:val="Compact"/>
        <w:numPr>
          <w:ilvl w:val="0"/>
          <w:numId w:val="1006"/>
        </w:numPr>
      </w:pPr>
      <w:r>
        <w:t xml:space="preserve">Photos #1 and #10 are carried as permanent tracked regression cases into every future</w:t>
      </w:r>
      <w:r>
        <w:t xml:space="preserve"> </w:t>
      </w:r>
      <w:r>
        <w:t xml:space="preserve">validation round.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change in observed verdict behaviour end-to-end</w:t>
      </w:r>
      <w:r>
        <w:t xml:space="preserve">, measured against the current</w:t>
      </w:r>
      <w:r>
        <w:t xml:space="preserve"> </w:t>
      </w:r>
      <w:r>
        <w:t xml:space="preserve">production baseline — the hardening is transparent to the detection logic.</w:t>
      </w:r>
    </w:p>
    <w:p>
      <w:r>
        <w:pict>
          <v:rect style="width:0;height:1.5pt" o:hralign="center" o:hrstd="t" o:hr="t"/>
        </w:pict>
      </w:r>
    </w:p>
    <w:bookmarkEnd w:id="16"/>
    <w:bookmarkStart w:id="17" w:name="explicitly-not-in-m3"/>
    <w:p>
      <w:pPr>
        <w:pStyle w:val="Heading1"/>
      </w:pPr>
      <w:r>
        <w:t xml:space="preserve">Explicitly not in M3</w:t>
      </w:r>
    </w:p>
    <w:p>
      <w:pPr>
        <w:pStyle w:val="Compact"/>
        <w:numPr>
          <w:ilvl w:val="0"/>
          <w:numId w:val="1007"/>
        </w:numPr>
      </w:pPr>
      <w:r>
        <w:t xml:space="preserve">The mandatory-per-trait-field experiment for the photo-#10 recall issue — a separate,</w:t>
      </w:r>
      <w:r>
        <w:t xml:space="preserve"> </w:t>
      </w:r>
      <w:r>
        <w:t xml:space="preserve">approval-gated piece.</w:t>
      </w:r>
    </w:p>
    <w:p>
      <w:pPr>
        <w:pStyle w:val="Compact"/>
        <w:numPr>
          <w:ilvl w:val="0"/>
          <w:numId w:val="1007"/>
        </w:numPr>
      </w:pPr>
      <w:r>
        <w:t xml:space="preserve">The revised M4 stability-testing protocol.</w:t>
      </w:r>
    </w:p>
    <w:p>
      <w:pPr>
        <w:pStyle w:val="Compact"/>
        <w:numPr>
          <w:ilvl w:val="0"/>
          <w:numId w:val="1007"/>
        </w:numPr>
      </w:pPr>
      <w:r>
        <w:t xml:space="preserve">Firebase Remote Config — assessed as disproportionate to the app’s current scale; the</w:t>
      </w:r>
      <w:r>
        <w:t xml:space="preserve"> </w:t>
      </w:r>
      <w:r>
        <w:t xml:space="preserve">proxy’s own environment configuration covers the same need with one less dependency.</w:t>
      </w:r>
    </w:p>
    <w:p>
      <w:r>
        <w:pict>
          <v:rect style="width:0;height:1.5pt" o:hralign="center" o:hrstd="t" o:hr="t"/>
        </w:pict>
      </w:r>
    </w:p>
    <w:bookmarkEnd w:id="17"/>
    <w:bookmarkStart w:id="18" w:name="what-is-needed-from-you"/>
    <w:p>
      <w:pPr>
        <w:pStyle w:val="Heading1"/>
      </w:pPr>
      <w:r>
        <w:t xml:space="preserve">What is needed from you</w:t>
      </w:r>
    </w:p>
    <w:p>
      <w:pPr>
        <w:pStyle w:val="Compact"/>
        <w:numPr>
          <w:ilvl w:val="0"/>
          <w:numId w:val="1008"/>
        </w:numPr>
      </w:pPr>
      <w:r>
        <w:t xml:space="preserve">A hosting decision for the proxy: a small Node host (Render, Railway, Fly.io, or a</w:t>
      </w:r>
      <w:r>
        <w:t xml:space="preserve"> </w:t>
      </w:r>
      <w:r>
        <w:t xml:space="preserve">plain VPS). Cost is minimal.</w:t>
      </w:r>
    </w:p>
    <w:p>
      <w:pPr>
        <w:pStyle w:val="Compact"/>
        <w:numPr>
          <w:ilvl w:val="0"/>
          <w:numId w:val="1008"/>
        </w:numPr>
      </w:pPr>
      <w:r>
        <w:t xml:space="preserve">Nothing new on the Gemini key — the existing key simply moves from the app into the</w:t>
      </w:r>
      <w:r>
        <w:t xml:space="preserve"> </w:t>
      </w:r>
      <w:r>
        <w:t xml:space="preserve">proxy’s server-side configuration.</w:t>
      </w:r>
    </w:p>
    <w:p>
      <w:r>
        <w:pict>
          <v:rect style="width:0;height:1.5pt" o:hralign="center" o:hrstd="t" o:hr="t"/>
        </w:pict>
      </w:r>
    </w:p>
    <w:bookmarkEnd w:id="18"/>
    <w:bookmarkStart w:id="19" w:name="one-operational-note"/>
    <w:p>
      <w:pPr>
        <w:pStyle w:val="Heading1"/>
      </w:pPr>
      <w:r>
        <w:t xml:space="preserve">One operational note</w:t>
      </w:r>
    </w:p>
    <w:p>
      <w:pPr>
        <w:pStyle w:val="FirstParagraph"/>
      </w:pPr>
      <w:r>
        <w:t xml:space="preserve">Once the proxy is live, a proxy deployment and an app release must be sequenced together.</w:t>
      </w:r>
      <w:r>
        <w:t xml:space="preserve"> </w:t>
      </w:r>
      <w:r>
        <w:t xml:space="preserve">Rolling out a new model on the proxy before the matching app update has reached users will</w:t>
      </w:r>
      <w:r>
        <w:t xml:space="preserve"> </w:t>
      </w:r>
      <w:r>
        <w:t xml:space="preserve">cause the proxy to reject those older installs (with an</w:t>
      </w:r>
      <w:r>
        <w:t xml:space="preserve"> </w:t>
      </w:r>
      <w:r>
        <w:t xml:space="preserve">“update required”</w:t>
      </w:r>
      <w:r>
        <w:t xml:space="preserve"> </w:t>
      </w:r>
      <w:r>
        <w:t xml:space="preserve">message) until</w:t>
      </w:r>
      <w:r>
        <w:t xml:space="preserve"> </w:t>
      </w:r>
      <w:r>
        <w:t xml:space="preserve">they update. This is deliberate — fail-closed rather than silently run an untested pairing</w:t>
      </w:r>
      <w:r>
        <w:t xml:space="preserve"> </w:t>
      </w:r>
      <w:r>
        <w:t xml:space="preserve">— but it is a process change worth being aware of before the first live model change.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ApiSave — M3 Scope: Gemini API Hardening &amp; Key Security</dc:title>
  <dc:creator/>
  <cp:keywords/>
  <dcterms:created xsi:type="dcterms:W3CDTF">2026-09-03T14:45:50Z</dcterms:created>
  <dcterms:modified xsi:type="dcterms:W3CDTF">2026-09-03T14:45:50Z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2026-09-03</vt:lpwstr>
  </property>
  <property fmtid="{D5CDD505-2E9C-101B-9397-08002B2CF9AE}" pid="3" name="subtitle">
    <vt:lpwstr>Exactly what is included, what is excluded, and how it will be verified</vt:lpwstr>
  </property>
</Properties>
</file>