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5c4af73e73a8aa9fb53cc074e24730a5e86432"/>
    <w:p>
      <w:pPr>
        <w:pStyle w:val="Heading1"/>
      </w:pPr>
      <w:r>
        <w:t xml:space="preserve">ApiSave — Photo 1: Targeted Fix Proposal (readability-gated ROUGE)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Proposal only — no code has been changed. Waiting for your review before touching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 </w:t>
      </w:r>
      <w:r>
        <w:t xml:space="preserve">or producing a build, per your instruction.</w:t>
      </w:r>
    </w:p>
    <w:p>
      <w:pPr>
        <w:pStyle w:val="BodyText"/>
      </w:pPr>
      <w:r>
        <w:t xml:space="preserve">You were right to reject Option A. I went and got the evidence rather than just agreeing in the abstract — it’s below, and it changes the design.</w:t>
      </w:r>
    </w:p>
    <w:p>
      <w:r>
        <w:pict>
          <v:rect style="width:0;height:1.5pt" o:hralign="center" o:hrstd="t" o:hr="t"/>
        </w:pict>
      </w:r>
    </w:p>
    <w:bookmarkStart w:id="13" w:name="direct-answers-to-your-four-questions"/>
    <w:p>
      <w:pPr>
        <w:pStyle w:val="Heading2"/>
      </w:pPr>
      <w:r>
        <w:t xml:space="preserve">Direct answers to your four questions</w:t>
      </w:r>
    </w:p>
    <w:bookmarkStart w:id="9" w:name="Xd0c79bc9efc1ac0ba9f687ab98cb083900462a6"/>
    <w:p>
      <w:pPr>
        <w:pStyle w:val="Heading3"/>
      </w:pPr>
      <w:r>
        <w:t xml:space="preserve">1. Can a targeted approach be implemented within M2, using existing fields and architecture?</w:t>
      </w:r>
    </w:p>
    <w:p>
      <w:pPr>
        <w:pStyle w:val="FirstParagraph"/>
      </w:pPr>
      <w:r>
        <w:rPr>
          <w:b/>
          <w:bCs/>
        </w:rPr>
        <w:t xml:space="preserve">Yes.</w:t>
      </w:r>
      <w:r>
        <w:t xml:space="preserve"> </w:t>
      </w:r>
      <w:r>
        <w:t xml:space="preserve">This is a single-branch change inside</w:t>
      </w:r>
      <w:r>
        <w:t xml:space="preserve"> </w:t>
      </w:r>
      <w:r>
        <w:rPr>
          <w:rStyle w:val="VerbatimChar"/>
        </w:rPr>
        <w:t xml:space="preserve">jugerMorphologie()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 </w:t>
      </w:r>
      <w:r>
        <w:t xml:space="preserve">— the same category of change as the fixes already validated for Photos 2/3/5/6. No new architecture, no proxy, no schema change required.</w:t>
      </w:r>
    </w:p>
    <w:bookmarkEnd w:id="9"/>
    <w:bookmarkStart w:id="10" w:name="Xf0e57b71f3498da00b7bee0946b71a7c1c55c13"/>
    <w:p>
      <w:pPr>
        <w:pStyle w:val="Heading3"/>
      </w:pPr>
      <w:r>
        <w:t xml:space="preserve">2. Do the existing per-criterion readability fields support it, or would a schema change be required?</w:t>
      </w:r>
    </w:p>
    <w:p>
      <w:pPr>
        <w:pStyle w:val="FirstParagraph"/>
      </w:pPr>
      <w:r>
        <w:rPr>
          <w:b/>
          <w:bCs/>
        </w:rPr>
        <w:t xml:space="preserve">The existing fields support it, with one honest caveat.</w:t>
      </w:r>
    </w:p>
    <w:p>
      <w:pPr>
        <w:pStyle w:val="BodyText"/>
      </w:pPr>
      <w:r>
        <w:t xml:space="preserve">Every observation already carries two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fields per criterion (Q1/Q2/Q3), and I’d been under-using the distinction between them: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(HIGH/MEDIUM/LOW) — the model’s self-rated certainty in its own interpretation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lisibilite</w:t>
      </w:r>
      <w:r>
        <w:t xml:space="preserve"> </w:t>
      </w:r>
      <w:r>
        <w:t xml:space="preserve">(haute/moyenne/non_lisible) — a more literal readability judgment: was this specific criterion clearly visible at all</w:t>
      </w:r>
    </w:p>
    <w:p>
      <w:pPr>
        <w:pStyle w:val="FirstParagraph"/>
      </w:pPr>
      <w:r>
        <w:t xml:space="preserve">Today’s Judge already uses</w:t>
      </w:r>
      <w:r>
        <w:t xml:space="preserve"> </w:t>
      </w:r>
      <w:r>
        <w:rPr>
          <w:rStyle w:val="VerbatimChar"/>
        </w:rPr>
        <w:t xml:space="preserve">lisibilite</w:t>
      </w:r>
      <w:r>
        <w:t xml:space="preserve"> </w:t>
      </w:r>
      <w:r>
        <w:t xml:space="preserve">for one thing (forcing a criterion to</w:t>
      </w:r>
      <w:r>
        <w:t xml:space="preserve"> </w:t>
      </w:r>
      <w:r>
        <w:rPr>
          <w:rStyle w:val="VerbatimChar"/>
        </w:rPr>
        <w:t xml:space="preserve">NON_LISIBLE</w:t>
      </w:r>
      <w:r>
        <w:t xml:space="preserve"> </w:t>
      </w:r>
      <w:r>
        <w:t xml:space="preserve">when it’s fully unreadable) but never uses it to gate ROUGE specifically. That’s the unused lever your question pointed me at.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rPr>
          <w:rStyle w:val="VerbatimChar"/>
        </w:rPr>
        <w:t xml:space="preserve">lisibilite</w:t>
      </w:r>
      <w:r>
        <w:t xml:space="preserve"> </w:t>
      </w:r>
      <w:r>
        <w:t xml:space="preserve">doesn’t distinguish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something reads as degraded — too small/distant, too blurry, bad angle, and poor lighting all collapse into the same</w:t>
      </w:r>
      <w:r>
        <w:t xml:space="preserve"> </w:t>
      </w:r>
      <w:r>
        <w:rPr>
          <w:rStyle w:val="VerbatimChar"/>
        </w:rPr>
        <w:t xml:space="preserve">moyenne</w:t>
      </w:r>
      <w:r>
        <w:t xml:space="preserve"> </w:t>
      </w:r>
      <w:r>
        <w:t xml:space="preserve">value today. For this specific fix (block ROUGE when the image is genuinely insufficient, regardless of which specific reason), that’s fine — any of those causes deserves the same conservative response. If you later want the retake message itself to say something specific like</w:t>
      </w:r>
      <w:r>
        <w:t xml:space="preserve"> </w:t>
      </w:r>
      <w:r>
        <w:t xml:space="preserve">“move closer”</w:t>
      </w:r>
      <w:r>
        <w:t xml:space="preserve"> </w:t>
      </w:r>
      <w:r>
        <w:t xml:space="preserve">instead of a generic</w:t>
      </w:r>
      <w:r>
        <w:t xml:space="preserve"> </w:t>
      </w:r>
      <w:r>
        <w:t xml:space="preserve">“retake,”</w:t>
      </w:r>
      <w:r>
        <w:t xml:space="preserve"> </w:t>
      </w:r>
      <w:r>
        <w:t xml:space="preserve">distinguishing</w:t>
      </w:r>
      <w:r>
        <w:t xml:space="preserve"> </w:t>
      </w:r>
      <w:r>
        <w:t xml:space="preserve">“too small”</w:t>
      </w:r>
      <w:r>
        <w:t xml:space="preserve"> </w:t>
      </w:r>
      <w:r>
        <w:t xml:space="preserve">from</w:t>
      </w:r>
      <w:r>
        <w:t xml:space="preserve"> </w:t>
      </w:r>
      <w:r>
        <w:t xml:space="preserve">“too blurry”</w:t>
      </w:r>
      <w:r>
        <w:t xml:space="preserve"> </w:t>
      </w:r>
      <w:r>
        <w:t xml:space="preserve">as separate causes would need a new field. Not needed for this fix.</w:t>
      </w:r>
    </w:p>
    <w:bookmarkEnd w:id="10"/>
    <w:bookmarkStart w:id="11" w:name="X520665c1c0638b87abd97298efb7c15d58578d4"/>
    <w:p>
      <w:pPr>
        <w:pStyle w:val="Heading3"/>
      </w:pPr>
      <w:r>
        <w:t xml:space="preserve">3. What impact would this have on the ORANGE_INSUFFISANCE rate?</w:t>
      </w:r>
    </w:p>
    <w:p>
      <w:pPr>
        <w:pStyle w:val="FirstParagraph"/>
      </w:pPr>
      <w:r>
        <w:rPr>
          <w:b/>
          <w:bCs/>
        </w:rPr>
        <w:t xml:space="preserve">I checked this against real data rather than estimate it.</w:t>
      </w:r>
      <w:r>
        <w:t xml:space="preserve"> </w:t>
      </w:r>
      <w:r>
        <w:t xml:space="preserve">Today’s regression sets (re-run live, after the earlier fixes) contain four confirmed, correctly-classified ROUGE cases — three in the structure set, one in the M2 insect set. I pulled the raw</w:t>
      </w:r>
      <w:r>
        <w:t xml:space="preserve"> </w:t>
      </w:r>
      <w:r>
        <w:rPr>
          <w:rStyle w:val="VerbatimChar"/>
        </w:rPr>
        <w:t xml:space="preserve">lisibilite</w:t>
      </w:r>
      <w:r>
        <w:t xml:space="preserve"> </w:t>
      </w:r>
      <w:r>
        <w:t xml:space="preserve">value for all four: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Confidence (Q1/Q2/Q3)</w:t>
            </w:r>
          </w:p>
        </w:tc>
        <w:tc>
          <w:tcPr/>
          <w:p>
            <w:pPr>
              <w:pStyle w:val="Compact"/>
            </w:pPr>
            <w:r>
              <w:t xml:space="preserve">Lisibilite (Q1/Q2/Q3)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ref_image_04.jpg</w:t>
            </w:r>
          </w:p>
        </w:tc>
        <w:tc>
          <w:tcPr/>
          <w:p>
            <w:pPr>
              <w:pStyle w:val="Compact"/>
            </w:pPr>
            <w:r>
              <w:t xml:space="preserve">HIGH/HIGH/HIGH</w:t>
            </w:r>
          </w:p>
        </w:tc>
        <w:tc>
          <w:tcPr/>
          <w:p>
            <w:pPr>
              <w:pStyle w:val="Compact"/>
            </w:pPr>
            <w:r>
              <w:t xml:space="preserve">haute/haute/haute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ref_image_08.jpg</w:t>
            </w:r>
          </w:p>
        </w:tc>
        <w:tc>
          <w:tcPr/>
          <w:p>
            <w:pPr>
              <w:pStyle w:val="Compact"/>
            </w:pPr>
            <w:r>
              <w:t xml:space="preserve">HIGH/HIGH/HIGH</w:t>
            </w:r>
          </w:p>
        </w:tc>
        <w:tc>
          <w:tcPr/>
          <w:p>
            <w:pPr>
              <w:pStyle w:val="Compact"/>
            </w:pPr>
            <w:r>
              <w:t xml:space="preserve">haute/haute/haute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MEDIUM/MEDIUM/MEDIUM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haute/haute/haute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  <w:r>
              <w:t xml:space="preserve"> </w:t>
            </w:r>
            <w:r>
              <w:rPr>
                <w:rStyle w:val="VerbatimChar"/>
              </w:rP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t xml:space="preserve">HIGH/HIGH/HIGH</w:t>
            </w:r>
          </w:p>
        </w:tc>
        <w:tc>
          <w:tcPr/>
          <w:p>
            <w:pPr>
              <w:pStyle w:val="Compact"/>
            </w:pPr>
            <w:r>
              <w:t xml:space="preserve">haute/haute/haute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the concrete case against Option A, and the case for this one.</w:t>
      </w:r>
      <w:r>
        <w:t xml:space="preserve"> </w:t>
      </w:r>
      <w:r>
        <w:rPr>
          <w:rStyle w:val="VerbatimChar"/>
        </w:rPr>
        <w:t xml:space="preserve">ref_image_09</w:t>
      </w:r>
      <w:r>
        <w:t xml:space="preserve"> </w:t>
      </w:r>
      <w:r>
        <w:t xml:space="preserve">(M1) is a real, correctly-identified target — but its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dropped to MEDIUM on all three criteria on this call, while its</w:t>
      </w:r>
      <w:r>
        <w:t xml:space="preserve"> </w:t>
      </w:r>
      <w:r>
        <w:rPr>
          <w:i/>
          <w:iCs/>
        </w:rPr>
        <w:t xml:space="preserve">readability</w:t>
      </w:r>
      <w:r>
        <w:t xml:space="preserve"> </w:t>
      </w:r>
      <w:r>
        <w:t xml:space="preserve">stayed accurately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throughout. Option A (requiring HIGH confidence) would have wrongly downgraded this genuine target to a retake request. A readability-gated rule would not — it correctly reads this photo as clear and lets ROUGE stand.</w:t>
      </w:r>
    </w:p>
    <w:p>
      <w:pPr>
        <w:pStyle w:val="BodyText"/>
      </w:pPr>
      <w:r>
        <w:rPr>
          <w:b/>
          <w:bCs/>
        </w:rPr>
        <w:t xml:space="preserve">Expected impact: minimal</w:t>
      </w:r>
      <w:r>
        <w:t xml:space="preserve">, specifically because all four confirmed-target cases read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readability on every criterion, even when confidence itself wobbled. This gate is narrower and more targeted than Option A by design.</w:t>
      </w:r>
    </w:p>
    <w:bookmarkEnd w:id="11"/>
    <w:bookmarkStart w:id="12" w:name="X95bef7f7ee84846ff9f6a683d241f0d536db26f"/>
    <w:p>
      <w:pPr>
        <w:pStyle w:val="Heading3"/>
      </w:pPr>
      <w:r>
        <w:t xml:space="preserve">4. How would I validate this fixes Photo 1 without downgrading confirmed targets?</w:t>
      </w:r>
    </w:p>
    <w:p>
      <w:pPr>
        <w:pStyle w:val="FirstParagraph"/>
      </w:pPr>
      <w:r>
        <w:t xml:space="preserve">I checked this against real data too, and I want to give you the honest number rather than round it up.</w:t>
      </w:r>
    </w:p>
    <w:p>
      <w:pPr>
        <w:pStyle w:val="BodyText"/>
      </w:pPr>
      <w:r>
        <w:t xml:space="preserve">I have three documented ROUGE misfires on Photo 1 from today’s testing with full raw JSON: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Confidence (Q1/Q2/Q3)</w:t>
            </w:r>
          </w:p>
        </w:tc>
        <w:tc>
          <w:tcPr/>
          <w:p>
            <w:pPr>
              <w:pStyle w:val="Compact"/>
            </w:pPr>
            <w:r>
              <w:t xml:space="preserve">Lisibilite (Q1/Q2/Q3)</w:t>
            </w:r>
          </w:p>
        </w:tc>
        <w:tc>
          <w:tcPr/>
          <w:p>
            <w:pPr>
              <w:pStyle w:val="Compact"/>
            </w:pPr>
            <w:r>
              <w:t xml:space="preserve">Would the new gate have blocked ROUGE?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</w:t>
            </w:r>
          </w:p>
        </w:tc>
        <w:tc>
          <w:tcPr/>
          <w:p>
            <w:pPr>
              <w:pStyle w:val="Compact"/>
            </w:pPr>
            <w:r>
              <w:t xml:space="preserve">HIGH/HIGH/HIGH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haute/haute/haute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</w:t>
            </w:r>
          </w:p>
        </w:tc>
        <w:tc>
          <w:tcPr/>
          <w:p>
            <w:pPr>
              <w:pStyle w:val="Compact"/>
            </w:pPr>
            <w:r>
              <w:t xml:space="preserve">MEDIUM/MEDIUM/MEDIUM</w:t>
            </w:r>
          </w:p>
        </w:tc>
        <w:tc>
          <w:tcPr/>
          <w:p>
            <w:pPr>
              <w:pStyle w:val="Compact"/>
            </w:pPr>
            <w:r>
              <w:t xml:space="preserve">moyenne/moyenne/moyenne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</w:t>
            </w:r>
          </w:p>
        </w:tc>
        <w:tc>
          <w:tcPr/>
          <w:p>
            <w:pPr>
              <w:pStyle w:val="Compact"/>
            </w:pPr>
            <w:r>
              <w:t xml:space="preserve">MEDIUM/MEDIUM/MEDIUM</w:t>
            </w:r>
          </w:p>
        </w:tc>
        <w:tc>
          <w:tcPr/>
          <w:p>
            <w:pPr>
              <w:pStyle w:val="Compact"/>
            </w:pPr>
            <w:r>
              <w:t xml:space="preserve">moyenne/moyenne/moyenne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2 of 3 documented misfires would be caught by this fix. 1 of 3 would not</w:t>
      </w:r>
      <w:r>
        <w:t xml:space="preserve"> </w:t>
      </w:r>
      <w:r>
        <w:t xml:space="preserve">— because on that one call, Gemini rated the image as fully readable (</w:t>
      </w:r>
      <w:r>
        <w:rPr>
          <w:rStyle w:val="VerbatimChar"/>
        </w:rPr>
        <w:t xml:space="preserve">haute</w:t>
      </w:r>
      <w:r>
        <w:t xml:space="preserve">) despite it genuinely being a distant, small-subject photo. That’s a distinct, harder problem: Gemini’s readability self-rating, like its confidence self-rating, isn’t perfectly reliable either — just more reliable, based on this data, and specifically more reliable in the direction that matters (it didn’t fail on any of the four genuine targets).</w:t>
      </w:r>
    </w:p>
    <w:p>
      <w:pPr>
        <w:pStyle w:val="BodyText"/>
      </w:pPr>
      <w:r>
        <w:t xml:space="preserve">I’m giving you this straight rather than claiming the fix</w:t>
      </w:r>
      <w:r>
        <w:t xml:space="preserve"> </w:t>
      </w:r>
      <w:r>
        <w:t xml:space="preserve">“solves”</w:t>
      </w:r>
      <w:r>
        <w:t xml:space="preserve"> </w:t>
      </w:r>
      <w:r>
        <w:t xml:space="preserve">Photo 1: it should meaningfully reduce the instability, on today’s small sample by roughly two-thirds, but not guarantee it to zero. If you want it fully closed, that likely means pairing this with something else later (capture-quality guidance in the app itself, or the consensus-retry option) — not something to decide now, just flagging it so the number I give you after implementing isn’t a surprise.</w:t>
      </w:r>
    </w:p>
    <w:p>
      <w:pPr>
        <w:pStyle w:val="BodyText"/>
      </w:pPr>
      <w:r>
        <w:rPr>
          <w:b/>
          <w:bCs/>
        </w:rPr>
        <w:t xml:space="preserve">Validation plan, once you approve:</w:t>
      </w:r>
      <w:r>
        <w:t xml:space="preserve"> </w:t>
      </w:r>
      <w:r>
        <w:t xml:space="preserve">1. Implement the single-branch change in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.</w:t>
      </w:r>
      <w:r>
        <w:t xml:space="preserve"> </w:t>
      </w:r>
      <w:r>
        <w:t xml:space="preserve">2. Re-run Photo 1 six to eight times (more repeats than today, given the documented variance) and report the exact pass rate with full decision traces — not a single lucky run presented as proof.</w:t>
      </w:r>
      <w:r>
        <w:t xml:space="preserve"> </w:t>
      </w:r>
      <w:r>
        <w:t xml:space="preserve">3. Re-run all four confirmed-ROUGE cases above, several times each, to confirm none of them ever gets falsely downgraded once real variance is sampled properly, not just the one call each I have today.</w:t>
      </w:r>
      <w:r>
        <w:t xml:space="preserve"> </w:t>
      </w:r>
      <w:r>
        <w:t xml:space="preserve">4. Re-run the full M1 + M2 regression sets once more for final no-regression confirmation.</w:t>
      </w:r>
      <w:r>
        <w:t xml:space="preserve"> </w:t>
      </w:r>
      <w:r>
        <w:t xml:space="preserve">5. Deliver the same style of before/after report as today’s diagnostic, so every number is traceable to raw evidence.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proposed-rule-in-plain-terms"/>
    <w:p>
      <w:pPr>
        <w:pStyle w:val="Heading2"/>
      </w:pPr>
      <w:r>
        <w:t xml:space="preserve">The proposed rule, in plain terms</w:t>
      </w:r>
    </w:p>
    <w:p>
      <w:pPr>
        <w:pStyle w:val="FirstParagraph"/>
      </w:pPr>
      <w:r>
        <w:t xml:space="preserve">Today, ROUGE fires whenever Q1=Q2=Q3=</w:t>
      </w:r>
      <w:r>
        <w:rPr>
          <w:rStyle w:val="VerbatimChar"/>
        </w:rPr>
        <w:t xml:space="preserve">OUI</w:t>
      </w:r>
      <w:r>
        <w:t xml:space="preserve">, with no readability check at all. The proposed change: also require that none of the three criteria’s</w:t>
      </w:r>
      <w:r>
        <w:t xml:space="preserve"> </w:t>
      </w:r>
      <w:r>
        <w:rPr>
          <w:rStyle w:val="VerbatimChar"/>
        </w:rPr>
        <w:t xml:space="preserve">lisibilite</w:t>
      </w:r>
      <w:r>
        <w:t xml:space="preserve"> </w:t>
      </w:r>
      <w:r>
        <w:t xml:space="preserve">reads below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. If Q1=Q2=Q3=</w:t>
      </w:r>
      <w:r>
        <w:rPr>
          <w:rStyle w:val="VerbatimChar"/>
        </w:rPr>
        <w:t xml:space="preserve">OUI</w:t>
      </w:r>
      <w:r>
        <w:t xml:space="preserve"> </w:t>
      </w:r>
      <w:r>
        <w:t xml:space="preserve">but any one of them is only</w:t>
      </w:r>
      <w:r>
        <w:t xml:space="preserve"> </w:t>
      </w:r>
      <w:r>
        <w:rPr>
          <w:rStyle w:val="VerbatimChar"/>
        </w:rPr>
        <w:t xml:space="preserve">moyenne</w:t>
      </w:r>
      <w:r>
        <w:t xml:space="preserve"> </w:t>
      </w:r>
      <w:r>
        <w:t xml:space="preserve">(or worse), the result falls through to the existing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retake path instead of firing ROUGE — using the existing retake mechanism, not a new one.</w:t>
      </w:r>
    </w:p>
    <w:p>
      <w:pPr>
        <w:pStyle w:val="BodyText"/>
      </w:pPr>
      <w:r>
        <w:t xml:space="preserve">I have not touched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. Waiting on your go-ahead before I implement, and will hold the build as instructed. Photo 5 stays a documented residual limitation per your last message, and the fixes already validated for Photos 2/3/4/6 are untouched and ready.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2026-08-20T08:17:15Z</dcterms:created>
  <dcterms:modified xsi:type="dcterms:W3CDTF">2026-08-20T08:17:15Z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