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SafeIQ - Milestone 1 Discovery Pack - Summary for Neil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f149385e5c083e71980220275fde3b2a0afad29"/>
    <w:p>
      <w:pPr>
        <w:pStyle w:val="Heading1"/>
      </w:pPr>
      <w:r>
        <w:t xml:space="preserve">SafeIQ — Milestone 1 Discovery Pack — Summary for Neil</w:t>
      </w:r>
    </w:p>
    <w:p>
      <w:pPr>
        <w:pStyle w:val="FirstParagraph"/>
      </w:pPr>
      <w:r>
        <w:rPr>
          <w:b/>
          <w:bCs/>
        </w:rPr>
        <w:t xml:space="preserve">Prepared as part of Milestone 1 (Discovery).</w:t>
      </w:r>
      <w:r>
        <w:t xml:space="preserve"> </w:t>
      </w:r>
      <w:r>
        <w:t xml:space="preserve">This note summarises the documents in this pack, what each one is confidently proposing versus still flagging as open, and exactly what we need from you to move from</w:t>
      </w:r>
      <w:r>
        <w:t xml:space="preserve"> </w:t>
      </w:r>
      <w:r>
        <w:t xml:space="preserve">“proposed design”</w:t>
      </w:r>
      <w:r>
        <w:t xml:space="preserve"> </w:t>
      </w:r>
      <w:r>
        <w:t xml:space="preserve">to a signed-off, fixed-price build.</w:t>
      </w:r>
    </w:p>
    <w:bookmarkStart w:id="18" w:name="whats-in-this-pack"/>
    <w:p>
      <w:pPr>
        <w:pStyle w:val="Heading2"/>
      </w:pPr>
      <w:r>
        <w:t xml:space="preserve">What’s in this pack</w:t>
      </w:r>
    </w:p>
    <w:p>
      <w:pPr>
        <w:pStyle w:val="FirstParagraph"/>
      </w:pPr>
      <w:r>
        <w:t xml:space="preserve">Ten documents. If you only read one thing beyond this summary, this section is designed to stand in for the rest — each part below explains what that document actually decided or proposed, not just its title.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Solution Architecture &amp; AWS Design</w:t>
            </w:r>
          </w:p>
        </w:tc>
        <w:tc>
          <w:tcPr/>
          <w:p>
            <w:pPr>
              <w:pStyle w:val="Compact"/>
            </w:pPr>
            <w:r>
              <w:t xml:space="preserve">Every AWS service we’ll use, why, and how we keep the AI bill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Cost Model</w:t>
            </w:r>
          </w:p>
        </w:tc>
        <w:tc>
          <w:tcPr/>
          <w:p>
            <w:pPr>
              <w:pStyle w:val="Compact"/>
            </w:pPr>
            <w:r>
              <w:t xml:space="preserve">What this costs to run per month, at three example scales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RAG Design</w:t>
            </w:r>
          </w:p>
        </w:tc>
        <w:tc>
          <w:tcPr/>
          <w:p>
            <w:pPr>
              <w:pStyle w:val="Compact"/>
            </w:pPr>
            <w:r>
              <w:t xml:space="preserve">How each RAG answers only from your approved content and cites its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RAG Evaluation Strategy</w:t>
            </w:r>
          </w:p>
        </w:tc>
        <w:tc>
          <w:tcPr/>
          <w:p>
            <w:pPr>
              <w:pStyle w:val="Compact"/>
            </w:pPr>
            <w:r>
              <w:t xml:space="preserve">How we prove that claim is actually true, on an ongoing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The interface the web app, widget, and future mobile app all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Multi-Tenant Database Schema</w:t>
            </w:r>
          </w:p>
        </w:tc>
        <w:tc>
          <w:tcPr/>
          <w:p>
            <w:pPr>
              <w:pStyle w:val="Compact"/>
            </w:pPr>
            <w:r>
              <w:t xml:space="preserve">How every organisation’s data is kept physically separate from every other’s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Security &amp; Compliance Design</w:t>
            </w:r>
          </w:p>
        </w:tc>
        <w:tc>
          <w:tcPr/>
          <w:p>
            <w:pPr>
              <w:pStyle w:val="Compact"/>
            </w:pPr>
            <w:r>
              <w:t xml:space="preserve">Encryption, access control, and the GDPR-vs-audit-trail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Architecture Decision Records</w:t>
            </w:r>
          </w:p>
        </w:tc>
        <w:tc>
          <w:tcPr/>
          <w:p>
            <w:pPr>
              <w:pStyle w:val="Compact"/>
            </w:pPr>
            <w:r>
              <w:t xml:space="preserve">The five irreversible technical choices, and why we’d make each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Delivery Plan &amp; Phasing</w:t>
            </w:r>
          </w:p>
        </w:tc>
        <w:tc>
          <w:tcPr/>
          <w:p>
            <w:pPr>
              <w:pStyle w:val="Compact"/>
            </w:pPr>
            <w:r>
              <w:t xml:space="preserve">What ships first, what’s phase 2, and what’s genuinely blocking start of build</w:t>
            </w:r>
          </w:p>
        </w:tc>
      </w:tr>
    </w:tbl>
    <w:bookmarkStart w:id="9" w:name="solution-architecture-aws-design"/>
    <w:p>
      <w:pPr>
        <w:pStyle w:val="Heading3"/>
      </w:pPr>
      <w:r>
        <w:t xml:space="preserve">01 — Solution Architecture &amp; AWS Design</w:t>
      </w:r>
    </w:p>
    <w:p>
      <w:pPr>
        <w:pStyle w:val="FirstParagraph"/>
      </w:pPr>
      <w:r>
        <w:t xml:space="preserve">Everything runs on AWS, hosted in London, as a single region and a single vendor relationship — this satisfies the</w:t>
      </w:r>
      <w:r>
        <w:t xml:space="preserve"> </w:t>
      </w:r>
      <w:r>
        <w:t xml:space="preserve">“data kept in UK”</w:t>
      </w:r>
      <w:r>
        <w:t xml:space="preserve"> </w:t>
      </w:r>
      <w:r>
        <w:t xml:space="preserve">requirement without a second cloud contract to manage. In plain terms, the system has five moving parts: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web app and floating widget</w:t>
      </w:r>
      <w:r>
        <w:t xml:space="preserve"> </w:t>
      </w:r>
      <w:r>
        <w:t xml:space="preserve">talk to a core API that handles logins, team management, RAGs, alerts, and the dashboard.</w:t>
      </w:r>
    </w:p>
    <w:p>
      <w:pPr>
        <w:pStyle w:val="Compact"/>
        <w:numPr>
          <w:ilvl w:val="0"/>
          <w:numId w:val="1001"/>
        </w:numPr>
      </w:pPr>
      <w:r>
        <w:t xml:space="preserve">Uploaded documents go through an</w:t>
      </w:r>
      <w:r>
        <w:t xml:space="preserve"> </w:t>
      </w:r>
      <w:r>
        <w:rPr>
          <w:b/>
          <w:bCs/>
        </w:rPr>
        <w:t xml:space="preserve">AI processing pipeline</w:t>
      </w:r>
      <w:r>
        <w:t xml:space="preserve"> </w:t>
      </w:r>
      <w:r>
        <w:t xml:space="preserve">that reads, classifies, and files them (with a human confirming the AI’s suggestion, never silently auto-filing), then indexes them for search.</w:t>
      </w:r>
    </w:p>
    <w:p>
      <w:pPr>
        <w:pStyle w:val="Compact"/>
        <w:numPr>
          <w:ilvl w:val="0"/>
          <w:numId w:val="1001"/>
        </w:numPr>
      </w:pPr>
      <w:r>
        <w:t xml:space="preserve">Questions are answered by</w:t>
      </w:r>
      <w:r>
        <w:t xml:space="preserve"> </w:t>
      </w:r>
      <w:r>
        <w:rPr>
          <w:b/>
          <w:bCs/>
        </w:rPr>
        <w:t xml:space="preserve">Amazon Bedrock</w:t>
      </w:r>
      <w:r>
        <w:t xml:space="preserve">, running Anthropic’s Claude model — the same AI service handles the</w:t>
      </w:r>
      <w:r>
        <w:t xml:space="preserve"> </w:t>
      </w:r>
      <w:r>
        <w:t xml:space="preserve">“which document does this belong to”</w:t>
      </w:r>
      <w:r>
        <w:t xml:space="preserve"> </w:t>
      </w:r>
      <w:r>
        <w:t xml:space="preserve">classification and the organisation’s</w:t>
      </w:r>
      <w:r>
        <w:t xml:space="preserve"> </w:t>
      </w:r>
      <w:r>
        <w:t xml:space="preserve">“help me find material”</w:t>
      </w:r>
      <w:r>
        <w:t xml:space="preserve"> </w:t>
      </w:r>
      <w:r>
        <w:t xml:space="preserve">research assistant.</w:t>
      </w:r>
    </w:p>
    <w:p>
      <w:pPr>
        <w:pStyle w:val="Compact"/>
        <w:numPr>
          <w:ilvl w:val="0"/>
          <w:numId w:val="1001"/>
        </w:numPr>
      </w:pPr>
      <w:r>
        <w:t xml:space="preserve">A dedicated</w:t>
      </w:r>
      <w:r>
        <w:t xml:space="preserve"> </w:t>
      </w:r>
      <w:r>
        <w:rPr>
          <w:b/>
          <w:bCs/>
        </w:rPr>
        <w:t xml:space="preserve">search engine (Amazon OpenSearch)</w:t>
      </w:r>
      <w:r>
        <w:t xml:space="preserve"> </w:t>
      </w:r>
      <w:r>
        <w:t xml:space="preserve">is what actually finds the right passage of text to answer a question from — combining keyword search and meaning-based search together.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Chat, voice calls, video calls, and screen-share</w:t>
      </w:r>
      <w:r>
        <w:t xml:space="preserve"> </w:t>
      </w:r>
      <w:r>
        <w:t xml:space="preserve">all run through one shared real-time system (built once, reused everywhere) rather than four separate bolted-together features — calls/video/screen-share via Amazon Chime, messages and live dashboard updates via a lightweight always-on connection.</w:t>
      </w:r>
    </w:p>
    <w:p>
      <w:pPr>
        <w:pStyle w:val="FirstParagraph"/>
      </w:pPr>
      <w:r>
        <w:t xml:space="preserve">Every organisation’s data — team members, RAGs, documents, questions, alerts — sits in its own physically separate database compartment and its own separate search index. That’s a structural guarantee, not a setting that could be misconfigured.</w:t>
      </w:r>
    </w:p>
    <w:p>
      <w:pPr>
        <w:pStyle w:val="BodyText"/>
      </w:pPr>
      <w:r>
        <w:rPr>
          <w:b/>
          <w:bCs/>
        </w:rPr>
        <w:t xml:space="preserve">On cost specifically</w:t>
      </w:r>
      <w:r>
        <w:t xml:space="preserve"> </w:t>
      </w:r>
      <w:r>
        <w:t xml:space="preserve">(the brief asked us to address this directly): the single biggest lever is not using the expensive AI model for everything — routine jobs like filing a new document use a small, cheap model, and the larger model is reserved for actually answering a question. On top of that: documents are only ever processed once (re-editing a document doesn’t reprocess the whole thing, only what changed), repeated AI calls reuse cached context instead of paying full price every time, bulk/background jobs run on cheaper compute than live user-facing ones, and every organisation’s AI usage is tracked individually so no single client’s spend can quietly run away unnoticed.</w:t>
      </w:r>
    </w:p>
    <w:p>
      <w:pPr>
        <w:pStyle w:val="BodyText"/>
      </w:pPr>
      <w:r>
        <w:t xml:space="preserve">One gap this document surfaces: we don’t yet have a decision on file for</w:t>
      </w:r>
      <w:r>
        <w:t xml:space="preserve"> </w:t>
      </w:r>
      <w:r>
        <w:rPr>
          <w:i/>
          <w:iCs/>
        </w:rPr>
        <w:t xml:space="preserve">how users log in</w:t>
      </w:r>
      <w:r>
        <w:t xml:space="preserve"> </w:t>
      </w:r>
      <w:r>
        <w:t xml:space="preserve">(identity/session management) — we’re recommending Amazon Cognito, but it needs its own sign-off alongside the other five decisions in document 08.</w:t>
      </w:r>
    </w:p>
    <w:bookmarkEnd w:id="9"/>
    <w:bookmarkStart w:id="10" w:name="cost-model"/>
    <w:p>
      <w:pPr>
        <w:pStyle w:val="Heading3"/>
      </w:pPr>
      <w:r>
        <w:t xml:space="preserve">02 — Cost Model</w:t>
      </w:r>
    </w:p>
    <w:p>
      <w:pPr>
        <w:pStyle w:val="FirstParagraph"/>
      </w:pPr>
      <w:r>
        <w:t xml:space="preserve">The monthly AWS bill is driven mainly by: how many organisations sign up, how many RAGs each creates, how many questions get asked per day, and how much voice/video calling happens. Because we don’t have your real numbers yet, this document models three illustrative scenarios instead of guessing one number: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Organisations</w:t>
            </w:r>
          </w:p>
        </w:tc>
        <w:tc>
          <w:tcPr/>
          <w:p>
            <w:pPr>
              <w:pStyle w:val="Compact"/>
            </w:pPr>
            <w:r>
              <w:t xml:space="preserve">Questions/day</w:t>
            </w:r>
          </w:p>
        </w:tc>
        <w:tc>
          <w:tcPr/>
          <w:p>
            <w:pPr>
              <w:pStyle w:val="Compact"/>
            </w:pPr>
            <w:r>
              <w:t xml:space="preserve">Approx. monthly AWS cost</w:t>
            </w:r>
          </w:p>
        </w:tc>
        <w:tc>
          <w:tcPr/>
          <w:p>
            <w:pPr>
              <w:pStyle w:val="Compact"/>
            </w:pPr>
            <w:r>
              <w:t xml:space="preserve">Approx. per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~75</w:t>
            </w:r>
          </w:p>
        </w:tc>
        <w:tc>
          <w:tcPr/>
          <w:p>
            <w:pPr>
              <w:pStyle w:val="Compact"/>
            </w:pPr>
            <w:r>
              <w:t xml:space="preserve">~$510–1,075</w:t>
            </w:r>
          </w:p>
        </w:tc>
        <w:tc>
          <w:tcPr/>
          <w:p>
            <w:pPr>
              <w:pStyle w:val="Compact"/>
            </w:pPr>
            <w:r>
              <w:t xml:space="preserve">~$51–108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  <w:tc>
          <w:tcPr/>
          <w:p>
            <w:pPr>
              <w:pStyle w:val="Compact"/>
            </w:pPr>
            <w:r>
              <w:t xml:space="preserve">~$1,455–3,490</w:t>
            </w:r>
          </w:p>
        </w:tc>
        <w:tc>
          <w:tcPr/>
          <w:p>
            <w:pPr>
              <w:pStyle w:val="Compact"/>
            </w:pPr>
            <w:r>
              <w:t xml:space="preserve">~$29–70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~3,500</w:t>
            </w:r>
          </w:p>
        </w:tc>
        <w:tc>
          <w:tcPr/>
          <w:p>
            <w:pPr>
              <w:pStyle w:val="Compact"/>
            </w:pPr>
            <w:r>
              <w:t xml:space="preserve">~$5,840–14,320</w:t>
            </w:r>
          </w:p>
        </w:tc>
        <w:tc>
          <w:tcPr/>
          <w:p>
            <w:pPr>
              <w:pStyle w:val="Compact"/>
            </w:pPr>
            <w:r>
              <w:t xml:space="preserve">~$29–72</w:t>
            </w:r>
          </w:p>
        </w:tc>
      </w:tr>
    </w:tbl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infrastructure running cost only</w:t>
      </w:r>
      <w:r>
        <w:t xml:space="preserve"> </w:t>
      </w:r>
      <w:r>
        <w:t xml:space="preserve">— it doesn’t include the one-off build cost, ongoing support, or margin, which are separate commercial decisions. Once you can give us even a rough sense of your real numbers (see</w:t>
      </w:r>
      <w:r>
        <w:t xml:space="preserve"> </w:t>
      </w:r>
      <w:r>
        <w:t xml:space="preserve">“what we’d like from you”</w:t>
      </w:r>
      <w:r>
        <w:t xml:space="preserve"> </w:t>
      </w:r>
      <w:r>
        <w:t xml:space="preserve">below), we replace these ranges with a real figure.</w:t>
      </w:r>
    </w:p>
    <w:bookmarkEnd w:id="10"/>
    <w:bookmarkStart w:id="11" w:name="rag-design"/>
    <w:p>
      <w:pPr>
        <w:pStyle w:val="Heading3"/>
      </w:pPr>
      <w:r>
        <w:t xml:space="preserve">03 — RAG Design</w:t>
      </w:r>
    </w:p>
    <w:p>
      <w:pPr>
        <w:pStyle w:val="FirstParagraph"/>
      </w:pPr>
      <w:r>
        <w:t xml:space="preserve">This is the core AI behaviour, written out end to end: a document gets uploaded, the AI reads and suggests where it belongs (you or your team confirm), and it’s indexed. When an employee asks a question, the system searches</w:t>
      </w:r>
      <w:r>
        <w:t xml:space="preserve"> </w:t>
      </w:r>
      <w:r>
        <w:rPr>
          <w:i/>
          <w:iCs/>
        </w:rPr>
        <w:t xml:space="preserve">only that RAG’s own approved content</w:t>
      </w:r>
      <w:r>
        <w:t xml:space="preserve">, finds the most relevant sections, and generates an answer using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what it found — always naming which document(s) it used. If the approved content doesn’t actually cover the question, the system is designed to say so and hand it to a human, rather than guess. Separately, and independently of the AI’s judgement, a keyword scan checks every question against your configured alert words — so a safety-critical alert never depends on the AI</w:t>
      </w:r>
      <w:r>
        <w:t xml:space="preserve"> </w:t>
      </w:r>
      <w:r>
        <w:t xml:space="preserve">“deciding”</w:t>
      </w:r>
      <w:r>
        <w:t xml:space="preserve"> </w:t>
      </w:r>
      <w:r>
        <w:t xml:space="preserve">correctly, it’s a guaranteed check either way. Every document update is kept as a new version rather than overwriting the old one, so the audit trail can always show what was true at any point in time.</w:t>
      </w:r>
    </w:p>
    <w:bookmarkEnd w:id="11"/>
    <w:bookmarkStart w:id="12" w:name="rag-evaluation-strategy"/>
    <w:p>
      <w:pPr>
        <w:pStyle w:val="Heading3"/>
      </w:pPr>
      <w:r>
        <w:t xml:space="preserve">04 — RAG Evaluation Strategy</w:t>
      </w:r>
    </w:p>
    <w:p>
      <w:pPr>
        <w:pStyle w:val="FirstParagraph"/>
      </w:pPr>
      <w:r>
        <w:t xml:space="preserve">This is how we prove document 03’s central claim is actually true, rather than take our own word for it. We test four things: that answers never contain claims the cited document doesn’t actually support; that citations are accurate; that the system correctly refuses when it should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correctly doesn’t refuse when it shouldn’t; and that keyword alerts fire reliably every time. This includes deliberately adversarial testing — questions designed to try to trick the AI into guessing or leaking information across organisations — with a starting bar of correctly handling at least 95% of those adversarial cases before any change to the AI pipeline can ship. Testing doesn’t stop at launch either: a sample of real answers gets reviewed on an ongoing basis, and anything a user flags as wrong feeds back into the test set.</w:t>
      </w:r>
    </w:p>
    <w:bookmarkEnd w:id="12"/>
    <w:bookmarkStart w:id="13" w:name="api-specification"/>
    <w:p>
      <w:pPr>
        <w:pStyle w:val="Heading3"/>
      </w:pPr>
      <w:r>
        <w:t xml:space="preserve">05 — API Specification</w:t>
      </w:r>
    </w:p>
    <w:p>
      <w:pPr>
        <w:pStyle w:val="FirstParagraph"/>
      </w:pPr>
      <w:r>
        <w:t xml:space="preserve">The technical contract that the web app, the floating widget, and a future mobile app all call — covering team management, RAGs, alerts, the dashboard, calendar, and a separate set of endpoints just for the SafeIQ Internal support account. It’s derived directly from the working prototype’s screens, so nothing in it is speculative — every entry traces back to something you’ve already seen working.</w:t>
      </w:r>
    </w:p>
    <w:bookmarkEnd w:id="13"/>
    <w:bookmarkStart w:id="14" w:name="multi-tenant-database-schema"/>
    <w:p>
      <w:pPr>
        <w:pStyle w:val="Heading3"/>
      </w:pPr>
      <w:r>
        <w:t xml:space="preserve">06 — Multi-Tenant Database Schema</w:t>
      </w:r>
    </w:p>
    <w:p>
      <w:pPr>
        <w:pStyle w:val="FirstParagraph"/>
      </w:pPr>
      <w:r>
        <w:t xml:space="preserve">The database design behind document 01’s isolation guarantee. There are two tiers: a small shared registry that just knows which organisations exist, and a completely separate database compartment per organisation holding everything else. No organisation’s data can ever be looked up alongside another’s — it’s not possible by the way the system is built, not just a rule that’s supposed to be followed. This document also defines the audit trail itself: an append-only, tamper-evident log of who did what and when.</w:t>
      </w:r>
    </w:p>
    <w:bookmarkEnd w:id="14"/>
    <w:bookmarkStart w:id="15" w:name="security-compliance-design"/>
    <w:p>
      <w:pPr>
        <w:pStyle w:val="Heading3"/>
      </w:pPr>
      <w:r>
        <w:t xml:space="preserve">07 — Security &amp; Compliance Design</w:t>
      </w:r>
    </w:p>
    <w:p>
      <w:pPr>
        <w:pStyle w:val="FirstParagraph"/>
      </w:pPr>
      <w:r>
        <w:t xml:space="preserve">Confirms UK-only hosting and encryption of everything, at rest and in transit. Lays out the role hierarchy as we understand it today (Super Admin, Administrator, Manager/Support, Employee, plus SafeIQ Internal as a separate cross-organisation support role), with two-factor authentication and IP allow-listing available. The centrepiece is resolving a genuine tension in the brief: GDPR gives people the right to have their data deleted, but the audit trail needs to prove what happened and can’t just have gaps. Our proposed resolution: the personal content itself (documents, messages) can be deleted on request; the audit log entry stays, but it only ever held a hash and a timestamp, never the personal content itself — so it still proves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something happened without holding onto anything that needed erasing. This document also flags, plainly, that safeguarding and health-related content is very likely to count as a higher-sensitivity data category under UK GDPR, and that the Safety features (siren, lock-screen recording) carry real legal exposure that needs dedicated legal review before we’d commit to building them.</w:t>
      </w:r>
    </w:p>
    <w:bookmarkEnd w:id="15"/>
    <w:bookmarkStart w:id="16" w:name="architecture-decision-records"/>
    <w:p>
      <w:pPr>
        <w:pStyle w:val="Heading3"/>
      </w:pPr>
      <w:r>
        <w:t xml:space="preserve">08 — Architecture Decision Records</w:t>
      </w:r>
    </w:p>
    <w:p>
      <w:pPr>
        <w:pStyle w:val="FirstParagraph"/>
      </w:pPr>
      <w:r>
        <w:t xml:space="preserve">The five choices that are expensive to reverse once built, each with the alternatives we considered: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provider</w:t>
      </w:r>
      <w:r>
        <w:t xml:space="preserve"> </w:t>
      </w:r>
      <w:r>
        <w:t xml:space="preserve">— Anthropic’s Claude, via Amazon Bedrock. Keeps everything inside AWS, and Claude is particularly reliable at declining to answer rather than guessing, which matters more here than in a typical chatbot.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 database</w:t>
      </w:r>
      <w:r>
        <w:t xml:space="preserve"> </w:t>
      </w:r>
      <w:r>
        <w:t xml:space="preserve">— Amazon OpenSearch, for combined keyword + meaning-based search with built-in per-organisation isolation.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organisations are kept separate</w:t>
      </w:r>
      <w:r>
        <w:t xml:space="preserve"> </w:t>
      </w:r>
      <w:r>
        <w:t xml:space="preserve">— a separate database compartment per organisation on shared infrastructure: strong isolation without the cost of a fully separate database per client.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system</w:t>
      </w:r>
      <w:r>
        <w:t xml:space="preserve"> </w:t>
      </w:r>
      <w:r>
        <w:t xml:space="preserve">— Amazon Chime for calls/video/screen-share, plus a lightweight always-on connection for chat and live updates.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trail technology</w:t>
      </w:r>
      <w:r>
        <w:t xml:space="preserve"> </w:t>
      </w:r>
      <w:r>
        <w:t xml:space="preserve">— a tamper-evident hash-chained ledger instead of a literal blockchain. This is the one decision we’re explicitly asking you to make rather than assuming (see below).</w:t>
      </w:r>
    </w:p>
    <w:bookmarkEnd w:id="16"/>
    <w:bookmarkStart w:id="17" w:name="delivery-plan-phasing"/>
    <w:p>
      <w:pPr>
        <w:pStyle w:val="Heading3"/>
      </w:pPr>
      <w:r>
        <w:t xml:space="preserve">09 — Delivery Plan &amp; Phasing</w:t>
      </w:r>
    </w:p>
    <w:p>
      <w:pPr>
        <w:pStyle w:val="FirstParagraph"/>
      </w:pPr>
      <w:r>
        <w:t xml:space="preserve">Lays out what genuinely has to happen before build can start (the workshops and spikes below — nothing else is actually blocking), and recommends what ships in the first release versus phase 2: the Safety/Emergency features (siren, lock-screen recording, real GPS-linked safe word) are recommended for phase 2 pending legal review, since they carry real legal exposure a technical design alone can’t resolve; the mobile app may also land in phase 2 depending on what the iOS feasibility spike finds. Everything else you’ve already seen working in the prototype — RAG creation, alerts, dashboards, chat and calls on the web, the calendar, the internal support account — is recommended for phase 1.</w:t>
      </w:r>
    </w:p>
    <w:bookmarkEnd w:id="17"/>
    <w:bookmarkEnd w:id="18"/>
    <w:bookmarkStart w:id="19" w:name="the-honest-headline"/>
    <w:p>
      <w:pPr>
        <w:pStyle w:val="Heading2"/>
      </w:pPr>
      <w:r>
        <w:t xml:space="preserve">The honest headline</w:t>
      </w:r>
    </w:p>
    <w:p>
      <w:pPr>
        <w:pStyle w:val="FirstParagraph"/>
      </w:pPr>
      <w:r>
        <w:t xml:space="preserve">Everything in this pack is a</w:t>
      </w:r>
      <w:r>
        <w:t xml:space="preserve"> </w:t>
      </w:r>
      <w:r>
        <w:rPr>
          <w:b/>
          <w:bCs/>
        </w:rPr>
        <w:t xml:space="preserve">proposed design, not a committed one.</w:t>
      </w:r>
      <w:r>
        <w:t xml:space="preserve"> </w:t>
      </w:r>
      <w:r>
        <w:t xml:space="preserve">We’ve gone as far as we responsibly can on paper. A handful of things can only be validated by actually testing them — and we’d rather tell you that plainly now than quietly assume our way past it and have it surface as a problem later, in a fixed-price contract, after the fact.</w:t>
      </w:r>
    </w:p>
    <w:p>
      <w:pPr>
        <w:pStyle w:val="BodyText"/>
      </w:pPr>
      <w:r>
        <w:t xml:space="preserve">Specifically still open: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short set of requirement workshops</w:t>
      </w:r>
      <w:r>
        <w:t xml:space="preserve"> </w:t>
      </w:r>
      <w:r>
        <w:t xml:space="preserve">to close out the remaining open questions (team role permissions, a couple of account-type distinctions, and the exact scope of the SafeIQ internal support account). These are small individually but the fixed price depends on all of them being nailed down first.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Four short technical spikes</w:t>
      </w:r>
      <w:r>
        <w:t xml:space="preserve">, before we’d be comfortable committing a fixed price around them:</w:t>
      </w:r>
    </w:p>
    <w:p>
      <w:pPr>
        <w:pStyle w:val="Compact"/>
        <w:numPr>
          <w:ilvl w:val="1"/>
          <w:numId w:val="1004"/>
        </w:numPr>
      </w:pPr>
      <w:r>
        <w:t xml:space="preserve">Testing the AI actually answers only from your real documents, cites its sources correctly, and refuses rather than guesses — run against a real (anonymised where needed) sample of your content.</w:t>
      </w:r>
    </w:p>
    <w:p>
      <w:pPr>
        <w:pStyle w:val="Compact"/>
        <w:numPr>
          <w:ilvl w:val="1"/>
          <w:numId w:val="1004"/>
        </w:numPr>
      </w:pPr>
      <w:r>
        <w:t xml:space="preserve">Proving out the floating widget mechanism itself (how it actually gets onto a user’s browser or device).</w:t>
      </w:r>
    </w:p>
    <w:p>
      <w:pPr>
        <w:pStyle w:val="Compact"/>
        <w:numPr>
          <w:ilvl w:val="1"/>
          <w:numId w:val="1004"/>
        </w:numPr>
      </w:pPr>
      <w:r>
        <w:t xml:space="preserve">A real voice/video/screen-share call round-trip, not just a design on paper.</w:t>
      </w:r>
    </w:p>
    <w:p>
      <w:pPr>
        <w:pStyle w:val="Compact"/>
        <w:numPr>
          <w:ilvl w:val="1"/>
          <w:numId w:val="1004"/>
        </w:numPr>
      </w:pPr>
      <w:r>
        <w:t xml:space="preserve">Checking the mobile version — and specifically the lock-screen recording idea — is actually feasible and legal on iOS before we scope it 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decision that’s specifically yours to make, not ours:</w:t>
      </w:r>
      <w:r>
        <w:t xml:space="preserve"> </w:t>
      </w:r>
      <w:r>
        <w:t xml:space="preserve">the brief asks for the RAG data to sit in a</w:t>
      </w:r>
      <w:r>
        <w:t xml:space="preserve"> </w:t>
      </w:r>
      <w:r>
        <w:t xml:space="preserve">“blockchain”</w:t>
      </w:r>
      <w:r>
        <w:t xml:space="preserve"> </w:t>
      </w:r>
      <w:r>
        <w:t xml:space="preserve">for audit purposes. Our recommendation (in the Architecture Decision Records) is a tamper-evident, hash-chained ledger instead — it solves the actual problem (proving what happened, and resolving that against GDPR erasure requests) more cleanly than a literal blockchain would. But that’s a genuine change from the brief’s wording, and we want your explicit sign-off on it rather than quietly substituting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Your numbers, not our guesses</w:t>
      </w:r>
      <w:r>
        <w:t xml:space="preserve">, to turn the cost model from an illustrative range into a real figure — see the Cost Model document’s final section for the exact five questions.</w:t>
      </w:r>
    </w:p>
    <w:bookmarkEnd w:id="19"/>
    <w:bookmarkStart w:id="20" w:name="what-wed-like-from-you"/>
    <w:p>
      <w:pPr>
        <w:pStyle w:val="Heading2"/>
      </w:pPr>
      <w:r>
        <w:t xml:space="preserve">What we’d like from you</w:t>
      </w:r>
    </w:p>
    <w:p>
      <w:pPr>
        <w:pStyle w:val="Compact"/>
        <w:numPr>
          <w:ilvl w:val="0"/>
          <w:numId w:val="1005"/>
        </w:numPr>
      </w:pPr>
      <w:r>
        <w:t xml:space="preserve">A read-through of this pack, at whatever pace suits — none of it requires a same-day response.</w:t>
      </w:r>
    </w:p>
    <w:p>
      <w:pPr>
        <w:pStyle w:val="Compact"/>
        <w:numPr>
          <w:ilvl w:val="0"/>
          <w:numId w:val="1005"/>
        </w:numPr>
      </w:pPr>
      <w:r>
        <w:t xml:space="preserve">Time for 2–3 short workshops to close out item 1 above.</w:t>
      </w:r>
    </w:p>
    <w:p>
      <w:pPr>
        <w:pStyle w:val="Compact"/>
        <w:numPr>
          <w:ilvl w:val="0"/>
          <w:numId w:val="1005"/>
        </w:numPr>
      </w:pPr>
      <w:r>
        <w:t xml:space="preserve">A steer on item 3 above (the blockchain question) — this is the one place we’re deliberately asking you to make a call rather than deciding it for you.</w:t>
      </w:r>
    </w:p>
    <w:p>
      <w:pPr>
        <w:pStyle w:val="Compact"/>
        <w:numPr>
          <w:ilvl w:val="0"/>
          <w:numId w:val="1005"/>
        </w:numPr>
      </w:pPr>
      <w:r>
        <w:t xml:space="preserve">The scale numbers in the Cost Model document, whenever you have a rough sense of them — rough is fine to start.</w:t>
      </w:r>
    </w:p>
    <w:p>
      <w:pPr>
        <w:pStyle w:val="Compact"/>
        <w:numPr>
          <w:ilvl w:val="0"/>
          <w:numId w:val="1005"/>
        </w:numPr>
      </w:pPr>
      <w:r>
        <w:t xml:space="preserve">Sign-off to run the four technical spikes, including sharing a small real sample of documents for the AI-grounding test (happy to discuss an NDA or data-handling agreement for that specifically).</w:t>
      </w:r>
    </w:p>
    <w:p>
      <w:pPr>
        <w:pStyle w:val="FirstParagraph"/>
      </w:pPr>
      <w:r>
        <w:t xml:space="preserve">Once those land, we convert every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decision in this pack to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 turn the cost model into a real number, and that’s what the fixed price gets built on.</w:t>
      </w:r>
    </w:p>
    <w:p>
      <w:pPr>
        <w:pStyle w:val="BodyText"/>
      </w:pPr>
      <w:r>
        <w:t xml:space="preserve">Happy to walk through any of this on a call — it’s a lot to read in one sitting, and it’s genuinely meant to be discussed, not just approved.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SafeIQ - Milestone 1 Discovery Pack - Summary for Neil</dc:title>
  <dc:creator/>
  <cp:keywords/>
  <dcterms:created xsi:type="dcterms:W3CDTF">2026-08-11T07:54:38Z</dcterms:created>
  <dcterms:modified xsi:type="dcterms:W3CDTF">2026-08-11T07:54:38Z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