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SafeIQ - Milestone 1 Discovery Pack - Summary for Neil</w:t>
      </w:r>
    </w:p>
    <w:bookmarkStart w:id="12" w:name="Xf149385e5c083e71980220275fde3b2a0afad29"/>
    <w:p>
      <w:pPr>
        <w:pStyle w:val="Heading1"/>
      </w:pPr>
      <w:r>
        <w:t xml:space="preserve">SafeIQ — Milestone 1 Discovery Pack — Summary for Neil</w:t>
      </w:r>
    </w:p>
    <w:p>
      <w:pPr>
        <w:pStyle w:val="FirstParagraph"/>
      </w:pPr>
      <w:r>
        <w:rPr>
          <w:b/>
          <w:bCs/>
        </w:rPr>
        <w:t xml:space="preserve">Prepared as part of Milestone 1 (Discovery).</w:t>
      </w:r>
      <w:r>
        <w:t xml:space="preserve"> </w:t>
      </w:r>
      <w:r>
        <w:t xml:space="preserve">This note summarises the documents in this pack, what each one is confidently proposing versus still flagging as open, and exactly what we need from you to move from</w:t>
      </w:r>
      <w:r>
        <w:t xml:space="preserve"> </w:t>
      </w:r>
      <w:r>
        <w:t xml:space="preserve">“proposed design”</w:t>
      </w:r>
      <w:r>
        <w:t xml:space="preserve"> </w:t>
      </w:r>
      <w:r>
        <w:t xml:space="preserve">to a signed-off, fixed-price build.</w:t>
      </w:r>
    </w:p>
    <w:bookmarkStart w:id="9" w:name="whats-in-this-pack"/>
    <w:p>
      <w:pPr>
        <w:pStyle w:val="Heading2"/>
      </w:pPr>
      <w:r>
        <w:t xml:space="preserve">What’s in this pack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What it covers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 Architecture &amp; AWS Design</w:t>
            </w:r>
          </w:p>
        </w:tc>
        <w:tc>
          <w:tcPr/>
          <w:p>
            <w:pPr>
              <w:pStyle w:val="Compact"/>
            </w:pPr>
            <w:r>
              <w:t xml:space="preserve">The full technical design on AWS (London region), every AWS service involved and why, and — specifically — how we keep the AI running costs 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Model</w:t>
            </w:r>
          </w:p>
        </w:tc>
        <w:tc>
          <w:tcPr/>
          <w:p>
            <w:pPr>
              <w:pStyle w:val="Compact"/>
            </w:pPr>
            <w:r>
              <w:t xml:space="preserve">What this will cost to run per month, modelled at three example scales, plus the exact numbers we need from you to turn the estimate into a real figure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Design (AI/RAG Architecture)</w:t>
            </w:r>
          </w:p>
        </w:tc>
        <w:tc>
          <w:tcPr/>
          <w:p>
            <w:pPr>
              <w:pStyle w:val="Compact"/>
            </w:pPr>
            <w:r>
              <w:t xml:space="preserve">How each RAG ingests documents, answers questions only from its own approved content, cites its sources, and escalates rather than guesses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Evaluation Strategy</w:t>
            </w:r>
          </w:p>
        </w:tc>
        <w:tc>
          <w:tcPr/>
          <w:p>
            <w:pPr>
              <w:pStyle w:val="Compact"/>
            </w:pPr>
            <w:r>
              <w:t xml:space="preserve">How we’ll</w:t>
            </w:r>
            <w:r>
              <w:t xml:space="preserve"> </w:t>
            </w:r>
            <w:r>
              <w:rPr>
                <w:i/>
                <w:iCs/>
              </w:rPr>
              <w:t xml:space="preserve">prove</w:t>
            </w:r>
            <w:r>
              <w:t xml:space="preserve"> </w:t>
            </w:r>
            <w:r>
              <w:t xml:space="preserve">the above claim is actually true, rather than assume it — the test approach that backs the audit trail’s evidential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Specification</w:t>
            </w:r>
          </w:p>
        </w:tc>
        <w:tc>
          <w:tcPr/>
          <w:p>
            <w:pPr>
              <w:pStyle w:val="Compact"/>
            </w:pPr>
            <w:r>
              <w:t xml:space="preserve">The interface the web app, floating widget, and (later) mobile app will all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Multi-Tenant Database Schema</w:t>
            </w:r>
          </w:p>
        </w:tc>
        <w:tc>
          <w:tcPr/>
          <w:p>
            <w:pPr>
              <w:pStyle w:val="Compact"/>
            </w:pPr>
            <w:r>
              <w:t xml:space="preserve">How every organisation’s data is kept fully separate from every other organisation’s, at the database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&amp; Compliance Design</w:t>
            </w:r>
          </w:p>
        </w:tc>
        <w:tc>
          <w:tcPr/>
          <w:p>
            <w:pPr>
              <w:pStyle w:val="Compact"/>
            </w:pPr>
            <w:r>
              <w:t xml:space="preserve">Data residency, encryption, access control, and — specifically — how we resolve the tension between GDPR’s</w:t>
            </w:r>
            <w:r>
              <w:t xml:space="preserve"> </w:t>
            </w:r>
            <w:r>
              <w:t xml:space="preserve">“right to be forgotten”</w:t>
            </w:r>
            <w:r>
              <w:t xml:space="preserve"> </w:t>
            </w:r>
            <w:r>
              <w:t xml:space="preserve">and an audit trail that needs to prove what happened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Decision Records (5)</w:t>
            </w:r>
          </w:p>
        </w:tc>
        <w:tc>
          <w:tcPr/>
          <w:p>
            <w:pPr>
              <w:pStyle w:val="Compact"/>
            </w:pPr>
            <w:r>
              <w:t xml:space="preserve">The five irreversible technical choices (AI provider, database for search, how tenants are isolated, the real-time chat/call system, and the audit-trail technology), each with the options we considered and 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Plan &amp; Phasing</w:t>
            </w:r>
          </w:p>
        </w:tc>
        <w:tc>
          <w:tcPr/>
          <w:p>
            <w:pPr>
              <w:pStyle w:val="Compact"/>
            </w:pPr>
            <w:r>
              <w:t xml:space="preserve">The order things need to happen in, what’s genuinely on the critical path, and our recommendation for what ships in the first release versus phase 2</w:t>
            </w:r>
          </w:p>
        </w:tc>
      </w:tr>
    </w:tbl>
    <w:bookmarkEnd w:id="9"/>
    <w:bookmarkStart w:id="10" w:name="the-honest-headline"/>
    <w:p>
      <w:pPr>
        <w:pStyle w:val="Heading2"/>
      </w:pPr>
      <w:r>
        <w:t xml:space="preserve">The honest headline</w:t>
      </w:r>
    </w:p>
    <w:p>
      <w:pPr>
        <w:pStyle w:val="FirstParagraph"/>
      </w:pPr>
      <w:r>
        <w:t xml:space="preserve">Everything in this pack is a</w:t>
      </w:r>
      <w:r>
        <w:t xml:space="preserve"> </w:t>
      </w:r>
      <w:r>
        <w:rPr>
          <w:b/>
          <w:bCs/>
        </w:rPr>
        <w:t xml:space="preserve">proposed design, not a committed one.</w:t>
      </w:r>
      <w:r>
        <w:t xml:space="preserve"> </w:t>
      </w:r>
      <w:r>
        <w:t xml:space="preserve">We’ve gone as far as we responsibly can on paper. A handful of things can only be validated by actually testing them — and we’d rather tell you that plainly now than quietly assume our way past it and have it surface as a problem later, in a fixed-price contract, after the fact.</w:t>
      </w:r>
    </w:p>
    <w:p>
      <w:pPr>
        <w:pStyle w:val="BodyText"/>
      </w:pPr>
      <w:r>
        <w:t xml:space="preserve">Specifically still open: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short set of requirement workshops</w:t>
      </w:r>
      <w:r>
        <w:t xml:space="preserve"> </w:t>
      </w:r>
      <w:r>
        <w:t xml:space="preserve">to close out the remaining open questions (team role permissions, a couple of account-type distinctions, and the exact scope of the SafeIQ internal support account). These are small individually but the fixed price depends on all of them being nailed down first.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Four short technical spikes</w:t>
      </w:r>
      <w:r>
        <w:t xml:space="preserve">, before we’d be comfortable committing a fixed price around them:</w:t>
      </w:r>
    </w:p>
    <w:p>
      <w:pPr>
        <w:pStyle w:val="Compact"/>
        <w:numPr>
          <w:ilvl w:val="1"/>
          <w:numId w:val="1002"/>
        </w:numPr>
      </w:pPr>
      <w:r>
        <w:t xml:space="preserve">Testing the AI actually answers only from your real documents, cites its sources correctly, and refuses rather than guesses — run against a real (anonymised where needed) sample of your content.</w:t>
      </w:r>
    </w:p>
    <w:p>
      <w:pPr>
        <w:pStyle w:val="Compact"/>
        <w:numPr>
          <w:ilvl w:val="1"/>
          <w:numId w:val="1002"/>
        </w:numPr>
      </w:pPr>
      <w:r>
        <w:t xml:space="preserve">Proving out the floating widget mechanism itself (how it actually gets onto a user’s browser or device).</w:t>
      </w:r>
    </w:p>
    <w:p>
      <w:pPr>
        <w:pStyle w:val="Compact"/>
        <w:numPr>
          <w:ilvl w:val="1"/>
          <w:numId w:val="1002"/>
        </w:numPr>
      </w:pPr>
      <w:r>
        <w:t xml:space="preserve">A real voice/video/screen-share call round-trip, not just a design on paper.</w:t>
      </w:r>
    </w:p>
    <w:p>
      <w:pPr>
        <w:pStyle w:val="Compact"/>
        <w:numPr>
          <w:ilvl w:val="1"/>
          <w:numId w:val="1002"/>
        </w:numPr>
      </w:pPr>
      <w:r>
        <w:t xml:space="preserve">Checking the mobile version — and specifically the lock-screen recording idea — is actually feasible and legal on iOS before we scope it 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decision that’s specifically yours to make, not ours:</w:t>
      </w:r>
      <w:r>
        <w:t xml:space="preserve"> </w:t>
      </w:r>
      <w:r>
        <w:t xml:space="preserve">the brief asks for the RAG data to sit in a</w:t>
      </w:r>
      <w:r>
        <w:t xml:space="preserve"> </w:t>
      </w:r>
      <w:r>
        <w:t xml:space="preserve">“blockchain”</w:t>
      </w:r>
      <w:r>
        <w:t xml:space="preserve"> </w:t>
      </w:r>
      <w:r>
        <w:t xml:space="preserve">for audit purposes. Our recommendation (in the Architecture Decision Records) is a tamper-evident, hash-chained ledger instead — it solves the actual problem (proving what happened, and resolving that against GDPR erasure requests) more cleanly than a literal blockchain would. But that’s a genuine change from the brief’s wording, and we want your explicit sign-off on it rather than quietly substituting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Your numbers, not our guesses</w:t>
      </w:r>
      <w:r>
        <w:t xml:space="preserve">, to turn the cost model from an illustrative range into a real figure — see the Cost Model document’s final section for the exact five questions.</w:t>
      </w:r>
    </w:p>
    <w:bookmarkEnd w:id="10"/>
    <w:bookmarkStart w:id="11" w:name="what-wed-like-from-you"/>
    <w:p>
      <w:pPr>
        <w:pStyle w:val="Heading2"/>
      </w:pPr>
      <w:r>
        <w:t xml:space="preserve">What we’d like from you</w:t>
      </w:r>
    </w:p>
    <w:p>
      <w:pPr>
        <w:pStyle w:val="Compact"/>
        <w:numPr>
          <w:ilvl w:val="0"/>
          <w:numId w:val="1003"/>
        </w:numPr>
      </w:pPr>
      <w:r>
        <w:t xml:space="preserve">A read-through of this pack, at whatever pace suits — none of it requires a same-day response.</w:t>
      </w:r>
    </w:p>
    <w:p>
      <w:pPr>
        <w:pStyle w:val="Compact"/>
        <w:numPr>
          <w:ilvl w:val="0"/>
          <w:numId w:val="1003"/>
        </w:numPr>
      </w:pPr>
      <w:r>
        <w:t xml:space="preserve">Time for 2–3 short workshops to close out item 1 above.</w:t>
      </w:r>
    </w:p>
    <w:p>
      <w:pPr>
        <w:pStyle w:val="Compact"/>
        <w:numPr>
          <w:ilvl w:val="0"/>
          <w:numId w:val="1003"/>
        </w:numPr>
      </w:pPr>
      <w:r>
        <w:t xml:space="preserve">A steer on item 3 above (the blockchain question) — this is the one place we’re deliberately asking you to make a call rather than deciding it for you.</w:t>
      </w:r>
    </w:p>
    <w:p>
      <w:pPr>
        <w:pStyle w:val="Compact"/>
        <w:numPr>
          <w:ilvl w:val="0"/>
          <w:numId w:val="1003"/>
        </w:numPr>
      </w:pPr>
      <w:r>
        <w:t xml:space="preserve">The scale numbers in the Cost Model document, whenever you have a rough sense of them — rough is fine to start.</w:t>
      </w:r>
    </w:p>
    <w:p>
      <w:pPr>
        <w:pStyle w:val="Compact"/>
        <w:numPr>
          <w:ilvl w:val="0"/>
          <w:numId w:val="1003"/>
        </w:numPr>
      </w:pPr>
      <w:r>
        <w:t xml:space="preserve">Sign-off to run the four technical spikes, including sharing a small real sample of documents for the AI-grounding test (happy to discuss an NDA or data-handling agreement for that specifically).</w:t>
      </w:r>
    </w:p>
    <w:p>
      <w:pPr>
        <w:pStyle w:val="FirstParagraph"/>
      </w:pPr>
      <w:r>
        <w:t xml:space="preserve">Once those land, we convert every</w:t>
      </w:r>
      <w:r>
        <w:t xml:space="preserve"> </w:t>
      </w:r>
      <w:r>
        <w:rPr>
          <w:rStyle w:val="VerbatimChar"/>
        </w:rPr>
        <w:t xml:space="preserve">PROPOSED</w:t>
      </w:r>
      <w:r>
        <w:t xml:space="preserve"> </w:t>
      </w:r>
      <w:r>
        <w:t xml:space="preserve">decision in this pack to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, turn the cost model into a real number, and that’s what the fixed price gets built on.</w:t>
      </w:r>
    </w:p>
    <w:p>
      <w:pPr>
        <w:pStyle w:val="BodyText"/>
      </w:pPr>
      <w:r>
        <w:t xml:space="preserve">Happy to walk through any of this on a call — it’s a lot to read in one sitting, and it’s genuinely meant to be discussed, not just approved.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SafeIQ - Milestone 1 Discovery Pack - Summary for Neil</dc:title>
  <dc:creator/>
  <cp:keywords/>
  <dcterms:created xsi:type="dcterms:W3CDTF">2026-08-10T09:36:24Z</dcterms:created>
  <dcterms:modified xsi:type="dcterms:W3CDTF">2026-08-10T09:36:24Z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