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Solution Architecture and AWS Design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8edff784de8a8cd9f23a4892a118e5b948681bd"/>
    <w:p>
      <w:pPr>
        <w:pStyle w:val="Heading1"/>
      </w:pPr>
      <w:r>
        <w:t xml:space="preserve">Solution Architecture &amp; AWS Design (Milestone 1, item 4)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PROPOSAL. This document ties ADR-001 through ADR-005 together into one coherent system view and adds the AWS services those ADRs don’t individually cover. It is not implementation-ready: the real-time media leg depends on spike 2(c), the LLM/embedding leg depends on spike 2(a), and one genuine gap is flagged below (identity &amp; access management has no ADR yet — see §8).</w:t>
      </w:r>
    </w:p>
    <w:bookmarkStart w:id="9" w:name="design-principles"/>
    <w:p>
      <w:pPr>
        <w:pStyle w:val="Heading2"/>
      </w:pPr>
      <w:r>
        <w:t xml:space="preserve">1.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AWS-native, single-region (London, eu-west-2) for MVP.</w:t>
      </w:r>
      <w:r>
        <w:t xml:space="preserve"> </w:t>
      </w:r>
      <w:r>
        <w:t xml:space="preserve">Every service below is chosen to keep a single cloud vendor relationship and a single data-residency story, per the brief’s</w:t>
      </w:r>
      <w:r>
        <w:t xml:space="preserve"> </w:t>
      </w:r>
      <w:r>
        <w:t xml:space="preserve">“Data kept in UK for mvp - AWS.”</w:t>
      </w:r>
      <w:r>
        <w:t xml:space="preserve"> </w:t>
      </w:r>
      <w:r>
        <w:t xml:space="preserve">Where a service’s exact regional availability is unconfirmed, that is called out explicitly rather than assumed.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 by construction, not by query discipline.</w:t>
      </w:r>
      <w:r>
        <w:t xml:space="preserve"> </w:t>
      </w:r>
      <w:r>
        <w:t xml:space="preserve">Schema-per-tenant (ADR-003) and per-tenant vector namespaces (ADR-002) mean a cross-tenant data leak requires an infrastructure-level mistake, not just an application bug — appropriate given this data may become legal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real-time backbone, two transports.</w:t>
      </w:r>
      <w:r>
        <w:t xml:space="preserve"> </w:t>
      </w:r>
      <w:r>
        <w:t xml:space="preserve">Text/event traffic (chat, live dashboard feeds) and interactive media (voice/video/screen-share) are architecturally one design (ADR-004), split into the transport each is actually suited for, not four bolted-on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irreversible choice sits behind an ADR</w:t>
      </w:r>
      <w:r>
        <w:t xml:space="preserve">, and every ADR is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until its stated blocking condition (a spike, a cost figure, a client sign-off) is resolved. This document inherits that status from its inputs.</w:t>
      </w:r>
    </w:p>
    <w:bookmarkEnd w:id="9"/>
    <w:bookmarkStart w:id="10" w:name="logical-architecture"/>
    <w:p>
      <w:pPr>
        <w:pStyle w:val="Heading2"/>
      </w:pPr>
      <w:r>
        <w:t xml:space="preserve">2. Logical architecture</w:t>
      </w:r>
    </w:p>
    <w:p>
      <w:pPr>
        <w:pStyle w:val="SourceCode"/>
      </w:pPr>
      <w:r>
        <w:rPr>
          <w:rStyle w:val="VerbatimChar"/>
        </w:rPr>
        <w:t xml:space="preserve">          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│   Route53 + CloudFront   │</w:t>
      </w:r>
      <w:r>
        <w:br/>
      </w:r>
      <w:r>
        <w:rPr>
          <w:rStyle w:val="VerbatimChar"/>
        </w:rPr>
        <w:t xml:space="preserve">                                   │      + AWS WAF/Shield    │</w:t>
      </w:r>
      <w:r>
        <w:br/>
      </w:r>
      <w:r>
        <w:rPr>
          <w:rStyle w:val="VerbatimChar"/>
        </w:rPr>
        <w:t xml:space="preserve">               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                    │                          │</w:t>
      </w:r>
      <w:r>
        <w:br/>
      </w:r>
      <w:r>
        <w:rPr>
          <w:rStyle w:val="VerbatimChar"/>
        </w:rPr>
        <w:t xml:space="preserve">              ┌──────▼──────┐          ┌────────▼────────┐        ┌────────▼────────┐</w:t>
      </w:r>
      <w:r>
        <w:br/>
      </w:r>
      <w:r>
        <w:rPr>
          <w:rStyle w:val="VerbatimChar"/>
        </w:rPr>
        <w:t xml:space="preserve">              │  API Gateway │          │  API Gateway /   │        │   Amazon Chime   │</w:t>
      </w:r>
      <w:r>
        <w:br/>
      </w:r>
      <w:r>
        <w:rPr>
          <w:rStyle w:val="VerbatimChar"/>
        </w:rPr>
        <w:t xml:space="preserve">              │    (REST)    │          │  AppSync (WS)     │        │       SDK        │</w:t>
      </w:r>
      <w:r>
        <w:br/>
      </w:r>
      <w:r>
        <w:rPr>
          <w:rStyle w:val="VerbatimChar"/>
        </w:rPr>
        <w:t xml:space="preserve">              │ core CRUD API│          │ chat + live feeds │        │ voice/video/share│</w:t>
      </w:r>
      <w:r>
        <w:br/>
      </w:r>
      <w:r>
        <w:rPr>
          <w:rStyle w:val="VerbatimChar"/>
        </w:rPr>
        <w:t xml:space="preserve">              └──────┬──────┘          └────────┬────────┘        └────────┬────────┘</w:t>
      </w:r>
      <w:r>
        <w:br/>
      </w:r>
      <w:r>
        <w:rPr>
          <w:rStyle w:val="VerbatimChar"/>
        </w:rPr>
        <w:t xml:space="preserve">                     │                          │                          │</w:t>
      </w:r>
      <w:r>
        <w:br/>
      </w:r>
      <w:r>
        <w:rPr>
          <w:rStyle w:val="VerbatimChar"/>
        </w:rPr>
        <w:t xml:space="preserve">                     └──────────────┬───────────┴──────────────────────────┘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┌─────────▼─────────┐</w:t>
      </w:r>
      <w:r>
        <w:br/>
      </w:r>
      <w:r>
        <w:rPr>
          <w:rStyle w:val="VerbatimChar"/>
        </w:rPr>
        <w:t xml:space="preserve">                          │   ECS Fargate      │   core API service, ingestion</w:t>
      </w:r>
      <w:r>
        <w:br/>
      </w:r>
      <w:r>
        <w:rPr>
          <w:rStyle w:val="VerbatimChar"/>
        </w:rPr>
        <w:t xml:space="preserve">                          │   application tier │   workers, AI orchestration</w:t>
      </w:r>
      <w:r>
        <w:br/>
      </w:r>
      <w:r>
        <w:rPr>
          <w:rStyle w:val="VerbatimChar"/>
        </w:rPr>
        <w:t xml:space="preserve">                          │                    │   service, notification service</w:t>
      </w:r>
      <w:r>
        <w:br/>
      </w:r>
      <w:r>
        <w:rPr>
          <w:rStyle w:val="VerbatimChar"/>
        </w:rPr>
        <w:t xml:space="preserve">   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┌───────────────┬──────────┼──────────┬───────────────┬────────────────┐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        │               │          │          │               │                │</w:t>
      </w:r>
      <w:r>
        <w:br/>
      </w:r>
      <w:r>
        <w:rPr>
          <w:rStyle w:val="VerbatimChar"/>
        </w:rPr>
        <w:t xml:space="preserve"> ┌──────▼──────┐ ┌───────▼──────┐ ┌─▼──────┐ ┌─▼────────────┐ ┌─▼─────────────┐ ┌▼──────────────┐</w:t>
      </w:r>
      <w:r>
        <w:br/>
      </w:r>
      <w:r>
        <w:rPr>
          <w:rStyle w:val="VerbatimChar"/>
        </w:rPr>
        <w:t xml:space="preserve"> │   Aurora     │ │  OpenSearch  │ │   S3   │ │   Bedrock     │ │  audit_ledger  │ │  SQS/EventBridge│</w:t>
      </w:r>
      <w:r>
        <w:br/>
      </w:r>
      <w:r>
        <w:rPr>
          <w:rStyle w:val="VerbatimChar"/>
        </w:rPr>
        <w:t xml:space="preserve"> │  PostgreSQL  │ │  (per-tenant │ │(per-   │ │(Claude gen +  │ │ (hash-chained, │ │ (async ingestion│</w:t>
      </w:r>
      <w:r>
        <w:br/>
      </w:r>
      <w:r>
        <w:rPr>
          <w:rStyle w:val="VerbatimChar"/>
        </w:rPr>
        <w:t xml:space="preserve"> │schema-per-   │ │  vector +    │ │tenant  │ │ embeddings +  │ │  ADR-005;      │ │  job queue)     │</w:t>
      </w:r>
      <w:r>
        <w:br/>
      </w:r>
      <w:r>
        <w:rPr>
          <w:rStyle w:val="VerbatimChar"/>
        </w:rPr>
        <w:t xml:space="preserve"> │tenant,ADR-003│ │  hybrid,     │ │prefix) │ │ re-rank via   │ │  append-only)  │ │                 │</w:t>
      </w:r>
      <w:r>
        <w:br/>
      </w:r>
      <w:r>
        <w:rPr>
          <w:rStyle w:val="VerbatimChar"/>
        </w:rPr>
        <w:t xml:space="preserve"> │              │ │  ADR-002)    │ │        │ │ small model)  │ │                │ │                 │</w:t>
      </w:r>
      <w:r>
        <w:br/>
      </w:r>
      <w:r>
        <w:rPr>
          <w:rStyle w:val="VerbatimChar"/>
        </w:rPr>
        <w:t xml:space="preserve"> └──────────────┘ └──────────────┘ └────────┘ └───────────────┘ └────────────────┘ └────────────────┘</w:t>
      </w:r>
      <w:r>
        <w:br/>
      </w:r>
      <w:r>
        <w:br/>
      </w:r>
      <w:r>
        <w:rPr>
          <w:rStyle w:val="VerbatimChar"/>
        </w:rPr>
        <w:t xml:space="preserve"> Cross-cutting: KMS (encryption) · Secrets Manager · IAM · CloudWatch + X-Ray (incl. AI cost/token</w:t>
      </w:r>
      <w:r>
        <w:br/>
      </w:r>
      <w:r>
        <w:rPr>
          <w:rStyle w:val="VerbatimChar"/>
        </w:rPr>
        <w:t xml:space="preserve"> metrics) · CloudTrail · GuardDuty · Terraform (IaC) · CodePipeline/CI-CD</w:t>
      </w:r>
    </w:p>
    <w:bookmarkEnd w:id="10"/>
    <w:bookmarkStart w:id="11" w:name="aws-service-inventory"/>
    <w:p>
      <w:pPr>
        <w:pStyle w:val="Heading2"/>
      </w:pPr>
      <w:r>
        <w:t xml:space="preserve">3. AWS service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 in this platform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Route53 + CloudFront + WAF/Shield</w:t>
            </w:r>
          </w:p>
        </w:tc>
        <w:tc>
          <w:tcPr/>
          <w:p>
            <w:pPr>
              <w:pStyle w:val="Compact"/>
            </w:pPr>
            <w:r>
              <w:t xml:space="preserve">DNS, edge caching for the static app, edge protection against common web attacks</w:t>
            </w:r>
          </w:p>
        </w:tc>
        <w:tc>
          <w:tcPr/>
          <w:p>
            <w:pPr>
              <w:pStyle w:val="Compact"/>
            </w:pPr>
            <w:r>
              <w:t xml:space="preserve">Standard, no open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 (REST)</w:t>
            </w:r>
          </w:p>
        </w:tc>
        <w:tc>
          <w:tcPr/>
          <w:p>
            <w:pPr>
              <w:pStyle w:val="Compact"/>
            </w:pPr>
            <w:r>
              <w:t xml:space="preserve">Core CRUD API surface — see</w:t>
            </w:r>
            <w:r>
              <w:t xml:space="preserve"> </w:t>
            </w:r>
            <w:r>
              <w:rPr>
                <w:rStyle w:val="VerbatimChar"/>
              </w:rPr>
              <w:t xml:space="preserve">api-specification.md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 WebSocket API or AWS AppSync</w:t>
            </w:r>
          </w:p>
        </w:tc>
        <w:tc>
          <w:tcPr/>
          <w:p>
            <w:pPr>
              <w:pStyle w:val="Compact"/>
            </w:pPr>
            <w:r>
              <w:t xml:space="preserve">Chat messages + live dashboard/widget event feed (</w:t>
            </w:r>
            <w:r>
              <w:rPr>
                <w:rStyle w:val="VerbatimChar"/>
              </w:rPr>
              <w:t xml:space="preserve">question.created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alert.opened</w:t>
            </w:r>
            <w:r>
              <w:t xml:space="preserve">, etc.) — one publish path, multiple subscribers</w:t>
            </w:r>
          </w:p>
        </w:tc>
        <w:tc>
          <w:tcPr/>
          <w:p>
            <w:pPr>
              <w:pStyle w:val="Compact"/>
            </w:pPr>
            <w:r>
              <w:t xml:space="preserve">ADR-004, PROPOSED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Chime SDK</w:t>
            </w:r>
          </w:p>
        </w:tc>
        <w:tc>
          <w:tcPr/>
          <w:p>
            <w:pPr>
              <w:pStyle w:val="Compact"/>
            </w:pPr>
            <w:r>
              <w:t xml:space="preserve">Voice call, video call, and screen-share media routing for direct and group conversations</w:t>
            </w:r>
          </w:p>
        </w:tc>
        <w:tc>
          <w:tcPr/>
          <w:p>
            <w:pPr>
              <w:pStyle w:val="Compact"/>
            </w:pPr>
            <w:r>
              <w:t xml:space="preserve">ADR-004, PROPOSED — blocked on spike 2(c) and confirming UK/EU media-routing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Fargate</w:t>
            </w:r>
          </w:p>
        </w:tc>
        <w:tc>
          <w:tcPr/>
          <w:p>
            <w:pPr>
              <w:pStyle w:val="Compact"/>
            </w:pPr>
            <w:r>
              <w:t xml:space="preserve">Application compute: core API service, async ingestion workers, the AI orchestration (</w:t>
            </w:r>
            <w:r>
              <w:t xml:space="preserve">“answer generation”</w:t>
            </w:r>
            <w:r>
              <w:t xml:space="preserve">) service, notification service. Fargate over EC2 to avoid managing instances for a small platform team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Lambda</w:t>
            </w:r>
          </w:p>
        </w:tc>
        <w:tc>
          <w:tcPr/>
          <w:p>
            <w:pPr>
              <w:pStyle w:val="Compact"/>
            </w:pPr>
            <w:r>
              <w:t xml:space="preserve">Lightweight event-driven glue: S3-upload trigger → enqueue ingestion job; scheduled jobs for review-date reminders and login-history retention cleanup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Aurora PostgreSQL</w:t>
            </w:r>
          </w:p>
        </w:tc>
        <w:tc>
          <w:tcPr/>
          <w:p>
            <w:pPr>
              <w:pStyle w:val="Compact"/>
            </w:pPr>
            <w:r>
              <w:t xml:space="preserve">Relational data, schema-per-tenant (ADR-003) plus the shared control-plane schema — see</w:t>
            </w:r>
            <w:r>
              <w:t xml:space="preserve"> </w:t>
            </w:r>
            <w:r>
              <w:rPr>
                <w:rStyle w:val="VerbatimChar"/>
              </w:rPr>
              <w:t xml:space="preserve">multi-tenant-schema.md</w:t>
            </w:r>
          </w:p>
        </w:tc>
        <w:tc>
          <w:tcPr/>
          <w:p>
            <w:pPr>
              <w:pStyle w:val="Compact"/>
            </w:pPr>
            <w:r>
              <w:t xml:space="preserve">ADR-003, PROPOSED — blocked on confirmed client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OpenSearch Service</w:t>
            </w:r>
          </w:p>
        </w:tc>
        <w:tc>
          <w:tcPr/>
          <w:p>
            <w:pPr>
              <w:pStyle w:val="Compact"/>
            </w:pPr>
            <w:r>
              <w:t xml:space="preserve">Hybrid (BM25 + k-NN) retrieval over per-tenant vector namespaces — see</w:t>
            </w:r>
            <w:r>
              <w:t xml:space="preserve"> </w:t>
            </w:r>
            <w:r>
              <w:rPr>
                <w:rStyle w:val="VerbatimChar"/>
              </w:rPr>
              <w:t xml:space="preserve">rag-architecture.md</w:t>
            </w:r>
          </w:p>
        </w:tc>
        <w:tc>
          <w:tcPr/>
          <w:p>
            <w:pPr>
              <w:pStyle w:val="Compact"/>
            </w:pPr>
            <w:r>
              <w:t xml:space="preserve">ADR-002, PROPOSED — blocked on cost-at-scale (item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Document storage (per-tenant prefix), Terraform state, access logs, static asset hosting behind CloudFront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</w:t>
            </w:r>
          </w:p>
        </w:tc>
        <w:tc>
          <w:tcPr/>
          <w:p>
            <w:pPr>
              <w:pStyle w:val="Compact"/>
            </w:pPr>
            <w:r>
              <w:t xml:space="preserve">Hosts the LLM (Claude, ADR-001) for grounded answer generation, AI-assisted content placement, and the organisation’s</w:t>
            </w:r>
            <w:r>
              <w:t xml:space="preserve"> </w:t>
            </w:r>
            <w:r>
              <w:t xml:space="preserve">“research using AI”</w:t>
            </w:r>
            <w:r>
              <w:t xml:space="preserve"> </w:t>
            </w:r>
            <w:r>
              <w:t xml:space="preserve">feature; also hosts the embedding model (Amazon Titan Embeddings, or a Bedrock-hosted alternative confirmed alongside ADR-002)</w:t>
            </w:r>
          </w:p>
        </w:tc>
        <w:tc>
          <w:tcPr/>
          <w:p>
            <w:pPr>
              <w:pStyle w:val="Compact"/>
            </w:pPr>
            <w:r>
              <w:t xml:space="preserve">ADR-001, PROPOSED — blocked on spike 2(a) and confirming a London/UK-acceptable Bedrock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Re-ranking model</w:t>
            </w:r>
          </w:p>
        </w:tc>
        <w:tc>
          <w:tcPr/>
          <w:p>
            <w:pPr>
              <w:pStyle w:val="Compact"/>
            </w:pPr>
            <w:r>
              <w:t xml:space="preserve">A small cross-encoder re-ranking step over the top-N hybrid results, run as a lightweight Fargate/Lambda service (not a managed AWS product — see</w:t>
            </w:r>
            <w:r>
              <w:t xml:space="preserve"> </w:t>
            </w:r>
            <w:r>
              <w:rPr>
                <w:rStyle w:val="VerbatimChar"/>
              </w:rPr>
              <w:t xml:space="preserve">rag-architecture.md</w:t>
            </w:r>
            <w:r>
              <w:t xml:space="preserve"> </w:t>
            </w:r>
            <w:r>
              <w:t xml:space="preserve">§4)</w:t>
            </w:r>
          </w:p>
        </w:tc>
        <w:tc>
          <w:tcPr/>
          <w:p>
            <w:pPr>
              <w:pStyle w:val="Compact"/>
            </w:pPr>
            <w:r>
              <w:t xml:space="preserve">Design proposed, not vendor-selected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audit_ledger (Aurora table) or Amazon QLDB</w:t>
            </w:r>
          </w:p>
        </w:tc>
        <w:tc>
          <w:tcPr/>
          <w:p>
            <w:pPr>
              <w:pStyle w:val="Compact"/>
            </w:pPr>
            <w:r>
              <w:t xml:space="preserve">Tamper-evident, hash-chained event log — see ADR-005</w:t>
            </w:r>
          </w:p>
        </w:tc>
        <w:tc>
          <w:tcPr/>
          <w:p>
            <w:pPr>
              <w:pStyle w:val="Compact"/>
            </w:pPr>
            <w:r>
              <w:t xml:space="preserve">ADR-005, PROPOSED — needs explicit client sign-off (reinterprets</w:t>
            </w:r>
            <w:r>
              <w:t xml:space="preserve"> </w:t>
            </w:r>
            <w:r>
              <w:t xml:space="preserve">“blockchain”</w:t>
            </w:r>
            <w:r>
              <w:t xml:space="preserve"> </w:t>
            </w:r>
            <w:r>
              <w:t xml:space="preserve">in the brief)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SES</w:t>
            </w:r>
          </w:p>
        </w:tc>
        <w:tc>
          <w:tcPr/>
          <w:p>
            <w:pPr>
              <w:pStyle w:val="Compact"/>
            </w:pPr>
            <w:r>
              <w:t xml:space="preserve">Transactional email: magic-link invites, review-date reminders, password resets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SQS / EventBridge</w:t>
            </w:r>
          </w:p>
        </w:tc>
        <w:tc>
          <w:tcPr/>
          <w:p>
            <w:pPr>
              <w:pStyle w:val="Compact"/>
            </w:pPr>
            <w:r>
              <w:t xml:space="preserve">Decouples document upload from the ingestion pipeline so large files never block the HTTP request; also carries scheduled/cron-style events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Encryption-at-rest keys for S3, Aurora, OpenSearch</w:t>
            </w:r>
          </w:p>
        </w:tc>
        <w:tc>
          <w:tcPr/>
          <w:p>
            <w:pPr>
              <w:pStyle w:val="Compact"/>
            </w:pPr>
            <w:r>
              <w:t xml:space="preserve">Standard, satisfies the brief’s</w:t>
            </w:r>
            <w:r>
              <w:t xml:space="preserve"> </w:t>
            </w:r>
            <w:r>
              <w:t xml:space="preserve">“all data encrypted”</w:t>
            </w:r>
            <w:r>
              <w:t xml:space="preserve"> </w:t>
            </w: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Manager + Systems Manager Parameter Store</w:t>
            </w:r>
          </w:p>
        </w:tc>
        <w:tc>
          <w:tcPr/>
          <w:p>
            <w:pPr>
              <w:pStyle w:val="Compact"/>
            </w:pPr>
            <w:r>
              <w:t xml:space="preserve">API keys, DB credentials, per-environment config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Least-privilege roles per service; a distinct role boundary for anything touching the audit ledger (insert-only, no update/delete, per ADR-005)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CloudWatch + X-Ray</w:t>
            </w:r>
          </w:p>
        </w:tc>
        <w:tc>
          <w:tcPr/>
          <w:p>
            <w:pPr>
              <w:pStyle w:val="Compact"/>
            </w:pPr>
            <w:r>
              <w:t xml:space="preserve">Observability, including</w:t>
            </w:r>
            <w:r>
              <w:t xml:space="preserve"> </w:t>
            </w:r>
            <w:r>
              <w:rPr>
                <w:b/>
                <w:bCs/>
              </w:rPr>
              <w:t xml:space="preserve">AI cost/token metrics per tenant</w:t>
            </w:r>
            <w:r>
              <w:t xml:space="preserve"> </w:t>
            </w:r>
            <w:r>
              <w:t xml:space="preserve">(item 11) — this is what makes the cost-reduction levers in §7 actually enforceable rather than aspirational</w:t>
            </w:r>
          </w:p>
        </w:tc>
        <w:tc>
          <w:tcPr/>
          <w:p>
            <w:pPr>
              <w:pStyle w:val="Compact"/>
            </w:pPr>
            <w:r>
              <w:t xml:space="preserve">Standard, scope defined here for the first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CloudTrail + GuardDuty</w:t>
            </w:r>
          </w:p>
        </w:tc>
        <w:tc>
          <w:tcPr/>
          <w:p>
            <w:pPr>
              <w:pStyle w:val="Compact"/>
            </w:pPr>
            <w:r>
              <w:t xml:space="preserve">AWS-account-level audit and threat detection — distinct from, and in addition to, the product’s own</w:t>
            </w:r>
            <w:r>
              <w:t xml:space="preserve"> </w:t>
            </w:r>
            <w:r>
              <w:rPr>
                <w:rStyle w:val="VerbatimChar"/>
              </w:rPr>
              <w:t xml:space="preserve">audit_ledger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 + CodePipeline/CodeBuild (or GitHub Actions)</w:t>
            </w:r>
          </w:p>
        </w:tc>
        <w:tc>
          <w:tcPr/>
          <w:p>
            <w:pPr>
              <w:pStyle w:val="Compact"/>
            </w:pPr>
            <w:r>
              <w:t xml:space="preserve">Infrastructure-as-code and CI/CD, including automated per-tenant schema and OpenSearch-index provisioning on organisation sign-up (item 11)</w:t>
            </w:r>
          </w:p>
        </w:tc>
        <w:tc>
          <w:tcPr/>
          <w:p>
            <w:pPr>
              <w:pStyle w:val="Compact"/>
            </w:pPr>
            <w:r>
              <w:t xml:space="preserve">Not started — see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outstanding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Cognito</w:t>
            </w:r>
            <w:r>
              <w:t xml:space="preserve"> </w:t>
            </w:r>
            <w:r>
              <w:rPr>
                <w:i/>
                <w:iCs/>
              </w:rPr>
              <w:t xml:space="preserve">(recommended, not yet an ADR)</w:t>
            </w:r>
          </w:p>
        </w:tc>
        <w:tc>
          <w:tcPr/>
          <w:p>
            <w:pPr>
              <w:pStyle w:val="Compact"/>
            </w:pPr>
            <w:r>
              <w:t xml:space="preserve">Authentication/session issuance for the</w:t>
            </w:r>
            <w:r>
              <w:t xml:space="preserve"> </w:t>
            </w:r>
            <w:r>
              <w:rPr>
                <w:rStyle w:val="VerbatimChar"/>
              </w:rPr>
              <w:t xml:space="preserve">/auth/*</w:t>
            </w:r>
            <w:r>
              <w:t xml:space="preserve"> </w:t>
            </w:r>
            <w:r>
              <w:t xml:space="preserve">endpoints in</w:t>
            </w:r>
            <w:r>
              <w:t xml:space="preserve"> </w:t>
            </w:r>
            <w:r>
              <w:rPr>
                <w:rStyle w:val="VerbatimChar"/>
              </w:rPr>
              <w:t xml:space="preserve">api-specification.md</w:t>
            </w:r>
            <w:r>
              <w:t xml:space="preserve">. Proposed shape:</w:t>
            </w:r>
            <w:r>
              <w:t xml:space="preserve"> </w:t>
            </w:r>
            <w:r>
              <w:rPr>
                <w:b/>
                <w:bCs/>
              </w:rPr>
              <w:t xml:space="preserve">one shared User Pool with a custom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org_id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attribute</w:t>
            </w:r>
            <w:r>
              <w:t xml:space="preserve">, rather than a pool per tenant, to avoid provisioning sprawl as organisations are onboarded; session tokens carry the tenant claim that every downstream service uses to select the right Aurora schema and OpenSearch namespace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identified while writing this document</w:t>
            </w:r>
            <w:r>
              <w:t xml:space="preserve"> </w:t>
            </w:r>
            <w:r>
              <w:t xml:space="preserve">— none of the five existing ADRs cover identity/auth. Recommend adding</w:t>
            </w:r>
            <w:r>
              <w:t xml:space="preserve"> </w:t>
            </w:r>
            <w:r>
              <w:rPr>
                <w:b/>
                <w:bCs/>
              </w:rPr>
              <w:t xml:space="preserve">ADR-006: Identity &amp; Access Management</w:t>
            </w:r>
            <w:r>
              <w:t xml:space="preserve"> </w:t>
            </w:r>
            <w:r>
              <w:t xml:space="preserve">before this is treated as decided</w:t>
            </w:r>
          </w:p>
        </w:tc>
      </w:tr>
    </w:tbl>
    <w:bookmarkEnd w:id="11"/>
    <w:bookmarkStart w:id="12" w:name="shared-real-time-backbone-expanded"/>
    <w:p>
      <w:pPr>
        <w:pStyle w:val="Heading2"/>
      </w:pPr>
      <w:r>
        <w:t xml:space="preserve">4. Shared real-time backbone, expanded</w:t>
      </w:r>
    </w:p>
    <w:p>
      <w:pPr>
        <w:pStyle w:val="FirstParagraph"/>
      </w:pPr>
      <w:r>
        <w:t xml:space="preserve">Per item 4’s explicit ask for</w:t>
      </w:r>
      <w:r>
        <w:t xml:space="preserve"> </w:t>
      </w:r>
      <w:r>
        <w:t xml:space="preserve">“the shared real-time backbone… used by chat, calls, screen share and the live feeds,”</w:t>
      </w:r>
      <w:r>
        <w:t xml:space="preserve"> </w:t>
      </w:r>
      <w:r>
        <w:t xml:space="preserve">this is one design, not four: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 and event transport</w:t>
      </w:r>
      <w:r>
        <w:t xml:space="preserve"> </w:t>
      </w:r>
      <w:r>
        <w:t xml:space="preserve">(chat messages, the dashboard’s</w:t>
      </w:r>
      <w:r>
        <w:t xml:space="preserve"> </w:t>
      </w:r>
      <w:r>
        <w:t xml:space="preserve">“live questions”</w:t>
      </w:r>
      <w:r>
        <w:t xml:space="preserve"> </w:t>
      </w:r>
      <w:r>
        <w:t xml:space="preserve">panel, alert-opened/alert-message/alert-closed notifications, booking-created events) all flow through a single WebSocket/AppSync channel per</w:t>
      </w:r>
      <w:r>
        <w:t xml:space="preserve"> </w:t>
      </w:r>
      <w:r>
        <w:rPr>
          <w:rStyle w:val="VerbatimChar"/>
        </w:rPr>
        <w:t xml:space="preserve">api-specification.md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/realtime</w:t>
      </w:r>
      <w:r>
        <w:t xml:space="preserve"> </w:t>
      </w:r>
      <w:r>
        <w:t xml:space="preserve">endpoint. One publish path server-side, fanned out to however many subscribers (dashboard, widget, mobile later) are listening — no per-screen polling implementation.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 media</w:t>
      </w:r>
      <w:r>
        <w:t xml:space="preserve"> </w:t>
      </w:r>
      <w:r>
        <w:t xml:space="preserve">(voice, video, screen-share, for both 1:1 and group conversations) is carried by Chime SDK, which handles the SFU/TURN relay problem that a self-hosted alternative (LiveKit/mediasoup + coturn) would otherwise put on this team’s operational plate. Signalling (who’s in a call, mute state) piggybacks on the same event channel above; only the media stream itself uses Chime’s own transport.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 calls</w:t>
      </w:r>
      <w:r>
        <w:t xml:space="preserve"> </w:t>
      </w:r>
      <w:r>
        <w:t xml:space="preserve">(per the group-chat feature already validated in the prototype) use Chime SDK’s native multi-attendee session model directly — no bespoke fan-out logic needed on our side.</w:t>
      </w:r>
    </w:p>
    <w:p>
      <w:pPr>
        <w:pStyle w:val="FirstParagraph"/>
      </w:pPr>
      <w:r>
        <w:t xml:space="preserve">This design is explicitly</w:t>
      </w:r>
      <w:r>
        <w:t xml:space="preserve"> </w:t>
      </w:r>
      <w:r>
        <w:rPr>
          <w:b/>
          <w:bCs/>
        </w:rPr>
        <w:t xml:space="preserve">not final</w:t>
      </w:r>
      <w:r>
        <w:t xml:space="preserve">: it is what spike 2(c) exists to validate. If Chime SDK cannot meet latency/quality/data-residency requirements in practice, the fallback is a self-hosted SFU inside the same VPC, which changes the operational-cost line in the cost model but not the logical shape of</w:t>
      </w:r>
      <w:r>
        <w:t xml:space="preserve"> </w:t>
      </w:r>
      <w:r>
        <w:t xml:space="preserve">“one backbone, two transports”</w:t>
      </w:r>
      <w:r>
        <w:t xml:space="preserve"> </w:t>
      </w:r>
      <w:r>
        <w:t xml:space="preserve">above.</w:t>
      </w:r>
    </w:p>
    <w:bookmarkEnd w:id="12"/>
    <w:bookmarkStart w:id="13" w:name="a-concrete-request-walkthrough"/>
    <w:p>
      <w:pPr>
        <w:pStyle w:val="Heading2"/>
      </w:pPr>
      <w:r>
        <w:t xml:space="preserve">5. A concrete request walkthrough</w:t>
      </w:r>
    </w:p>
    <w:p>
      <w:pPr>
        <w:pStyle w:val="FirstParagraph"/>
      </w:pPr>
      <w:r>
        <w:t xml:space="preserve">To make the diagram legible to a non-engineer reader, here is what actually happens when an employee asks a RAG a question through the floating widget:</w:t>
      </w:r>
    </w:p>
    <w:p>
      <w:pPr>
        <w:pStyle w:val="Compact"/>
        <w:numPr>
          <w:ilvl w:val="0"/>
          <w:numId w:val="1003"/>
        </w:numPr>
      </w:pPr>
      <w:r>
        <w:t xml:space="preserve">Browser sends</w:t>
      </w:r>
      <w:r>
        <w:t xml:space="preserve"> </w:t>
      </w:r>
      <w:r>
        <w:rPr>
          <w:rStyle w:val="VerbatimChar"/>
        </w:rPr>
        <w:t xml:space="preserve">POST /rags/{id}/ask</w:t>
      </w:r>
      <w:r>
        <w:t xml:space="preserve"> </w:t>
      </w:r>
      <w:r>
        <w:t xml:space="preserve">through CloudFront → WAF → API Gateway → the core API service on Fargate.</w:t>
      </w:r>
    </w:p>
    <w:p>
      <w:pPr>
        <w:pStyle w:val="Compact"/>
        <w:numPr>
          <w:ilvl w:val="0"/>
          <w:numId w:val="1003"/>
        </w:numPr>
      </w:pPr>
      <w:r>
        <w:t xml:space="preserve">The API service authenticates the session (Cognito-issued token, carrying the tenant claim), confirms the RAG assignment and access code, and hands the question to the AI orchestration service.</w:t>
      </w:r>
    </w:p>
    <w:p>
      <w:pPr>
        <w:pStyle w:val="Compact"/>
        <w:numPr>
          <w:ilvl w:val="0"/>
          <w:numId w:val="1003"/>
        </w:numPr>
      </w:pPr>
      <w:r>
        <w:t xml:space="preserve">The orchestration service embeds the question, runs hybrid retrieval against that RAG’s OpenSearch namespace only (ADR-002), re-ranks the top results, and calls Bedrock/Claude (ADR-001) with the re-ranked chunks and a strict grounding instruction.</w:t>
      </w:r>
    </w:p>
    <w:p>
      <w:pPr>
        <w:pStyle w:val="Compact"/>
        <w:numPr>
          <w:ilvl w:val="0"/>
          <w:numId w:val="1003"/>
        </w:numPr>
      </w:pPr>
      <w:r>
        <w:t xml:space="preserve">Claude returns either a grounded answer with citations, or a structured</w:t>
      </w:r>
      <w:r>
        <w:t xml:space="preserve"> </w:t>
      </w:r>
      <w:r>
        <w:t xml:space="preserve">“insufficient grounding”</w:t>
      </w:r>
      <w:r>
        <w:t xml:space="preserve"> </w:t>
      </w:r>
      <w:r>
        <w:t xml:space="preserve">signal.</w:t>
      </w:r>
    </w:p>
    <w:p>
      <w:pPr>
        <w:pStyle w:val="Compact"/>
        <w:numPr>
          <w:ilvl w:val="0"/>
          <w:numId w:val="1003"/>
        </w:numPr>
      </w:pPr>
      <w:r>
        <w:t xml:space="preserve">In parallel, a deterministic keyword scan (independent of the LLM call, per</w:t>
      </w:r>
      <w:r>
        <w:t xml:space="preserve"> </w:t>
      </w:r>
      <w:r>
        <w:rPr>
          <w:rStyle w:val="VerbatimChar"/>
        </w:rPr>
        <w:t xml:space="preserve">rag-architecture.md</w:t>
      </w:r>
      <w:r>
        <w:t xml:space="preserve"> </w:t>
      </w:r>
      <w:r>
        <w:t xml:space="preserve">§6) checks the raw question text against the RAG’s configured alert keywords.</w:t>
      </w:r>
    </w:p>
    <w:p>
      <w:pPr>
        <w:pStyle w:val="Compact"/>
        <w:numPr>
          <w:ilvl w:val="0"/>
          <w:numId w:val="1003"/>
        </w:numPr>
      </w:pPr>
      <w:r>
        <w:t xml:space="preserve">The result (answered / pending / escalated) is written to</w:t>
      </w:r>
      <w:r>
        <w:t xml:space="preserve"> </w:t>
      </w:r>
      <w:r>
        <w:rPr>
          <w:rStyle w:val="VerbatimChar"/>
        </w:rPr>
        <w:t xml:space="preserve">rag_questions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audit_ledger</w:t>
      </w:r>
      <w:r>
        <w:t xml:space="preserve"> </w:t>
      </w:r>
      <w:r>
        <w:t xml:space="preserve">entry is appended (hash-chained, ADR-005), and an event is published on the real-time channel so the organisation’s dashboard and the employee’s widget update without polling.</w:t>
      </w:r>
    </w:p>
    <w:p>
      <w:pPr>
        <w:pStyle w:val="Compact"/>
        <w:numPr>
          <w:ilvl w:val="0"/>
          <w:numId w:val="1003"/>
        </w:numPr>
      </w:pPr>
      <w:r>
        <w:t xml:space="preserve">If a keyword matched, an</w:t>
      </w:r>
      <w:r>
        <w:t xml:space="preserve"> </w:t>
      </w:r>
      <w:r>
        <w:rPr>
          <w:rStyle w:val="VerbatimChar"/>
        </w:rPr>
        <w:t xml:space="preserve">alert_case</w:t>
      </w:r>
      <w:r>
        <w:t xml:space="preserve"> </w:t>
      </w:r>
      <w:r>
        <w:t xml:space="preserve">is created and routed to the assigned alert owner regardless of what the LLM did in step 4 — safety detection does not depend on model behaviour.</w:t>
      </w:r>
    </w:p>
    <w:bookmarkEnd w:id="13"/>
    <w:bookmarkStart w:id="14" w:name="multi-tenant-onboarding-walkthrough"/>
    <w:p>
      <w:pPr>
        <w:pStyle w:val="Heading2"/>
      </w:pPr>
      <w:r>
        <w:t xml:space="preserve">6. Multi-tenant onboarding walkthrough</w:t>
      </w:r>
    </w:p>
    <w:p>
      <w:pPr>
        <w:pStyle w:val="FirstParagraph"/>
      </w:pPr>
      <w:r>
        <w:t xml:space="preserve">When a new organisation signs up: a control-plane</w:t>
      </w:r>
      <w:r>
        <w:t xml:space="preserve"> </w:t>
      </w:r>
      <w:r>
        <w:rPr>
          <w:rStyle w:val="VerbatimChar"/>
        </w:rPr>
        <w:t xml:space="preserve">organisations</w:t>
      </w:r>
      <w:r>
        <w:t xml:space="preserve"> </w:t>
      </w:r>
      <w:r>
        <w:t xml:space="preserve">row is created; Terraform-driven automation (item 11) provisions a new Aurora schema (</w:t>
      </w:r>
      <w:r>
        <w:rPr>
          <w:rStyle w:val="VerbatimChar"/>
        </w:rPr>
        <w:t xml:space="preserve">tenant_&lt;org_id&gt;</w:t>
      </w:r>
      <w:r>
        <w:t xml:space="preserve">) and a new OpenSearch index/collection, and creates the Cognito custom-attribute mapping for that tenant. This must be fully automated from day one — a manual per-tenant setup step does not scale past a handful of clients, and directly determines how cheaply the platform can onboard organisation #50 versus organisation #5.</w:t>
      </w:r>
    </w:p>
    <w:bookmarkEnd w:id="14"/>
    <w:bookmarkStart w:id="15" w:name="ai-services-cost-reduction-discussion"/>
    <w:p>
      <w:pPr>
        <w:pStyle w:val="Heading2"/>
      </w:pPr>
      <w:r>
        <w:t xml:space="preserve">7. AI services — cost-reduction discussion</w:t>
      </w:r>
    </w:p>
    <w:p>
      <w:pPr>
        <w:pStyle w:val="FirstParagraph"/>
      </w:pPr>
      <w:r>
        <w:t xml:space="preserve">This is the specific ask in the brief for milestone 1 item 4 (</w:t>
      </w:r>
      <w:r>
        <w:t xml:space="preserve">“discuss the things like how can we reduce the cost”</w:t>
      </w:r>
      <w:r>
        <w:t xml:space="preserve">) applied to each AI-related service. Dollar figures are modelled separately in</w:t>
      </w:r>
      <w:r>
        <w:t xml:space="preserve"> </w:t>
      </w:r>
      <w:r>
        <w:rPr>
          <w:rStyle w:val="VerbatimChar"/>
        </w:rPr>
        <w:t xml:space="preserve">cost-model.md</w:t>
      </w:r>
      <w:r>
        <w:t xml:space="preserve">; this section is the</w:t>
      </w:r>
      <w:r>
        <w:t xml:space="preserve"> </w:t>
      </w:r>
      <w:r>
        <w:rPr>
          <w:i/>
          <w:iCs/>
        </w:rPr>
        <w:t xml:space="preserve">levers</w:t>
      </w:r>
      <w:r>
        <w:t xml:space="preserve">, not the bill.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Amazon Bedrock (Claude) — model tiering.</w:t>
      </w:r>
      <w:r>
        <w:t xml:space="preserve"> </w:t>
      </w:r>
      <w:r>
        <w:t xml:space="preserve">Not every AI call needs the same model. Grounded answer generation (the evidential, client-facing output) justifies the larger/more capable Claude tier; cheaper, more deterministic tasks — AI-assisted content-placement classification, near-duplicate detection scoring, and any re-ranking-adjacent work — should run on a smaller, materially cheaper Claude tier. This alone is typically the single biggest lever on the AI bill, because classification/placement calls likely outnumber actual question-answering calls once organisations are actively uploading content.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 caching.</w:t>
      </w:r>
      <w:r>
        <w:t xml:space="preserve"> </w:t>
      </w:r>
      <w:r>
        <w:t xml:space="preserve">Bedrock/Claude supports prompt caching for repeated system-prompt and retrieved-context content within a session — since the grounding instruction and retrieved chunks for a given RAG session are often reused across a short exchange, caching avoids paying full input-token price on every turn.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 once, not on every question.</w:t>
      </w:r>
      <w:r>
        <w:t xml:space="preserve"> </w:t>
      </w:r>
      <w:r>
        <w:t xml:space="preserve">Chunk embeddings are computed at ingestion time and stored (ADR-002); a question only costs one embedding call, not a re-embedding of the RAG’s content. Combined with the version-aware chunking design in</w:t>
      </w:r>
      <w:r>
        <w:t xml:space="preserve"> </w:t>
      </w:r>
      <w:r>
        <w:rPr>
          <w:rStyle w:val="VerbatimChar"/>
        </w:rPr>
        <w:t xml:space="preserve">rag-architecture.md</w:t>
      </w:r>
      <w:r>
        <w:t xml:space="preserve"> </w:t>
      </w:r>
      <w:r>
        <w:t xml:space="preserve">§2, unchanged content is never re-embedded on document update — only the new version’s changed sections 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Bounded re-ranking.</w:t>
      </w:r>
      <w:r>
        <w:t xml:space="preserve"> </w:t>
      </w:r>
      <w:r>
        <w:t xml:space="preserve">The re-ranking stage only processes a fixed top-N (e.g. 20) of the hybrid retrieval results, not the full candidate set, keeping that call small and cheap by construction.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Batch/async inference for non-interactive work.</w:t>
      </w:r>
      <w:r>
        <w:t xml:space="preserve"> </w:t>
      </w:r>
      <w:r>
        <w:t xml:space="preserve">Anything that doesn’t need a live user waiting (nightly re-indexing, bulk re-embedding after a pipeline change) should use Bedrock’s batch inference pricing tier rather than the real-time endpoint, where the two differ materially in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 only when needed.</w:t>
      </w:r>
      <w:r>
        <w:t xml:space="preserve"> </w:t>
      </w:r>
      <w:r>
        <w:t xml:space="preserve">Text extraction (</w:t>
      </w:r>
      <w:r>
        <w:rPr>
          <w:rStyle w:val="VerbatimChar"/>
        </w:rPr>
        <w:t xml:space="preserve">rag-architecture.md</w:t>
      </w:r>
      <w:r>
        <w:t xml:space="preserve"> </w:t>
      </w:r>
      <w:r>
        <w:t xml:space="preserve">§1) attempts direct extraction first and only falls back to OCR for image-only content — OCR is the more expensive path and most uploaded policy/procedure documents won’t need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Fargate Spot for ingestion workers.</w:t>
      </w:r>
      <w:r>
        <w:t xml:space="preserve"> </w:t>
      </w:r>
      <w:r>
        <w:t xml:space="preserve">The async ingestion queue (SQS-driven, not latency-sensitive to the end user) is a good fit for Fargate Spot pricing, which is materially cheaper than on-demand for interruptible batch-style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OpenSearch sizing matched to actual tenant volume.</w:t>
      </w:r>
      <w:r>
        <w:t xml:space="preserve"> </w:t>
      </w:r>
      <w:r>
        <w:t xml:space="preserve">Per-tenant index isolation (ADR-002) should not mean per-tenant over-provisioning — OpenSearch Serverless is worth evaluating for small/low-volume tenants versus a shared provisioned cluster for larger ones, with the crossover point quantified once real usage data exists (see</w:t>
      </w:r>
      <w:r>
        <w:t xml:space="preserve"> </w:t>
      </w:r>
      <w:r>
        <w:rPr>
          <w:rStyle w:val="VerbatimChar"/>
        </w:rPr>
        <w:t xml:space="preserve">cost-model.md</w:t>
      </w:r>
      <w:r>
        <w:t xml:space="preserve"> </w:t>
      </w:r>
      <w:r>
        <w:t xml:space="preserve">§5).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Per-tenant usage observability and soft caps.</w:t>
      </w:r>
      <w:r>
        <w:t xml:space="preserve"> </w:t>
      </w:r>
      <w:r>
        <w:t xml:space="preserve">CloudWatch-based token/cost metrics broken out per tenant (§3 above) mean a single organisation’s runaway usage is visible before it becomes a bill surprise, and a soft quota can throttle or flag it — this is an operational safety net as much as a cost control.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Chime SDK billed only for active media time.</w:t>
      </w:r>
      <w:r>
        <w:t xml:space="preserve"> </w:t>
      </w:r>
      <w:r>
        <w:t xml:space="preserve">Unlike a self-hosted SFU (which has a baseline running cost whether or not anyone is in a call), Chime SDK’s per-attendee-minute billing means idle periods cost nothing — relevant given calls/screen-share are expected to be an occasional feature, not constant usage.</w:t>
      </w:r>
    </w:p>
    <w:bookmarkEnd w:id="15"/>
    <w:bookmarkStart w:id="16" w:name="open-items-this-document-surfaces"/>
    <w:p>
      <w:pPr>
        <w:pStyle w:val="Heading2"/>
      </w:pPr>
      <w:r>
        <w:t xml:space="preserve">8. Open items this document surfaces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ADR yet for identity &amp; access management.</w:t>
      </w:r>
      <w:r>
        <w:t xml:space="preserve"> </w:t>
      </w:r>
      <w:r>
        <w:t xml:space="preserve">Recommend</w:t>
      </w:r>
      <w:r>
        <w:t xml:space="preserve"> </w:t>
      </w:r>
      <w:r>
        <w:rPr>
          <w:b/>
          <w:bCs/>
        </w:rPr>
        <w:t xml:space="preserve">ADR-006: Identity &amp; Access Management</w:t>
      </w:r>
      <w:r>
        <w:t xml:space="preserve">, proposing Amazon Cognito with a shared User Pool + tenant custom attribute, before this architecture can be treated as complete.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Bedrock and Chime SDK regional confirmation</w:t>
      </w:r>
      <w:r>
        <w:t xml:space="preserve"> </w:t>
      </w:r>
      <w:r>
        <w:t xml:space="preserve">— both ADR-001 and ADR-004 already flag this; it is repeated here because it is the single fact most likely to force a design change (fallback to a non-AWS LLM provider or a self-hosted media stack) if it doesn’t resolve favourably.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Terraform/IaC scope (item 11)</w:t>
      </w:r>
      <w:r>
        <w:t xml:space="preserve"> </w:t>
      </w:r>
      <w:r>
        <w:t xml:space="preserve">is described here at the service level but not yet started as actual code — the prototype’s own repository has no relationship to this design.</w:t>
      </w:r>
    </w:p>
    <w:bookmarkEnd w:id="16"/>
    <w:bookmarkStart w:id="17" w:name="what-would-change-this-document"/>
    <w:p>
      <w:pPr>
        <w:pStyle w:val="Heading2"/>
      </w:pPr>
      <w:r>
        <w:t xml:space="preserve">9. What would change this document</w:t>
      </w:r>
    </w:p>
    <w:p>
      <w:pPr>
        <w:pStyle w:val="Compact"/>
        <w:numPr>
          <w:ilvl w:val="0"/>
          <w:numId w:val="1006"/>
        </w:numPr>
      </w:pPr>
      <w:r>
        <w:t xml:space="preserve">Spike 2(a) or 2(c) results change ADR-001 or ADR-004’s recommendation.</w:t>
      </w:r>
    </w:p>
    <w:p>
      <w:pPr>
        <w:pStyle w:val="Compact"/>
        <w:numPr>
          <w:ilvl w:val="0"/>
          <w:numId w:val="1006"/>
        </w:numPr>
      </w:pPr>
      <w:r>
        <w:t xml:space="preserve">Confirmed client scale (organisations at launch and at 12 months) changes the OpenSearch/Aurora sizing assumptions in §3 materially enough to justify a different tenant-isolation cost profile.</w:t>
      </w:r>
    </w:p>
    <w:p>
      <w:pPr>
        <w:pStyle w:val="Compact"/>
        <w:numPr>
          <w:ilvl w:val="0"/>
          <w:numId w:val="1006"/>
        </w:numPr>
      </w:pPr>
      <w:r>
        <w:t xml:space="preserve">ADR-005’s blockchain-wording conversation with the client changes the audit-ledger technology.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Solution Architecture and AWS Design</dc:title>
  <dc:creator/>
  <cp:keywords/>
  <dcterms:created xsi:type="dcterms:W3CDTF">2026-08-10T09:36:24Z</dcterms:created>
  <dcterms:modified xsi:type="dcterms:W3CDTF">2026-08-10T09:36:24Z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