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AI / RAG Architecture</w:t>
      </w:r>
    </w:p>
    <w:bookmarkStart w:id="18" w:name="X50aff675a0ca23e90929d1a3c2755d234183117"/>
    <w:p>
      <w:pPr>
        <w:pStyle w:val="Heading1"/>
      </w:pPr>
      <w:r>
        <w:t xml:space="preserve">AI / RAG Architecture End-to-End (Milestone 1, item 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PROPOSAL - describes the intended pipeline shape. Every stage below must be validated against Milestone 1 item 2(a) (the grounding spike on real client documents) before being treated as final; item 7 (the evaluation strategy) tests this pipeline, it doesn’t design it.</w:t>
      </w:r>
    </w:p>
    <w:p>
      <w:pPr>
        <w:pStyle w:val="BodyText"/>
      </w:pPr>
      <w:r>
        <w:t xml:space="preserve">This is the technical design behind behaviour already validated at the product/UX level in the prototype: a RAG only answers from its own approved content, cites what it used, and escalates to a human (as a keyword-flagged alert or a plain pending question) rather than guessing.</w:t>
      </w:r>
    </w:p>
    <w:bookmarkStart w:id="9" w:name="pipeline-overview"/>
    <w:p>
      <w:pPr>
        <w:pStyle w:val="Heading2"/>
      </w:pP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 Upload            Ingestion              Index                Query-time</w:t>
      </w:r>
      <w:r>
        <w:br/>
      </w:r>
      <w:r>
        <w:rPr>
          <w:rStyle w:val="VerbatimChar"/>
        </w:rPr>
        <w:t xml:space="preserve"> ──────            ─────────              ─────                ──────────</w:t>
      </w:r>
      <w:r>
        <w:br/>
      </w:r>
      <w:r>
        <w:rPr>
          <w:rStyle w:val="VerbatimChar"/>
        </w:rPr>
        <w:t xml:space="preserve"> organisation  ─▶  validate &amp; extract ─▶  chunk &amp; embed  ─▶    hybrid retrieve</w:t>
      </w:r>
      <w:r>
        <w:br/>
      </w:r>
      <w:r>
        <w:rPr>
          <w:rStyle w:val="VerbatimChar"/>
        </w:rPr>
        <w:t xml:space="preserve"> drops a file      text (per file type)   write to per-tenant   (BM25 + kNN)</w:t>
      </w:r>
      <w:r>
        <w:br/>
      </w:r>
      <w:r>
        <w:rPr>
          <w:rStyle w:val="VerbatimChar"/>
        </w:rPr>
        <w:t xml:space="preserve">                    │                     OpenSearch index      │</w:t>
      </w:r>
      <w:r>
        <w:br/>
      </w:r>
      <w:r>
        <w:rPr>
          <w:rStyle w:val="VerbatimChar"/>
        </w:rPr>
        <w:t xml:space="preserve">                    ▼                     (ADR-002)             ▼</w:t>
      </w:r>
      <w:r>
        <w:br/>
      </w:r>
      <w:r>
        <w:rPr>
          <w:rStyle w:val="VerbatimChar"/>
        </w:rPr>
        <w:t xml:space="preserve">             AI content-placement                          re-rank top-N</w:t>
      </w:r>
      <w:r>
        <w:br/>
      </w:r>
      <w:r>
        <w:rPr>
          <w:rStyle w:val="VerbatimChar"/>
        </w:rPr>
        <w:t xml:space="preserve">             classification (which                              │</w:t>
      </w:r>
      <w:r>
        <w:br/>
      </w:r>
      <w:r>
        <w:rPr>
          <w:rStyle w:val="VerbatimChar"/>
        </w:rPr>
        <w:t xml:space="preserve">             RAG / section this                                 ▼</w:t>
      </w:r>
      <w:r>
        <w:br/>
      </w:r>
      <w:r>
        <w:rPr>
          <w:rStyle w:val="VerbatimChar"/>
        </w:rPr>
        <w:t xml:space="preserve">             belongs to, dedupe                          grounded answer</w:t>
      </w:r>
      <w:r>
        <w:br/>
      </w:r>
      <w:r>
        <w:rPr>
          <w:rStyle w:val="VerbatimChar"/>
        </w:rPr>
        <w:t xml:space="preserve">             check)                                      generation (ADR-001)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                           ▼                         ▼</w:t>
      </w:r>
      <w:r>
        <w:br/>
      </w:r>
      <w:r>
        <w:rPr>
          <w:rStyle w:val="VerbatimChar"/>
        </w:rPr>
        <w:t xml:space="preserve">                                            sufficient grounding      insufficient grounding</w:t>
      </w:r>
      <w:r>
        <w:br/>
      </w:r>
      <w:r>
        <w:rPr>
          <w:rStyle w:val="VerbatimChar"/>
        </w:rPr>
        <w:t xml:space="preserve">                                            → answer + citations      → refuse + escalate</w:t>
      </w:r>
      <w:r>
        <w:br/>
      </w:r>
      <w:r>
        <w:rPr>
          <w:rStyle w:val="VerbatimChar"/>
        </w:rPr>
        <w:t xml:space="preserve">                                                                       (pending question /</w:t>
      </w:r>
      <w:r>
        <w:br/>
      </w:r>
      <w:r>
        <w:rPr>
          <w:rStyle w:val="VerbatimChar"/>
        </w:rPr>
        <w:t xml:space="preserve">                                                                        alert case if a</w:t>
      </w:r>
      <w:r>
        <w:br/>
      </w:r>
      <w:r>
        <w:rPr>
          <w:rStyle w:val="VerbatimChar"/>
        </w:rPr>
        <w:t xml:space="preserve">                                                                        keyword matched)</w:t>
      </w:r>
    </w:p>
    <w:bookmarkEnd w:id="9"/>
    <w:bookmarkStart w:id="10" w:name="ingestion"/>
    <w:p>
      <w:pPr>
        <w:pStyle w:val="Heading2"/>
      </w:pPr>
      <w:r>
        <w:t xml:space="preserve">1. Ingestion</w:t>
      </w:r>
    </w:p>
    <w:p>
      <w:pPr>
        <w:pStyle w:val="Compact"/>
        <w:numPr>
          <w:ilvl w:val="0"/>
          <w:numId w:val="1001"/>
        </w:numPr>
      </w:pPr>
      <w:r>
        <w:t xml:space="preserve">Upload lands in S3 (per-tenant prefix), triggers an async ingestion job (not inline with the HTTP request - large PDFs must not block the UI).</w:t>
      </w:r>
    </w:p>
    <w:p>
      <w:pPr>
        <w:pStyle w:val="Compact"/>
        <w:numPr>
          <w:ilvl w:val="0"/>
          <w:numId w:val="1001"/>
        </w:numPr>
      </w:pPr>
      <w:r>
        <w:t xml:space="preserve">File-type validation and text extraction (PDF, DOCX, images via OCR where needed, plain text). Extraction failures surface back to the organisation as a clear error, not a silent drop.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AI-assisted content placement</w:t>
      </w:r>
      <w:r>
        <w:t xml:space="preserve"> </w:t>
      </w:r>
      <w:r>
        <w:t xml:space="preserve">(the PRD’s</w:t>
      </w:r>
      <w:r>
        <w:t xml:space="preserve"> </w:t>
      </w:r>
      <w:r>
        <w:t xml:space="preserve">“AI automatically organises content into the correct places”</w:t>
      </w:r>
      <w:r>
        <w:t xml:space="preserve"> </w:t>
      </w:r>
      <w:r>
        <w:t xml:space="preserve">requirement): when a document is dropped without an explicit RAG target, or when it’s ambiguous which section/category within a RAG it belongs to, an LLM classification call proposes a placement, which the organisation can accept or override in the UI - this keeps a human in the loop rather than silently auto-filing.</w:t>
      </w:r>
    </w:p>
    <w:p>
      <w:pPr>
        <w:pStyle w:val="Compact"/>
        <w:numPr>
          <w:ilvl w:val="0"/>
          <w:numId w:val="1001"/>
        </w:numPr>
      </w:pPr>
      <w:r>
        <w:t xml:space="preserve">Near-duplicate detection against existing documents in the same RAG (hash + embedding-similarity check) to flag likely re-uploads before they’re chunked twice.</w:t>
      </w:r>
    </w:p>
    <w:bookmarkEnd w:id="10"/>
    <w:bookmarkStart w:id="11" w:name="chunking-embedding"/>
    <w:p>
      <w:pPr>
        <w:pStyle w:val="Heading2"/>
      </w:pPr>
      <w:r>
        <w:t xml:space="preserve">2. Chunking &amp; embedding</w:t>
      </w:r>
    </w:p>
    <w:p>
      <w:pPr>
        <w:pStyle w:val="Compact"/>
        <w:numPr>
          <w:ilvl w:val="0"/>
          <w:numId w:val="1002"/>
        </w:numPr>
      </w:pPr>
      <w:r>
        <w:t xml:space="preserve">Semantic chunking (paragraph/heading-aware, not fixed-character-count) with overlap, tuned per document type - policy documents chunk differently to spreadsheets or flowcharts.</w:t>
      </w:r>
    </w:p>
    <w:p>
      <w:pPr>
        <w:pStyle w:val="Compact"/>
        <w:numPr>
          <w:ilvl w:val="0"/>
          <w:numId w:val="1002"/>
        </w:numPr>
      </w:pPr>
      <w:r>
        <w:t xml:space="preserve">Each chunk is embedded and written to the RAG’s per-tenant OpenSearch index (ADR-002), carrying metadata: source document ID,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(ADR-005 depends on this), section/page, uploader, timestamp.</w:t>
      </w:r>
    </w:p>
    <w:p>
      <w:pPr>
        <w:pStyle w:val="Compact"/>
        <w:numPr>
          <w:ilvl w:val="0"/>
          <w:numId w:val="1002"/>
        </w:numPr>
      </w:pPr>
      <w:r>
        <w:t xml:space="preserve">On document update, new chunks are written under the new version; old-version chunks are retained (not deleted) so the audit ledger can reconstruct what was true at any point in time, per the brief’s own versioning requirement.</w:t>
      </w:r>
    </w:p>
    <w:bookmarkEnd w:id="11"/>
    <w:bookmarkStart w:id="12" w:name="retrieval"/>
    <w:p>
      <w:pPr>
        <w:pStyle w:val="Heading2"/>
      </w:pPr>
      <w:r>
        <w:t xml:space="preserve">3. Retrieval</w:t>
      </w:r>
    </w:p>
    <w:p>
      <w:pPr>
        <w:pStyle w:val="Compact"/>
        <w:numPr>
          <w:ilvl w:val="0"/>
          <w:numId w:val="1003"/>
        </w:numPr>
      </w:pPr>
      <w:r>
        <w:t xml:space="preserve">Hybrid retrieval: BM25 keyword search + kNN vector search over the same per-tenant index, combined via reciprocal rank fusion - this is why OpenSearch was chosen in ADR-002 rather than a vector-only store.</w:t>
      </w:r>
    </w:p>
    <w:p>
      <w:pPr>
        <w:pStyle w:val="Compact"/>
        <w:numPr>
          <w:ilvl w:val="0"/>
          <w:numId w:val="1003"/>
        </w:numPr>
      </w:pPr>
      <w:r>
        <w:t xml:space="preserve">Retrieval is always scoped to exactly one RAG’s namespace. There is no cross-RAG or cross-tenant retrieval path, by construction, not by query-time filtering alone.</w:t>
      </w:r>
    </w:p>
    <w:bookmarkEnd w:id="12"/>
    <w:bookmarkStart w:id="13" w:name="re-ranking"/>
    <w:p>
      <w:pPr>
        <w:pStyle w:val="Heading2"/>
      </w:pPr>
      <w:r>
        <w:t xml:space="preserve">4. Re-ranking</w:t>
      </w:r>
    </w:p>
    <w:p>
      <w:pPr>
        <w:pStyle w:val="Compact"/>
        <w:numPr>
          <w:ilvl w:val="0"/>
          <w:numId w:val="1004"/>
        </w:numPr>
      </w:pPr>
      <w:r>
        <w:t xml:space="preserve">Top-N hybrid results pass through a cross-encoder re-ranking step (a small, separate model call) before being handed to the generation stage - this is the piece OpenSearch doesn’t provide natively and needs its own service.</w:t>
      </w:r>
    </w:p>
    <w:bookmarkEnd w:id="13"/>
    <w:bookmarkStart w:id="14" w:name="grounding-citation-and-refusal"/>
    <w:p>
      <w:pPr>
        <w:pStyle w:val="Heading2"/>
      </w:pPr>
      <w:r>
        <w:t xml:space="preserve">5. Grounding, citation, and refusal</w:t>
      </w:r>
    </w:p>
    <w:p>
      <w:pPr>
        <w:pStyle w:val="Compact"/>
        <w:numPr>
          <w:ilvl w:val="0"/>
          <w:numId w:val="1005"/>
        </w:numPr>
      </w:pPr>
      <w:r>
        <w:t xml:space="preserve">The generation call (ADR-001) is constrained to the re-ranked chunks only, with an explicit instruction to answer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from the provided content, cite which chunk(s)/source document(s) it used, and return a structured</w:t>
      </w:r>
      <w:r>
        <w:t xml:space="preserve"> </w:t>
      </w:r>
      <w:r>
        <w:t xml:space="preserve">“insufficient grounding”</w:t>
      </w:r>
      <w:r>
        <w:t xml:space="preserve"> </w:t>
      </w:r>
      <w:r>
        <w:t xml:space="preserve">signal rather than free-text hedging when the retrieved content doesn’t cover the question.</w:t>
      </w:r>
    </w:p>
    <w:p>
      <w:pPr>
        <w:pStyle w:val="Compact"/>
        <w:numPr>
          <w:ilvl w:val="0"/>
          <w:numId w:val="1005"/>
        </w:numPr>
      </w:pPr>
      <w:r>
        <w:t xml:space="preserve">The refusal signal is a first-class, machine-readable output (not inferred by parsing the answer text), so the escalation path in step 6 is deterministic.</w:t>
      </w:r>
    </w:p>
    <w:bookmarkEnd w:id="14"/>
    <w:bookmarkStart w:id="15" w:name="escalation-keyword-alerting"/>
    <w:p>
      <w:pPr>
        <w:pStyle w:val="Heading2"/>
      </w:pPr>
      <w:r>
        <w:t xml:space="preserve">6. Escalation &amp; keyword alerting</w:t>
      </w:r>
    </w:p>
    <w:p>
      <w:pPr>
        <w:pStyle w:val="Compact"/>
        <w:numPr>
          <w:ilvl w:val="0"/>
          <w:numId w:val="1006"/>
        </w:numPr>
      </w:pPr>
      <w:r>
        <w:t xml:space="preserve">On refusal (or retrieval confidence below a set threshold), the question is recorded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surfaced to the organisation - already validated in the prototype’s dashboard.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Keyword-triggered alerts run independently of the LLM path.</w:t>
      </w:r>
      <w:r>
        <w:t xml:space="preserve"> </w:t>
      </w:r>
      <w:r>
        <w:t xml:space="preserve">A deterministic keyword/regex scan against the raw incoming question text (against the RAG’s configured</w:t>
      </w:r>
      <w:r>
        <w:t xml:space="preserve"> </w:t>
      </w:r>
      <w:r>
        <w:rPr>
          <w:rStyle w:val="VerbatimChar"/>
        </w:rPr>
        <w:t xml:space="preserve">alert_keywords</w:t>
      </w:r>
      <w:r>
        <w:t xml:space="preserve">) decides whether this becomes an</w:t>
      </w:r>
      <w:r>
        <w:t xml:space="preserve"> </w:t>
      </w:r>
      <w:r>
        <w:rPr>
          <w:rStyle w:val="VerbatimChar"/>
        </w:rPr>
        <w:t xml:space="preserve">alert_case</w:t>
      </w:r>
      <w:r>
        <w:t xml:space="preserve"> </w:t>
      </w:r>
      <w:r>
        <w:t xml:space="preserve">routed to the assigned alert owner, regardless of whether the LLM would have grounded an answer. Safety-critical detection must not depend on model behaviour - this mirrors exactly what the prototype demonstrates functionally today.</w:t>
      </w:r>
    </w:p>
    <w:p>
      <w:pPr>
        <w:pStyle w:val="Compact"/>
        <w:numPr>
          <w:ilvl w:val="0"/>
          <w:numId w:val="1006"/>
        </w:numPr>
      </w:pPr>
      <w:r>
        <w:t xml:space="preserve">Both paths (plain escalation and keyword alert) write to the audit ledger (ADR-005).</w:t>
      </w:r>
    </w:p>
    <w:bookmarkEnd w:id="15"/>
    <w:bookmarkStart w:id="16" w:name="organisation-side-research-using-ai"/>
    <w:p>
      <w:pPr>
        <w:pStyle w:val="Heading2"/>
      </w:pPr>
      <w:r>
        <w:t xml:space="preserve">7. Organisation-side</w:t>
      </w:r>
      <w:r>
        <w:t xml:space="preserve"> </w:t>
      </w:r>
      <w:r>
        <w:t xml:space="preserve">“research using AI”</w:t>
      </w:r>
    </w:p>
    <w:p>
      <w:pPr>
        <w:pStyle w:val="Compact"/>
        <w:numPr>
          <w:ilvl w:val="0"/>
          <w:numId w:val="1007"/>
        </w:numPr>
      </w:pPr>
      <w:r>
        <w:t xml:space="preserve">A separate, lower-stakes flow: the organisation asks the LLM (with general web/knowledge access, not RAG-scoped) to help find material to add to a RAG. Output here is a</w:t>
      </w:r>
      <w:r>
        <w:t xml:space="preserve"> </w:t>
      </w:r>
      <w:r>
        <w:rPr>
          <w:i/>
          <w:iCs/>
        </w:rPr>
        <w:t xml:space="preserve">drafting aid</w:t>
      </w:r>
      <w:r>
        <w:t xml:space="preserve">, explicitly not grounded or audit-ledgered the same way - the UI must not let this be confused with a RAG’s own grounded answers.</w:t>
      </w:r>
    </w:p>
    <w:bookmarkEnd w:id="16"/>
    <w:bookmarkStart w:id="17" w:name="evaluation-hook-item-7"/>
    <w:p>
      <w:pPr>
        <w:pStyle w:val="Heading2"/>
      </w:pPr>
      <w:r>
        <w:t xml:space="preserve">Evaluation hook (item 7)</w:t>
      </w:r>
    </w:p>
    <w:p>
      <w:pPr>
        <w:pStyle w:val="FirstParagraph"/>
      </w:pPr>
      <w:r>
        <w:t xml:space="preserve">Every stage above needs to be swappable/mockable independently so the evaluation harness (item 7: grounding/hallucination testing, citation-accuracy measurement, refusal red-teaming) can exercise the pipeline stage-by-stage, not just end-to-end. Recommend designing the retrieval and generation stages as separately-callable services from day one for exactly this reason.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AI / RAG Architecture</dc:title>
  <dc:creator/>
  <cp:keywords/>
  <dcterms:created xsi:type="dcterms:W3CDTF">2026-08-10T09:36:25Z</dcterms:created>
  <dcterms:modified xsi:type="dcterms:W3CDTF">2026-08-10T09:36:25Z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