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- API Specification</w:t>
      </w:r>
    </w:p>
    <w:bookmarkStart w:id="18" w:name="api-specification-milestone-1-item-10"/>
    <w:p>
      <w:pPr>
        <w:pStyle w:val="Heading1"/>
      </w:pPr>
      <w:r>
        <w:t xml:space="preserve">API Specification (Milestone 1, item 10)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v0.1 - resource and endpoint shape only. Request/response schemas need to be finalised against the schema in</w:t>
      </w:r>
      <w:r>
        <w:t xml:space="preserve"> </w:t>
      </w:r>
      <w:r>
        <w:rPr>
          <w:rStyle w:val="VerbatimChar"/>
        </w:rPr>
        <w:t xml:space="preserve">multi-tenant-schema.md</w:t>
      </w:r>
      <w:r>
        <w:t xml:space="preserve"> </w:t>
      </w:r>
      <w:r>
        <w:t xml:space="preserve">once ADR-002/003 are accepted. A machine-readable skeleton is at</w:t>
      </w:r>
      <w:r>
        <w:t xml:space="preserve"> </w:t>
      </w:r>
      <w:r>
        <w:rPr>
          <w:rStyle w:val="VerbatimChar"/>
        </w:rPr>
        <w:t xml:space="preserve">api-spec.openapi.yaml</w:t>
      </w:r>
      <w:r>
        <w:t xml:space="preserve">.</w:t>
      </w:r>
    </w:p>
    <w:p>
      <w:pPr>
        <w:pStyle w:val="BodyText"/>
      </w:pPr>
      <w:r>
        <w:t xml:space="preserve">The prototype has no API today by design - it proves the UX over client-side mock state. This spec derives its resources directly from what that UX requires, which is the fastest honest path to a real spec: the screens already tell us what the API needs to serve.</w:t>
      </w:r>
    </w:p>
    <w:bookmarkStart w:id="9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- email/password (+ 2FA challenge if enabled), returns a session token scoped to exactly one tenant schema (or the control plane, for SafeIQ Internal accounts).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/auth/signup</w:t>
      </w:r>
      <w:r>
        <w:t xml:space="preserve"> </w:t>
      </w:r>
      <w:r>
        <w:t xml:space="preserve">- organisation or employee sign-up, including the KYC step.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/auth/invites/{token}/accept</w:t>
      </w:r>
      <w:r>
        <w:t xml:space="preserve"> </w:t>
      </w:r>
      <w:r>
        <w:t xml:space="preserve">- magic-link invite acceptance, creates a team member in the inviting organisation’s tenant.</w:t>
      </w:r>
    </w:p>
    <w:p>
      <w:pPr>
        <w:pStyle w:val="Compact"/>
        <w:numPr>
          <w:ilvl w:val="0"/>
          <w:numId w:val="1001"/>
        </w:numPr>
      </w:pPr>
      <w:r>
        <w:t xml:space="preserve">All other endpoints below require an authenticated session and are implicitly scoped to that session’s tenant schema - there is no tenant-ID parameter on any endpoint, because cross-tenant access is architecturally impossible except via the separate SafeIQ Internal endpoints.</w:t>
      </w:r>
    </w:p>
    <w:bookmarkEnd w:id="9"/>
    <w:bookmarkStart w:id="10" w:name="team"/>
    <w:p>
      <w:pPr>
        <w:pStyle w:val="Heading2"/>
      </w:pPr>
      <w:r>
        <w:t xml:space="preserve">Team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/team</w:t>
      </w:r>
      <w:r>
        <w:t xml:space="preserve"> </w:t>
      </w:r>
      <w:r>
        <w:t xml:space="preserve">- list team members (Administrator/Super Admin only).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PATCH /team/{userId}/role</w:t>
      </w:r>
      <w:r>
        <w:t xml:space="preserve"> </w:t>
      </w:r>
      <w:r>
        <w:t xml:space="preserve">- change a team member’s role.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/team/invites</w:t>
      </w:r>
      <w:r>
        <w:t xml:space="preserve"> </w:t>
      </w:r>
      <w:r>
        <w:t xml:space="preserve">- send (or generate an open) magic-link invite.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/team/invites/{id}/resend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/team/invites/{id}/cancel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/team/{userId}</w:t>
      </w:r>
      <w:r>
        <w:t xml:space="preserve"> </w:t>
      </w:r>
      <w:r>
        <w:t xml:space="preserve">- profile, assigned RAGs, notes, flagged alert cases.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/team/{userId}/notes</w:t>
      </w:r>
    </w:p>
    <w:bookmarkEnd w:id="10"/>
    <w:bookmarkStart w:id="11" w:name="rag"/>
    <w:p>
      <w:pPr>
        <w:pStyle w:val="Heading2"/>
      </w:pPr>
      <w:r>
        <w:t xml:space="preserve">RAG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/rags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/rags</w:t>
      </w:r>
      <w:r>
        <w:t xml:space="preserve"> </w:t>
      </w:r>
      <w:r>
        <w:t xml:space="preserve">- list / create.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/rags/{id}</w:t>
      </w:r>
      <w:r>
        <w:t xml:space="preserve"> </w:t>
      </w:r>
      <w:r>
        <w:t xml:space="preserve">- detail (documents, assigned users, keyword config).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/rags/{id}/documents</w:t>
      </w:r>
      <w:r>
        <w:t xml:space="preserve"> </w:t>
      </w:r>
      <w:r>
        <w:t xml:space="preserve">- upload (kicks off the ingestion pipeline in</w:t>
      </w:r>
      <w:r>
        <w:t xml:space="preserve"> </w:t>
      </w:r>
      <w:r>
        <w:rPr>
          <w:rStyle w:val="VerbatimChar"/>
        </w:rPr>
        <w:t xml:space="preserve">rag-architecture.md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/rags/{id}/documents/{docId}/versions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/rags/{id}/assignments</w:t>
      </w:r>
      <w:r>
        <w:t xml:space="preserve"> </w:t>
      </w:r>
      <w:r>
        <w:t xml:space="preserve">- assign a user, incl. </w:t>
      </w:r>
      <w:r>
        <w:rPr>
          <w:rStyle w:val="VerbatimChar"/>
        </w:rPr>
        <w:t xml:space="preserve">alertOwnerId</w:t>
      </w:r>
      <w:r>
        <w:t xml:space="preserve">; returns the generated access code.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/rags/{id}/keywords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/rags/{id}/keywords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/rags/{id}/keywords/{id}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/rags/{id}/questions?status=&amp;user=&amp;from=&amp;to=&amp;q=</w:t>
      </w:r>
      <w:r>
        <w:t xml:space="preserve"> </w:t>
      </w:r>
      <w:r>
        <w:t xml:space="preserve">- the filtered conversation audit.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/rags/{id}/questions/{id}/answer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/rags/{id}/ask</w:t>
      </w:r>
      <w:r>
        <w:t xml:space="preserve"> </w:t>
      </w:r>
      <w:r>
        <w:t xml:space="preserve">- the end-user-facing</w:t>
      </w:r>
      <w:r>
        <w:t xml:space="preserve"> </w:t>
      </w:r>
      <w:r>
        <w:t xml:space="preserve">“ask this RAG”</w:t>
      </w:r>
      <w:r>
        <w:t xml:space="preserve"> </w:t>
      </w:r>
      <w:r>
        <w:t xml:space="preserve">call used by the floating agent; returns either a grounded answer + citations, or an escalation/alert-case result per</w:t>
      </w:r>
      <w:r>
        <w:t xml:space="preserve"> </w:t>
      </w:r>
      <w:r>
        <w:rPr>
          <w:rStyle w:val="VerbatimChar"/>
        </w:rPr>
        <w:t xml:space="preserve">rag-architecture.md</w:t>
      </w:r>
      <w:r>
        <w:t xml:space="preserve">.</w:t>
      </w:r>
    </w:p>
    <w:bookmarkEnd w:id="11"/>
    <w:bookmarkStart w:id="12" w:name="alerts"/>
    <w:p>
      <w:pPr>
        <w:pStyle w:val="Heading2"/>
      </w:pPr>
      <w:r>
        <w:t xml:space="preserve">Alerts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/alert-cases?owner=me&amp;status=open</w:t>
      </w:r>
      <w:r>
        <w:t xml:space="preserve"> </w:t>
      </w:r>
      <w:r>
        <w:t xml:space="preserve">- used by both the employee</w:t>
      </w:r>
      <w:r>
        <w:t xml:space="preserve"> </w:t>
      </w:r>
      <w:r>
        <w:t xml:space="preserve">“Alerts”</w:t>
      </w:r>
      <w:r>
        <w:t xml:space="preserve"> </w:t>
      </w:r>
      <w:r>
        <w:t xml:space="preserve">view and the SafeIQ Internal cross-tenant view (the internal endpoint is separate, see below).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/alert-cases/{id}/messages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/alert-cases/{id}/close</w:t>
      </w:r>
    </w:p>
    <w:bookmarkEnd w:id="12"/>
    <w:bookmarkStart w:id="13" w:name="dashboard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/dashboard/summary</w:t>
      </w:r>
      <w:r>
        <w:t xml:space="preserve"> </w:t>
      </w:r>
      <w:r>
        <w:t xml:space="preserve">- team member count, active RAG count, open alert count (the three org-dashboard tiles).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/dashboard/questions?...</w:t>
      </w:r>
      <w:r>
        <w:t xml:space="preserve"> </w:t>
      </w:r>
      <w:r>
        <w:t xml:space="preserve">- same filter shape as the per-RAG endpoint, unscoped to one RAG.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/dashboard/logins?person=&amp;from=&amp;to=</w:t>
      </w:r>
    </w:p>
    <w:bookmarkEnd w:id="13"/>
    <w:bookmarkStart w:id="14" w:name="calendar"/>
    <w:p>
      <w:pPr>
        <w:pStyle w:val="Heading2"/>
      </w:pPr>
      <w:r>
        <w:t xml:space="preserve">Calendar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/bookings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/bookings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/integrations/google-calendar/connect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/integrations/google-calendar</w:t>
      </w:r>
      <w:r>
        <w:t xml:space="preserve"> </w:t>
      </w:r>
      <w:r>
        <w:t xml:space="preserve">- OAuth connect/disconnect; on connect, bookings sync both ways via the Google Calendar API.</w:t>
      </w:r>
    </w:p>
    <w:bookmarkEnd w:id="14"/>
    <w:bookmarkStart w:id="15" w:name="onboarding"/>
    <w:p>
      <w:pPr>
        <w:pStyle w:val="Heading2"/>
      </w:pPr>
      <w:r>
        <w:t xml:space="preserve">Onboarding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/onboarding/videos?audience=&amp;q=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/onboarding/videos</w:t>
      </w:r>
      <w:r>
        <w:t xml:space="preserve"> </w:t>
      </w:r>
      <w:r>
        <w:t xml:space="preserve">(Administrator/Super Admin)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/onboarding/videos/{id}/share</w:t>
      </w:r>
    </w:p>
    <w:bookmarkEnd w:id="15"/>
    <w:bookmarkStart w:id="16" w:name="X3d5e75d70e772343dfb0ffbaacaaef998a1fe14"/>
    <w:p>
      <w:pPr>
        <w:pStyle w:val="Heading2"/>
      </w:pPr>
      <w:r>
        <w:t xml:space="preserve">SafeIQ Internal (control-plane scope, not tenant-scoped)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/internal/organisations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/internal/rags</w:t>
      </w:r>
      <w:r>
        <w:t xml:space="preserve"> </w:t>
      </w:r>
      <w:r>
        <w:t xml:space="preserve">- across every organisation.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/internal/alert-cases</w:t>
      </w:r>
      <w:r>
        <w:t xml:space="preserve"> </w:t>
      </w:r>
      <w:r>
        <w:t xml:space="preserve">- across every organisation, with the same reply/close actions as the tenant-scoped endpoint above.</w:t>
      </w:r>
    </w:p>
    <w:bookmarkEnd w:id="16"/>
    <w:bookmarkStart w:id="17" w:name="real-time"/>
    <w:p>
      <w:pPr>
        <w:pStyle w:val="Heading2"/>
      </w:pPr>
      <w:r>
        <w:t xml:space="preserve">Real-time</w:t>
      </w:r>
    </w:p>
    <w:p>
      <w:pPr>
        <w:pStyle w:val="FirstParagraph"/>
      </w:pPr>
      <w:r>
        <w:t xml:space="preserve">Per ADR-004: a WebSocket/AppSync channel (</w:t>
      </w:r>
      <w:r>
        <w:rPr>
          <w:rStyle w:val="VerbatimChar"/>
        </w:rPr>
        <w:t xml:space="preserve">/realtime</w:t>
      </w:r>
      <w:r>
        <w:t xml:space="preserve">) pushes</w:t>
      </w:r>
      <w:r>
        <w:t xml:space="preserve"> </w:t>
      </w:r>
      <w:r>
        <w:rPr>
          <w:rStyle w:val="VerbatimChar"/>
        </w:rPr>
        <w:t xml:space="preserve">question.created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question.answered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alert.opened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alert.message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alert.closed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booking.created</w:t>
      </w:r>
      <w:r>
        <w:t xml:space="preserve"> </w:t>
      </w:r>
      <w:r>
        <w:t xml:space="preserve">events to subscribed clients - this is what backs the dashboard’s</w:t>
      </w:r>
      <w:r>
        <w:t xml:space="preserve"> </w:t>
      </w:r>
      <w:r>
        <w:t xml:space="preserve">“live questions”</w:t>
      </w:r>
      <w:r>
        <w:t xml:space="preserve"> </w:t>
      </w:r>
      <w:r>
        <w:t xml:space="preserve">panel and the floating widget’s badges without polling. Voice/video/screen-share signalling is a separate channel per the chosen media platform’s SDK (Chime SDK in the current ADR-004 proposal), not multiplexed through this same socket.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- API Specification</dc:title>
  <dc:creator/>
  <cp:keywords/>
  <dcterms:created xsi:type="dcterms:W3CDTF">2026-08-10T09:36:25Z</dcterms:created>
  <dcterms:modified xsi:type="dcterms:W3CDTF">2026-08-10T09:36:25Z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