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SafeIQ - Security and Compliance Design</w:t>
      </w:r>
    </w:p>
    <w:bookmarkStart w:id="15" w:name="Xaa6ba093b7a710b2ad72a5ede3c8eb20b6ecde4"/>
    <w:p>
      <w:pPr>
        <w:pStyle w:val="Heading1"/>
      </w:pPr>
      <w:r>
        <w:t xml:space="preserve">Security &amp; Compliance Design (Milestone 1, item 8)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PROPOSAL. The GDPR-erasure/audit-ledger resolution below should be reviewed by legal counsel before sign-off, given its evidential purpose. The safety-feature section flags items that need legal review before any phase-1 commitment.</w:t>
      </w:r>
    </w:p>
    <w:bookmarkStart w:id="9" w:name="data-residency-encryption"/>
    <w:p>
      <w:pPr>
        <w:pStyle w:val="Heading2"/>
      </w:pPr>
      <w:r>
        <w:t xml:space="preserve">1. Data residency &amp; encryption</w:t>
      </w:r>
    </w:p>
    <w:p>
      <w:pPr>
        <w:pStyle w:val="Compact"/>
        <w:numPr>
          <w:ilvl w:val="0"/>
          <w:numId w:val="1001"/>
        </w:numPr>
      </w:pPr>
      <w:r>
        <w:t xml:space="preserve">Primary hosting: AWS London (eu-west-2), per the brief’s</w:t>
      </w:r>
      <w:r>
        <w:t xml:space="preserve"> </w:t>
      </w:r>
      <w:r>
        <w:t xml:space="preserve">“Data kept in UK for mvp - AWS.”</w:t>
      </w:r>
    </w:p>
    <w:p>
      <w:pPr>
        <w:pStyle w:val="Compact"/>
        <w:numPr>
          <w:ilvl w:val="0"/>
          <w:numId w:val="1001"/>
        </w:numPr>
      </w:pPr>
      <w:r>
        <w:t xml:space="preserve">Any managed service that cannot be confirmed as London-hosted (see ADR-001’s Bedrock-region question and ADR-004’s Chime SDK question) is an open item that must be resolved, not assumed, before this section can be signed off.</w:t>
      </w:r>
    </w:p>
    <w:p>
      <w:pPr>
        <w:pStyle w:val="Compact"/>
        <w:numPr>
          <w:ilvl w:val="0"/>
          <w:numId w:val="1001"/>
        </w:numPr>
      </w:pPr>
      <w:r>
        <w:t xml:space="preserve">Encryption at rest via KMS-managed keys for S3, RDS/Aurora, and OpenSearch; TLS 1.2+ for all data in transit. This satisfies the brief’s</w:t>
      </w:r>
      <w:r>
        <w:t xml:space="preserve"> </w:t>
      </w:r>
      <w:r>
        <w:t xml:space="preserve">“all data encrypted so if leaks can’t be read.”</w:t>
      </w:r>
    </w:p>
    <w:bookmarkEnd w:id="9"/>
    <w:bookmarkStart w:id="10" w:name="tenant-isolation"/>
    <w:p>
      <w:pPr>
        <w:pStyle w:val="Heading2"/>
      </w:pPr>
      <w:r>
        <w:t xml:space="preserve">2. Tenant isolation</w:t>
      </w:r>
    </w:p>
    <w:p>
      <w:pPr>
        <w:pStyle w:val="FirstParagraph"/>
      </w:pPr>
      <w:r>
        <w:t xml:space="preserve">See ADR-003. Schema-per-tenant relational isolation plus per-tenant vector-store namespace isolation (ADR-002). No query path may span tenant schemas except the control-plane registry itself.</w:t>
      </w:r>
    </w:p>
    <w:bookmarkEnd w:id="10"/>
    <w:bookmarkStart w:id="11" w:name="gdpr-erasure-vs.-immutable-audit-trail"/>
    <w:p>
      <w:pPr>
        <w:pStyle w:val="Heading2"/>
      </w:pPr>
      <w:r>
        <w:t xml:space="preserve">3. GDPR erasure vs. immutable audit trail</w:t>
      </w:r>
    </w:p>
    <w:p>
      <w:pPr>
        <w:pStyle w:val="FirstParagraph"/>
      </w:pPr>
      <w:r>
        <w:t xml:space="preserve">This is the specific conflict item 8 calls out, and ADR-005 proposes the resolution:</w:t>
      </w:r>
    </w:p>
    <w:p>
      <w:pPr>
        <w:pStyle w:val="Compact"/>
        <w:numPr>
          <w:ilvl w:val="0"/>
          <w:numId w:val="1002"/>
        </w:numPr>
      </w:pPr>
      <w:r>
        <w:t xml:space="preserve">The audit ledger (</w:t>
      </w:r>
      <w:r>
        <w:rPr>
          <w:rStyle w:val="VerbatimChar"/>
        </w:rPr>
        <w:t xml:space="preserve">audit_ledger</w:t>
      </w:r>
      <w:r>
        <w:t xml:space="preserve"> </w:t>
      </w:r>
      <w:r>
        <w:t xml:space="preserve">table, see</w:t>
      </w:r>
      <w:r>
        <w:t xml:space="preserve"> </w:t>
      </w:r>
      <w:r>
        <w:rPr>
          <w:rStyle w:val="VerbatimChar"/>
        </w:rPr>
        <w:t xml:space="preserve">multi-tenant-schema.md</w:t>
      </w:r>
      <w:r>
        <w:t xml:space="preserve">) never stores personal data or document content directly - only a hash, version number, timestamp, event type, and owner reference.</w:t>
      </w:r>
    </w:p>
    <w:p>
      <w:pPr>
        <w:pStyle w:val="Compact"/>
        <w:numPr>
          <w:ilvl w:val="0"/>
          <w:numId w:val="1002"/>
        </w:numPr>
      </w:pPr>
      <w:r>
        <w:t xml:space="preserve">The actual content that could be personal data (documents, chat messages, question text) lives in ordinary, erasable storage (S3, Postgres tables), referenced from the ledger by hash.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 a verified GDPR erasure request:</w:t>
      </w:r>
      <w:r>
        <w:t xml:space="preserve"> </w:t>
      </w:r>
      <w:r>
        <w:t xml:space="preserve">the referenced content is deleted or irreversibly anonymised in its normal storage location. The ledger entry remains, unchanged - it continues to prove that</w:t>
      </w:r>
      <w:r>
        <w:t xml:space="preserve"> </w:t>
      </w:r>
      <w:r>
        <w:rPr>
          <w:i/>
          <w:iCs/>
        </w:rPr>
        <w:t xml:space="preserve">an event of a given type occurred, at a given time, involving a given (now-erased) subject</w:t>
      </w:r>
      <w:r>
        <w:t xml:space="preserve"> </w:t>
      </w:r>
      <w:r>
        <w:t xml:space="preserve">without retaining readable personal data. The entry_hash chain (ADR-005) is unaffected because it never depended on the erasable content itself, only its hash.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Flag for legal review, not just engineering sign-off:</w:t>
      </w:r>
      <w:r>
        <w:t xml:space="preserve"> </w:t>
      </w:r>
      <w:r>
        <w:t xml:space="preserve">confirm this construction actually satisfies the organisation’s evidential need (</w:t>
      </w:r>
      <w:r>
        <w:t xml:space="preserve">“prove the employee was given correct advice”</w:t>
      </w:r>
      <w:r>
        <w:t xml:space="preserve">)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an erasure has occurred - i.e. can a hash-referenced, now-deleted document still support that claim in practice, or does the organisation need a retention-vs-erasure carve-out (e.g. a lawful-basis</w:t>
      </w:r>
      <w:r>
        <w:t xml:space="preserve"> </w:t>
      </w:r>
      <w:r>
        <w:t xml:space="preserve">“legitimate interest / legal claims”</w:t>
      </w:r>
      <w:r>
        <w:t xml:space="preserve"> </w:t>
      </w:r>
      <w:r>
        <w:t xml:space="preserve">retention period) negotiated with data subjects up front. This is a legal question, not a database design question, and should not be assumed away.</w:t>
      </w:r>
    </w:p>
    <w:bookmarkEnd w:id="11"/>
    <w:bookmarkStart w:id="12" w:name="authentication-access-control"/>
    <w:p>
      <w:pPr>
        <w:pStyle w:val="Heading2"/>
      </w:pPr>
      <w:r>
        <w:t xml:space="preserve">4. Authentication &amp; access control</w:t>
      </w:r>
    </w:p>
    <w:p>
      <w:pPr>
        <w:pStyle w:val="Compact"/>
        <w:numPr>
          <w:ilvl w:val="0"/>
          <w:numId w:val="1003"/>
        </w:numPr>
      </w:pPr>
      <w:r>
        <w:t xml:space="preserve">Standard KYC at sign-up for both Organisation and Employee accounts, per the brief.</w:t>
      </w:r>
    </w:p>
    <w:p>
      <w:pPr>
        <w:pStyle w:val="Compact"/>
        <w:numPr>
          <w:ilvl w:val="0"/>
          <w:numId w:val="1003"/>
        </w:numPr>
      </w:pPr>
      <w:r>
        <w:t xml:space="preserve">Two-factor authentication and IP allow-listing, per-account opt-in (already validated at the UX level in the prototype).</w:t>
      </w:r>
    </w:p>
    <w:p>
      <w:pPr>
        <w:pStyle w:val="Compact"/>
        <w:numPr>
          <w:ilvl w:val="0"/>
          <w:numId w:val="1003"/>
        </w:numPr>
      </w:pPr>
      <w:r>
        <w:t xml:space="preserve">Role hierarchy, as clarified with the client: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Super Admin</w:t>
      </w:r>
      <w:r>
        <w:t xml:space="preserve"> </w:t>
      </w:r>
      <w:r>
        <w:t xml:space="preserve">- the organisation’s original sign-up account; full control.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Administrator</w:t>
      </w:r>
      <w:r>
        <w:t xml:space="preserve"> </w:t>
      </w:r>
      <w:r>
        <w:t xml:space="preserve">- a promoted team member with full org-console access (create/allocate RAGs, invite people, promote others).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Manager / Support</w:t>
      </w:r>
      <w:r>
        <w:t xml:space="preserve"> </w:t>
      </w:r>
      <w:r>
        <w:t xml:space="preserve">- team members eligible to be assigned as an alert owner; no distinct capability beyond that has been defined yet (flagged as an open item in the requirements addendum).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Employee</w:t>
      </w:r>
      <w:r>
        <w:t xml:space="preserve"> </w:t>
      </w:r>
      <w:r>
        <w:t xml:space="preserve">- base team-member access: their own assigned RAGs, their own alerts, the floating agent.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SafeIQ Internal</w:t>
      </w:r>
      <w:r>
        <w:t xml:space="preserve"> </w:t>
      </w:r>
      <w:r>
        <w:t xml:space="preserve">- a control-plane-level account (not a tenant role) with cross-tenant read access to RAGs and alert cases, for platform support. Its own access must be logged to a control-plane audit trail, separate from any tenant’s ledger, since it touches multiple tenants.</w:t>
      </w:r>
    </w:p>
    <w:p>
      <w:pPr>
        <w:pStyle w:val="Compact"/>
        <w:numPr>
          <w:ilvl w:val="0"/>
          <w:numId w:val="1003"/>
        </w:numPr>
      </w:pPr>
      <w:r>
        <w:t xml:space="preserve">All administrative actions (role changes, RAG creation, document changes, alert-case closure) write an audit-ledger entry with the acting user’s ID.</w:t>
      </w:r>
    </w:p>
    <w:bookmarkEnd w:id="12"/>
    <w:bookmarkStart w:id="13" w:name="regulatory-posture"/>
    <w:p>
      <w:pPr>
        <w:pStyle w:val="Heading2"/>
      </w:pPr>
      <w:r>
        <w:t xml:space="preserve">5. Regulatory posture</w:t>
      </w:r>
    </w:p>
    <w:p>
      <w:pPr>
        <w:pStyle w:val="Compact"/>
        <w:numPr>
          <w:ilvl w:val="0"/>
          <w:numId w:val="1005"/>
        </w:numPr>
      </w:pPr>
      <w:r>
        <w:t xml:space="preserve">UK GDPR and the Data Protection Act 2018 apply; AWS London hosting supports but does not by itself satisfy this - a DPIA (Data Protection Impact Assessment) is very likely required given the nature of the data.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Special-category data flag:</w:t>
      </w:r>
      <w:r>
        <w:t xml:space="preserve"> </w:t>
      </w:r>
      <w:r>
        <w:t xml:space="preserve">safeguarding disclosures and health-adjacent content (e.g. </w:t>
      </w:r>
      <w:r>
        <w:t xml:space="preserve">“Client Care Plans”</w:t>
      </w:r>
      <w:r>
        <w:t xml:space="preserve">) are highly likely to constitute special-category data under UK GDPR Article 9. This raises the compliance bar materially (explicit conditions for processing, stricter access controls, breach-notification implications) and should be confirmed with legal counsel and reflected in the DPIA before launch - this is not resolved by the technical design above.</w:t>
      </w:r>
    </w:p>
    <w:bookmarkEnd w:id="13"/>
    <w:bookmarkStart w:id="14" w:name="Xb53320c36cf6f3ef2fd5fd8c08e26bf88a08321"/>
    <w:p>
      <w:pPr>
        <w:pStyle w:val="Heading2"/>
      </w:pPr>
      <w:r>
        <w:t xml:space="preserve">6. Safety-feature legal exposure (cross-reference: Milestone 1 items 2(d) and 12)</w:t>
      </w:r>
    </w:p>
    <w:p>
      <w:pPr>
        <w:pStyle w:val="FirstParagraph"/>
      </w:pPr>
      <w:r>
        <w:t xml:space="preserve">The lock-screen audio recording feature and the</w:t>
      </w:r>
      <w:r>
        <w:t xml:space="preserve"> </w:t>
      </w:r>
      <w:r>
        <w:t xml:space="preserve">“sound an alert and notify police”</w:t>
      </w:r>
      <w:r>
        <w:t xml:space="preserve"> </w:t>
      </w:r>
      <w:r>
        <w:t xml:space="preserve">siren feature (both demonstrated as clearly-labelled UI simulations in the prototype, deliberately not wired to anything real) carry genuine legal exposure that a technical design alone cannot resolve:</w:t>
      </w:r>
    </w:p>
    <w:p>
      <w:pPr>
        <w:pStyle w:val="Compact"/>
        <w:numPr>
          <w:ilvl w:val="0"/>
          <w:numId w:val="1006"/>
        </w:numPr>
      </w:pPr>
      <w:r>
        <w:t xml:space="preserve">Recording consent/wiretap-style rules vary by jurisdiction and can apply even to an employer-provided device.</w:t>
      </w:r>
    </w:p>
    <w:p>
      <w:pPr>
        <w:pStyle w:val="Compact"/>
        <w:numPr>
          <w:ilvl w:val="0"/>
          <w:numId w:val="1006"/>
        </w:numPr>
      </w:pPr>
      <w:r>
        <w:t xml:space="preserve">Any feature that purports to contact emergency services needs to be built (if at all) in a way that cannot create false confidence - a</w:t>
      </w:r>
      <w:r>
        <w:t xml:space="preserve"> </w:t>
      </w:r>
      <w:r>
        <w:t xml:space="preserve">“police have been notified”</w:t>
      </w:r>
      <w:r>
        <w:t xml:space="preserve"> </w:t>
      </w:r>
      <w:r>
        <w:t xml:space="preserve">message must be backed by something that actually works, every time, or it must not exist.</w:t>
      </w:r>
    </w:p>
    <w:p>
      <w:pPr>
        <w:pStyle w:val="Compact"/>
        <w:numPr>
          <w:ilvl w:val="0"/>
          <w:numId w:val="1006"/>
        </w:numPr>
      </w:pPr>
      <w:r>
        <w:t xml:space="preserve">iOS platform constraints on background audio/screen recording, and App Store policy risk, need dedicated legal and platform-engineering review (item 2(d)) before any commitment.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treat this whole feature set as phase-2, gated behind its own legal review and technical spike, consistent with item 12’s own suggested MVP/phase-2 split. Do not include it in the phase-1 fixed-price scope.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SafeIQ - Security and Compliance Design</dc:title>
  <dc:creator/>
  <cp:keywords/>
  <dcterms:created xsi:type="dcterms:W3CDTF">2026-08-10T09:36:25Z</dcterms:created>
  <dcterms:modified xsi:type="dcterms:W3CDTF">2026-08-10T09:36:25Z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