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SafeIQ - Architecture Decision Records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46fc0fb444cc601839d5ad65c1468bb04962e8f"/>
    <w:p>
      <w:pPr>
        <w:pStyle w:val="Heading1"/>
      </w:pPr>
      <w:r>
        <w:t xml:space="preserve">Architecture Decision Records (Milestone 1, item 3)</w:t>
      </w:r>
    </w:p>
    <w:p>
      <w:pPr>
        <w:pStyle w:val="FirstParagraph"/>
      </w:pPr>
      <w:r>
        <w:t xml:space="preserve">Five irreversible technical choices, each documented as a separate decision record below: LLM provider, vector database, tenant-isolation model, real-time stack, and audit-ledger technology.</w:t>
      </w:r>
    </w:p>
    <w:p>
      <w:pPr>
        <w:pStyle w:val="BodyText"/>
      </w:pPr>
      <w:r>
        <w:rPr>
          <w:b/>
          <w:bCs/>
        </w:rPr>
        <w:t xml:space="preserve">Every record in this document is</w:t>
      </w:r>
      <w:r>
        <w:rPr>
          <w:b/>
          <w:bCs/>
        </w:rPr>
        <w:t xml:space="preserve"> </w:t>
      </w:r>
      <w:r>
        <w:rPr>
          <w:rStyle w:val="VerbatimChar"/>
          <w:b/>
          <w:bCs/>
        </w:rPr>
        <w:t xml:space="preserve">PROPOSED</w:t>
      </w:r>
      <w:r>
        <w:rPr>
          <w:b/>
          <w:bCs/>
        </w:rPr>
        <w:t xml:space="preserve">, not</w:t>
      </w:r>
      <w:r>
        <w:rPr>
          <w:b/>
          <w:bCs/>
        </w:rPr>
        <w:t xml:space="preserve"> </w:t>
      </w:r>
      <w:r>
        <w:rPr>
          <w:rStyle w:val="VerbatimChar"/>
          <w:b/>
          <w:bCs/>
        </w:rPr>
        <w:t xml:space="preserve">ACCEPTED</w:t>
      </w:r>
      <w:r>
        <w:rPr>
          <w:b/>
          <w:bCs/>
        </w:rPr>
        <w:t xml:space="preserve">.</w:t>
      </w:r>
      <w:r>
        <w:t xml:space="preserve"> </w:t>
      </w:r>
      <w:r>
        <w:t xml:space="preserve">Each states explicitly what would need to be true - a spike result, a cost figure, an explicit client decision - before it can move to accepted. Nothing here should be read as a committed technical decision yet.</w:t>
      </w:r>
    </w:p>
    <w:bookmarkEnd w:id="9"/>
    <w:bookmarkStart w:id="15" w:name="adr-001-llm-provider"/>
    <w:p>
      <w:pPr>
        <w:pStyle w:val="Heading1"/>
      </w:pPr>
      <w:r>
        <w:t xml:space="preserve">ADR-001: LLM Provider</w:t>
      </w:r>
    </w:p>
    <w:p>
      <w:pPr>
        <w:pStyle w:val="FirstParagraph"/>
      </w:pPr>
      <w:r>
        <w:rPr>
          <w:b/>
          <w:bCs/>
        </w:rPr>
        <w:t xml:space="preserve">Status:</w:t>
      </w:r>
      <w:r>
        <w:t xml:space="preserve"> </w:t>
      </w:r>
      <w:r>
        <w:t xml:space="preserve">PROPOSED - not ready to accept. Blocked on Milestone 1 item 2(a), the RAG grounding spike against real client documents.</w:t>
      </w:r>
    </w:p>
    <w:bookmarkStart w:id="10" w:name="context"/>
    <w:p>
      <w:pPr>
        <w:pStyle w:val="Heading2"/>
      </w:pPr>
      <w:r>
        <w:t xml:space="preserve">Context</w:t>
      </w:r>
    </w:p>
    <w:p>
      <w:pPr>
        <w:pStyle w:val="FirstParagraph"/>
      </w:pPr>
      <w:r>
        <w:t xml:space="preserve">The platform needs an LLM for three distinct jobs:</w:t>
      </w:r>
    </w:p>
    <w:p>
      <w:pPr>
        <w:pStyle w:val="Compact"/>
        <w:numPr>
          <w:ilvl w:val="0"/>
          <w:numId w:val="1001"/>
        </w:numPr>
      </w:pPr>
      <w:r>
        <w:t xml:space="preserve">Generating RAG answers that are strictly grounded in an organisation’s approved documents, with source citation, and a hard refusal/escalation path when the approved content doesn’t cover the question (this is the behaviour the audit trail’s evidential value depends on - see item 7 and the security design in</w:t>
      </w:r>
      <w:r>
        <w:t xml:space="preserve"> </w:t>
      </w:r>
      <w:r>
        <w:rPr>
          <w:rStyle w:val="VerbatimChar"/>
        </w:rPr>
        <w:t xml:space="preserve">security-compliance-design.md</w:t>
      </w:r>
      <w:r>
        <w:t xml:space="preserve">).</w:t>
      </w:r>
    </w:p>
    <w:p>
      <w:pPr>
        <w:pStyle w:val="Compact"/>
        <w:numPr>
          <w:ilvl w:val="0"/>
          <w:numId w:val="1001"/>
        </w:numPr>
      </w:pPr>
      <w:r>
        <w:t xml:space="preserve">The</w:t>
      </w:r>
      <w:r>
        <w:t xml:space="preserve"> </w:t>
      </w:r>
      <w:r>
        <w:t xml:space="preserve">“AI-assisted content placement”</w:t>
      </w:r>
      <w:r>
        <w:t xml:space="preserve"> </w:t>
      </w:r>
      <w:r>
        <w:t xml:space="preserve">the PRD requires - classifying and filing dropped-in documents into the right place inside a RAG with minimal manual work.</w:t>
      </w:r>
    </w:p>
    <w:p>
      <w:pPr>
        <w:pStyle w:val="Compact"/>
        <w:numPr>
          <w:ilvl w:val="0"/>
          <w:numId w:val="1001"/>
        </w:numPr>
      </w:pPr>
      <w:r>
        <w:t xml:space="preserve">The organisation-facing</w:t>
      </w:r>
      <w:r>
        <w:t xml:space="preserve"> </w:t>
      </w:r>
      <w:r>
        <w:t xml:space="preserve">“research using AI”</w:t>
      </w:r>
      <w:r>
        <w:t xml:space="preserve"> </w:t>
      </w:r>
      <w:r>
        <w:t xml:space="preserve">feature, used to find more material to add to a RAG.</w:t>
      </w:r>
    </w:p>
    <w:p>
      <w:pPr>
        <w:pStyle w:val="FirstParagraph"/>
      </w:pPr>
      <w:r>
        <w:t xml:space="preserve">Constraints that shape this decision:</w:t>
      </w:r>
    </w:p>
    <w:p>
      <w:pPr>
        <w:pStyle w:val="Compact"/>
        <w:numPr>
          <w:ilvl w:val="0"/>
          <w:numId w:val="1002"/>
        </w:numPr>
      </w:pPr>
      <w:r>
        <w:t xml:space="preserve">Data is contractually UK-only for MVP, hosted on AWS in London (see brief:</w:t>
      </w:r>
      <w:r>
        <w:t xml:space="preserve"> </w:t>
      </w:r>
      <w:r>
        <w:t xml:space="preserve">“Data kept in UK for mvp - AWS”</w:t>
      </w:r>
      <w:r>
        <w:t xml:space="preserve">). The chosen provider’s regional hosting and data-handling terms must support this without a bespoke DPA negotiation delaying delivery.</w:t>
      </w:r>
    </w:p>
    <w:p>
      <w:pPr>
        <w:pStyle w:val="Compact"/>
        <w:numPr>
          <w:ilvl w:val="0"/>
          <w:numId w:val="1002"/>
        </w:numPr>
      </w:pPr>
      <w:r>
        <w:t xml:space="preserve">No use of customer content for provider-side model training.</w:t>
      </w:r>
    </w:p>
    <w:p>
      <w:pPr>
        <w:pStyle w:val="Compact"/>
        <w:numPr>
          <w:ilvl w:val="0"/>
          <w:numId w:val="1002"/>
        </w:numPr>
      </w:pPr>
      <w:r>
        <w:t xml:space="preserve">Strong instruction-following for</w:t>
      </w:r>
      <w:r>
        <w:t xml:space="preserve"> </w:t>
      </w:r>
      <w:r>
        <w:rPr>
          <w:b/>
          <w:bCs/>
        </w:rPr>
        <w:t xml:space="preserve">refusal</w:t>
      </w:r>
      <w:r>
        <w:t xml:space="preserve"> </w:t>
      </w:r>
      <w:r>
        <w:t xml:space="preserve">behaviour - the model must reliably decline to answer rather than hallucinate when retrieval coverage is weak. This is a harder requirement than typical chatbot use cases.</w:t>
      </w:r>
    </w:p>
    <w:p>
      <w:pPr>
        <w:pStyle w:val="Compact"/>
        <w:numPr>
          <w:ilvl w:val="0"/>
          <w:numId w:val="1002"/>
        </w:numPr>
      </w:pPr>
      <w:r>
        <w:t xml:space="preserve">Structured output / tool-calling support, to return citations and a machine-readable</w:t>
      </w:r>
      <w:r>
        <w:t xml:space="preserve"> </w:t>
      </w:r>
      <w:r>
        <w:t xml:space="preserve">“insufficient grounding”</w:t>
      </w:r>
      <w:r>
        <w:t xml:space="preserve"> </w:t>
      </w:r>
      <w:r>
        <w:t xml:space="preserve">signal rather than relying on prompt-parsing.</w:t>
      </w:r>
    </w:p>
    <w:p>
      <w:pPr>
        <w:pStyle w:val="Compact"/>
        <w:numPr>
          <w:ilvl w:val="0"/>
          <w:numId w:val="1002"/>
        </w:numPr>
      </w:pPr>
      <w:r>
        <w:t xml:space="preserve">Predictable per-token pricing, since the running-cost model (item 9) needs a defensible per-question cost figure.</w:t>
      </w:r>
    </w:p>
    <w:bookmarkEnd w:id="10"/>
    <w:bookmarkStart w:id="11" w:name="options-considered"/>
    <w:p>
      <w:pPr>
        <w:pStyle w:val="Heading2"/>
      </w:pPr>
      <w:r>
        <w:t xml:space="preserve">Options considered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Pros</w:t>
            </w:r>
          </w:p>
        </w:tc>
        <w:tc>
          <w:tcPr/>
          <w:p>
            <w:pPr>
              <w:pStyle w:val="Compact"/>
            </w:pPr>
            <w:r>
              <w:t xml:space="preserve">Cons</w:t>
            </w:r>
          </w:p>
        </w:tc>
      </w:tr>
      <w:tr>
        <w:tc>
          <w:tcPr/>
          <w:p>
            <w:pPr>
              <w:pStyle w:val="Compact"/>
            </w:pPr>
            <w:r>
              <w:rPr>
                <w:b/>
                <w:bCs/>
              </w:rPr>
              <w:t xml:space="preserve">Anthropic Claude via AWS Bedrock</w:t>
            </w:r>
          </w:p>
        </w:tc>
        <w:tc>
          <w:tcPr/>
          <w:p>
            <w:pPr>
              <w:pStyle w:val="Compact"/>
            </w:pPr>
            <w:r>
              <w:t xml:space="preserve">Single-vendor story alongside the AWS-native architecture; Bedrock offers contractual no-training and regional data-handling commitments; Claude’s instruction-following is well-suited to strict grounding/refusal prompting</w:t>
            </w:r>
          </w:p>
        </w:tc>
        <w:tc>
          <w:tcPr/>
          <w:p>
            <w:pPr>
              <w:pStyle w:val="Compact"/>
            </w:pPr>
            <w:r>
              <w:t xml:space="preserve">Need to confirm Bedrock’s Claude model availability in London specifically vs. nearest EU region (Ireland/Frankfurt) - open question</w:t>
            </w:r>
          </w:p>
        </w:tc>
      </w:tr>
      <w:tr>
        <w:tc>
          <w:tcPr/>
          <w:p>
            <w:pPr>
              <w:pStyle w:val="Compact"/>
            </w:pPr>
            <w:r>
              <w:rPr>
                <w:b/>
                <w:bCs/>
              </w:rPr>
              <w:t xml:space="preserve">OpenAI (Azure OpenAI or direct API)</w:t>
            </w:r>
          </w:p>
        </w:tc>
        <w:tc>
          <w:tcPr/>
          <w:p>
            <w:pPr>
              <w:pStyle w:val="Compact"/>
            </w:pPr>
            <w:r>
              <w:t xml:space="preserve">Widely adopted, mature function-calling/structured-output support</w:t>
            </w:r>
          </w:p>
        </w:tc>
        <w:tc>
          <w:tcPr/>
          <w:p>
            <w:pPr>
              <w:pStyle w:val="Compact"/>
            </w:pPr>
            <w:r>
              <w:t xml:space="preserve">Direct OpenAI API is US-hosted by default; Azure OpenAI can offer EU regions but adds a second cloud vendor relationship alongside AWS</w:t>
            </w:r>
          </w:p>
        </w:tc>
      </w:tr>
      <w:tr>
        <w:tc>
          <w:tcPr/>
          <w:p>
            <w:pPr>
              <w:pStyle w:val="Compact"/>
            </w:pPr>
            <w:r>
              <w:rPr>
                <w:b/>
                <w:bCs/>
              </w:rPr>
              <w:t xml:space="preserve">Self-hosted open-source (Llama, Mistral) on SageMaker</w:t>
            </w:r>
          </w:p>
        </w:tc>
        <w:tc>
          <w:tcPr/>
          <w:p>
            <w:pPr>
              <w:pStyle w:val="Compact"/>
            </w:pPr>
            <w:r>
              <w:t xml:space="preserve">Full data control, no per-token vendor lock-in</w:t>
            </w:r>
          </w:p>
        </w:tc>
        <w:tc>
          <w:tcPr/>
          <w:p>
            <w:pPr>
              <w:pStyle w:val="Compact"/>
            </w:pPr>
            <w:r>
              <w:t xml:space="preserve">Materially higher engineering/ops burden to reach the same refusal reliability; higher delivery risk inside a fixed-price project</w:t>
            </w:r>
          </w:p>
        </w:tc>
      </w:tr>
    </w:tbl>
    <w:bookmarkEnd w:id="11"/>
    <w:bookmarkStart w:id="12" w:name="recommendation"/>
    <w:p>
      <w:pPr>
        <w:pStyle w:val="Heading2"/>
      </w:pPr>
      <w:r>
        <w:t xml:space="preserve">Recommendation</w:t>
      </w:r>
    </w:p>
    <w:p>
      <w:pPr>
        <w:pStyle w:val="FirstParagraph"/>
      </w:pPr>
      <w:r>
        <w:t xml:space="preserve">Anthropic Claude via AWS Bedrock, in whichever EU region Bedrock supports closest to London (confirm exact region as part of the spike). Keeps a single cloud vendor relationship, fits the AWS-native London design, and Claude’s grounding/refusal instruction-following is a good match for the evidential requirement the whole audit trail depends on.</w:t>
      </w:r>
    </w:p>
    <w:bookmarkEnd w:id="12"/>
    <w:bookmarkStart w:id="13" w:name="consequences"/>
    <w:p>
      <w:pPr>
        <w:pStyle w:val="Heading2"/>
      </w:pPr>
      <w:r>
        <w:t xml:space="preserve">Consequences</w:t>
      </w:r>
    </w:p>
    <w:p>
      <w:pPr>
        <w:pStyle w:val="Compact"/>
        <w:numPr>
          <w:ilvl w:val="0"/>
          <w:numId w:val="1003"/>
        </w:numPr>
      </w:pPr>
      <w:r>
        <w:t xml:space="preserve">Model/provider choice should sit behind an internal abstraction (a thin</w:t>
      </w:r>
      <w:r>
        <w:t xml:space="preserve"> </w:t>
      </w:r>
      <w:r>
        <w:t xml:space="preserve">“answer generation”</w:t>
      </w:r>
      <w:r>
        <w:t xml:space="preserve"> </w:t>
      </w:r>
      <w:r>
        <w:t xml:space="preserve">service interface) so swapping providers later is a code-level change, not an architecture rewrite - this keeps the decision</w:t>
      </w:r>
      <w:r>
        <w:t xml:space="preserve"> </w:t>
      </w:r>
      <w:r>
        <w:t xml:space="preserve">“irreversible”</w:t>
      </w:r>
      <w:r>
        <w:t xml:space="preserve"> </w:t>
      </w:r>
      <w:r>
        <w:t xml:space="preserve">only at the vendor-contract level, not the codebase level.</w:t>
      </w:r>
    </w:p>
    <w:p>
      <w:pPr>
        <w:pStyle w:val="Compact"/>
        <w:numPr>
          <w:ilvl w:val="0"/>
          <w:numId w:val="1003"/>
        </w:numPr>
      </w:pPr>
      <w:r>
        <w:t xml:space="preserve">Embedding model choice (for the RAG pipeline, see</w:t>
      </w:r>
      <w:r>
        <w:t xml:space="preserve"> </w:t>
      </w:r>
      <w:r>
        <w:rPr>
          <w:rStyle w:val="VerbatimChar"/>
        </w:rPr>
        <w:t xml:space="preserve">rag-architecture.md</w:t>
      </w:r>
      <w:r>
        <w:t xml:space="preserve">) does not have to come from the same provider - to be confirmed once ADR-002 (vector database) is settled.</w:t>
      </w:r>
    </w:p>
    <w:bookmarkEnd w:id="13"/>
    <w:bookmarkStart w:id="14" w:name="what-would-change-this-decision"/>
    <w:p>
      <w:pPr>
        <w:pStyle w:val="Heading2"/>
      </w:pPr>
      <w:r>
        <w:t xml:space="preserve">What would change this decision</w:t>
      </w:r>
    </w:p>
    <w:p>
      <w:pPr>
        <w:pStyle w:val="Compact"/>
        <w:numPr>
          <w:ilvl w:val="0"/>
          <w:numId w:val="1004"/>
        </w:numPr>
      </w:pPr>
      <w:r>
        <w:t xml:space="preserve">Spike 2(a) shows unacceptable refusal reliability or citation accuracy on real client documents.</w:t>
      </w:r>
    </w:p>
    <w:p>
      <w:pPr>
        <w:pStyle w:val="Compact"/>
        <w:numPr>
          <w:ilvl w:val="0"/>
          <w:numId w:val="1004"/>
        </w:numPr>
      </w:pPr>
      <w:r>
        <w:t xml:space="preserve">Bedrock cannot offer a London (or client-acceptable EU) region for the required model.</w:t>
      </w:r>
    </w:p>
    <w:p>
      <w:pPr>
        <w:pStyle w:val="Compact"/>
        <w:numPr>
          <w:ilvl w:val="0"/>
          <w:numId w:val="1004"/>
        </w:numPr>
      </w:pPr>
      <w:r>
        <w:t xml:space="preserve">Commercial terms are materially worse than an alternative once actual client scale (item 9) is known.</w:t>
      </w:r>
    </w:p>
    <w:bookmarkEnd w:id="14"/>
    <w:bookmarkEnd w:id="15"/>
    <w:bookmarkStart w:id="21" w:name="adr-002-vector-database"/>
    <w:p>
      <w:pPr>
        <w:pStyle w:val="Heading1"/>
      </w:pPr>
      <w:r>
        <w:t xml:space="preserve">ADR-002: Vector Database</w:t>
      </w:r>
    </w:p>
    <w:p>
      <w:pPr>
        <w:pStyle w:val="FirstParagraph"/>
      </w:pPr>
      <w:r>
        <w:rPr>
          <w:b/>
          <w:bCs/>
        </w:rPr>
        <w:t xml:space="preserve">Status:</w:t>
      </w:r>
      <w:r>
        <w:t xml:space="preserve"> </w:t>
      </w:r>
      <w:r>
        <w:t xml:space="preserve">PROPOSED - not ready to accept. Blocked on Milestone 1 item 9 (cost-at-scale validation) and confirmation of regional service availability.</w:t>
      </w:r>
    </w:p>
    <w:bookmarkStart w:id="16" w:name="context-1"/>
    <w:p>
      <w:pPr>
        <w:pStyle w:val="Heading2"/>
      </w:pPr>
      <w:r>
        <w:t xml:space="preserve">Context</w:t>
      </w:r>
    </w:p>
    <w:p>
      <w:pPr>
        <w:pStyle w:val="FirstParagraph"/>
      </w:pPr>
      <w:r>
        <w:t xml:space="preserve">Every organisation’s RAG must be fully isolated from every other organisation’s - the brief is explicit:</w:t>
      </w:r>
      <w:r>
        <w:t xml:space="preserve"> </w:t>
      </w:r>
      <w:r>
        <w:t xml:space="preserve">“ensure all accounts are kept separate”</w:t>
      </w:r>
      <w:r>
        <w:t xml:space="preserve"> </w:t>
      </w:r>
      <w:r>
        <w:t xml:space="preserve">and each RAG is described as an isolated system an organisation creates as many of as it wants. Retrieval needs to be hybrid (keyword + semantic, see item 6 and</w:t>
      </w:r>
      <w:r>
        <w:t xml:space="preserve"> </w:t>
      </w:r>
      <w:r>
        <w:rPr>
          <w:rStyle w:val="VerbatimChar"/>
        </w:rPr>
        <w:t xml:space="preserve">rag-architecture.md</w:t>
      </w:r>
      <w:r>
        <w:t xml:space="preserve">), and the whole stack must sit inside the AWS London-region design (item 4).</w:t>
      </w:r>
    </w:p>
    <w:bookmarkEnd w:id="16"/>
    <w:bookmarkStart w:id="17" w:name="options-considered-1"/>
    <w:p>
      <w:pPr>
        <w:pStyle w:val="Heading2"/>
      </w:pPr>
      <w:r>
        <w:t xml:space="preserve">Options considered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Pros</w:t>
            </w:r>
          </w:p>
        </w:tc>
        <w:tc>
          <w:tcPr/>
          <w:p>
            <w:pPr>
              <w:pStyle w:val="Compact"/>
            </w:pPr>
            <w:r>
              <w:t xml:space="preserve">Cons</w:t>
            </w:r>
          </w:p>
        </w:tc>
      </w:tr>
      <w:tr>
        <w:tc>
          <w:tcPr/>
          <w:p>
            <w:pPr>
              <w:pStyle w:val="Compact"/>
            </w:pPr>
            <w:r>
              <w:rPr>
                <w:b/>
                <w:bCs/>
              </w:rPr>
              <w:t xml:space="preserve">Amazon OpenSearch Service (k-NN / vector engine)</w:t>
            </w:r>
          </w:p>
        </w:tc>
        <w:tc>
          <w:tcPr/>
          <w:p>
            <w:pPr>
              <w:pStyle w:val="Compact"/>
            </w:pPr>
            <w:r>
              <w:t xml:space="preserve">Native AWS, available in London; hybrid BM25 + vector search built in; natural per-tenant index/namespace model; one vendor relationship</w:t>
            </w:r>
          </w:p>
        </w:tc>
        <w:tc>
          <w:tcPr/>
          <w:p>
            <w:pPr>
              <w:pStyle w:val="Compact"/>
            </w:pPr>
            <w:r>
              <w:t xml:space="preserve">Re-ranking (cross-encoder stage) isn’t native - needs a thin service layered on top</w:t>
            </w:r>
          </w:p>
        </w:tc>
      </w:tr>
      <w:tr>
        <w:tc>
          <w:tcPr/>
          <w:p>
            <w:pPr>
              <w:pStyle w:val="Compact"/>
            </w:pPr>
            <w:r>
              <w:rPr>
                <w:b/>
                <w:bCs/>
              </w:rPr>
              <w:t xml:space="preserve">Pinecone</w:t>
            </w:r>
          </w:p>
        </w:tc>
        <w:tc>
          <w:tcPr/>
          <w:p>
            <w:pPr>
              <w:pStyle w:val="Compact"/>
            </w:pPr>
            <w:r>
              <w:t xml:space="preserve">Purpose-built vector DB with strong multi-tenant namespace primitives</w:t>
            </w:r>
          </w:p>
        </w:tc>
        <w:tc>
          <w:tcPr/>
          <w:p>
            <w:pPr>
              <w:pStyle w:val="Compact"/>
            </w:pPr>
            <w:r>
              <w:t xml:space="preserve">External vendor outside AWS - needs its own data-residency/contractual review against the UK-only requirement; extra recurring cost line</w:t>
            </w:r>
          </w:p>
        </w:tc>
      </w:tr>
      <w:tr>
        <w:tc>
          <w:tcPr/>
          <w:p>
            <w:pPr>
              <w:pStyle w:val="Compact"/>
            </w:pPr>
            <w:r>
              <w:rPr>
                <w:b/>
                <w:bCs/>
              </w:rPr>
              <w:t xml:space="preserve">pgvector on Amazon RDS/Aurora Postgres</w:t>
            </w:r>
          </w:p>
        </w:tc>
        <w:tc>
          <w:tcPr/>
          <w:p>
            <w:pPr>
              <w:pStyle w:val="Compact"/>
            </w:pPr>
            <w:r>
              <w:t xml:space="preserve">Vector storage sits alongside relational data in one engine; simplest ops for a small team</w:t>
            </w:r>
          </w:p>
        </w:tc>
        <w:tc>
          <w:tcPr/>
          <w:p>
            <w:pPr>
              <w:pStyle w:val="Compact"/>
            </w:pPr>
            <w:r>
              <w:t xml:space="preserve">Hybrid search and re-ranking are less mature than a dedicated search engine; scale-out story is weaker</w:t>
            </w:r>
          </w:p>
        </w:tc>
      </w:tr>
    </w:tbl>
    <w:bookmarkEnd w:id="17"/>
    <w:bookmarkStart w:id="18" w:name="recommendation-1"/>
    <w:p>
      <w:pPr>
        <w:pStyle w:val="Heading2"/>
      </w:pPr>
      <w:r>
        <w:t xml:space="preserve">Recommendation</w:t>
      </w:r>
    </w:p>
    <w:p>
      <w:pPr>
        <w:pStyle w:val="FirstParagraph"/>
      </w:pPr>
      <w:r>
        <w:t xml:space="preserve">Amazon OpenSearch Service, with one index (or serverless collection) per organisation for hard tenant isolation at the vector-store layer, paired with the schema-per-tenant relational isolation in ADR-003. This satisfies the hybrid-retrieval requirement in item 6 natively and keeps the whole data path inside AWS.</w:t>
      </w:r>
    </w:p>
    <w:bookmarkEnd w:id="18"/>
    <w:bookmarkStart w:id="19" w:name="consequences-1"/>
    <w:p>
      <w:pPr>
        <w:pStyle w:val="Heading2"/>
      </w:pPr>
      <w:r>
        <w:t xml:space="preserve">Consequences</w:t>
      </w:r>
    </w:p>
    <w:p>
      <w:pPr>
        <w:pStyle w:val="Compact"/>
        <w:numPr>
          <w:ilvl w:val="0"/>
          <w:numId w:val="1005"/>
        </w:numPr>
      </w:pPr>
      <w:r>
        <w:t xml:space="preserve">Per-tenant index provisioning needs to be part of the organisation-onboarding automation (Terraform/IaC, item 11) - not a manual step.</w:t>
      </w:r>
    </w:p>
    <w:p>
      <w:pPr>
        <w:pStyle w:val="Compact"/>
        <w:numPr>
          <w:ilvl w:val="0"/>
          <w:numId w:val="1005"/>
        </w:numPr>
      </w:pPr>
      <w:r>
        <w:t xml:space="preserve">A re-ranking stage (cross-encoder over the top-N hybrid results) is a separate, small service in the RAG pipeline - see</w:t>
      </w:r>
      <w:r>
        <w:t xml:space="preserve"> </w:t>
      </w:r>
      <w:r>
        <w:rPr>
          <w:rStyle w:val="VerbatimChar"/>
        </w:rPr>
        <w:t xml:space="preserve">rag-architecture.md</w:t>
      </w:r>
      <w:r>
        <w:t xml:space="preserve">.</w:t>
      </w:r>
    </w:p>
    <w:p>
      <w:pPr>
        <w:pStyle w:val="Compact"/>
        <w:numPr>
          <w:ilvl w:val="0"/>
          <w:numId w:val="1005"/>
        </w:numPr>
      </w:pPr>
      <w:r>
        <w:t xml:space="preserve">Chunk-level metadata (source document ID, version, section, upload owner, timestamp) must be stored alongside each vector so citations in the grounded answer can point back to a specific, versioned source (ties to ADR-005’s audit ledger).</w:t>
      </w:r>
    </w:p>
    <w:bookmarkEnd w:id="19"/>
    <w:bookmarkStart w:id="20" w:name="what-would-change-this-decision-1"/>
    <w:p>
      <w:pPr>
        <w:pStyle w:val="Heading2"/>
      </w:pPr>
      <w:r>
        <w:t xml:space="preserve">What would change this decision</w:t>
      </w:r>
    </w:p>
    <w:p>
      <w:pPr>
        <w:pStyle w:val="Compact"/>
        <w:numPr>
          <w:ilvl w:val="0"/>
          <w:numId w:val="1006"/>
        </w:numPr>
      </w:pPr>
      <w:r>
        <w:t xml:space="preserve">OpenSearch is confirmed unavailable (or has an unacceptable feature gap) in the actual region chosen for London/UK hosting.</w:t>
      </w:r>
    </w:p>
    <w:p>
      <w:pPr>
        <w:pStyle w:val="Compact"/>
        <w:numPr>
          <w:ilvl w:val="0"/>
          <w:numId w:val="1006"/>
        </w:numPr>
      </w:pPr>
      <w:r>
        <w:t xml:space="preserve">The cost model (item 9) shows per-tenant index overhead is materially worse at the client’s confirmed organisation count than a shared-index-with-metadata-filtering approach.</w:t>
      </w:r>
    </w:p>
    <w:bookmarkEnd w:id="20"/>
    <w:bookmarkEnd w:id="21"/>
    <w:bookmarkStart w:id="27" w:name="adr-003-tenant-isolation-model"/>
    <w:p>
      <w:pPr>
        <w:pStyle w:val="Heading1"/>
      </w:pPr>
      <w:r>
        <w:t xml:space="preserve">ADR-003: Tenant Isolation Model</w:t>
      </w:r>
    </w:p>
    <w:p>
      <w:pPr>
        <w:pStyle w:val="FirstParagraph"/>
      </w:pPr>
      <w:r>
        <w:rPr>
          <w:b/>
          <w:bCs/>
        </w:rPr>
        <w:t xml:space="preserve">Status:</w:t>
      </w:r>
      <w:r>
        <w:t xml:space="preserve"> </w:t>
      </w:r>
      <w:r>
        <w:t xml:space="preserve">PROPOSED - not ready to accept. Blocked on confirmed client scale (number of organisations expected at launch and at 12 months).</w:t>
      </w:r>
    </w:p>
    <w:bookmarkStart w:id="22" w:name="context-2"/>
    <w:p>
      <w:pPr>
        <w:pStyle w:val="Heading2"/>
      </w:pPr>
      <w:r>
        <w:t xml:space="preserve">Context</w:t>
      </w:r>
    </w:p>
    <w:p>
      <w:pPr>
        <w:pStyle w:val="FirstParagraph"/>
      </w:pPr>
      <w:r>
        <w:t xml:space="preserve">The brief requires organisation accounts to be fully separate from one another, and the audit ledger (ADR-005) must be able to prove, per organisation, exactly what content and access existed at a point in time - this matters because the brief describes the data being used as evidence</w:t>
      </w:r>
      <w:r>
        <w:t xml:space="preserve"> </w:t>
      </w:r>
      <w:r>
        <w:t xml:space="preserve">“if the organisation gets sued or prosecuted.”</w:t>
      </w:r>
      <w:r>
        <w:t xml:space="preserve"> </w:t>
      </w:r>
      <w:r>
        <w:t xml:space="preserve">Isolation has to hold at both the relational-data layer and the vector-store layer (ADR-002).</w:t>
      </w:r>
    </w:p>
    <w:bookmarkEnd w:id="22"/>
    <w:bookmarkStart w:id="23" w:name="options-considered-2"/>
    <w:p>
      <w:pPr>
        <w:pStyle w:val="Heading2"/>
      </w:pPr>
      <w:r>
        <w:t xml:space="preserve">Options considered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Pros</w:t>
            </w:r>
          </w:p>
        </w:tc>
        <w:tc>
          <w:tcPr/>
          <w:p>
            <w:pPr>
              <w:pStyle w:val="Compact"/>
            </w:pPr>
            <w:r>
              <w:t xml:space="preserve">Cons</w:t>
            </w:r>
          </w:p>
        </w:tc>
      </w:tr>
      <w:tr>
        <w:tc>
          <w:tcPr/>
          <w:p>
            <w:pPr>
              <w:pStyle w:val="Compact"/>
            </w:pPr>
            <w:r>
              <w:rPr>
                <w:b/>
                <w:bCs/>
              </w:rPr>
              <w:t xml:space="preserve">Silo</w:t>
            </w:r>
            <w:r>
              <w:t xml:space="preserve">: separate database (or RDS instance) per tenant</w:t>
            </w:r>
          </w:p>
        </w:tc>
        <w:tc>
          <w:tcPr/>
          <w:p>
            <w:pPr>
              <w:pStyle w:val="Compact"/>
            </w:pPr>
            <w:r>
              <w:t xml:space="preserve">Strongest possible isolation; simplest to reason about for compliance and for clean tenant off-boarding</w:t>
            </w:r>
          </w:p>
        </w:tc>
        <w:tc>
          <w:tcPr/>
          <w:p>
            <w:pPr>
              <w:pStyle w:val="Compact"/>
            </w:pPr>
            <w:r>
              <w:t xml:space="preserve">Migrations and ops multiply per tenant; higher baseline cost per small organisation</w:t>
            </w:r>
          </w:p>
        </w:tc>
      </w:tr>
      <w:tr>
        <w:tc>
          <w:tcPr/>
          <w:p>
            <w:pPr>
              <w:pStyle w:val="Compact"/>
            </w:pPr>
            <w:r>
              <w:rPr>
                <w:b/>
                <w:bCs/>
              </w:rPr>
              <w:t xml:space="preserve">Pool</w:t>
            </w:r>
            <w:r>
              <w:t xml:space="preserve">: shared schema, tenant scoped by a</w:t>
            </w:r>
            <w:r>
              <w:t xml:space="preserve"> </w:t>
            </w:r>
            <w:r>
              <w:rPr>
                <w:rStyle w:val="VerbatimChar"/>
              </w:rPr>
              <w:t xml:space="preserve">tenant_id</w:t>
            </w:r>
            <w:r>
              <w:t xml:space="preserve"> </w:t>
            </w:r>
            <w:r>
              <w:t xml:space="preserve">column + row-level security</w:t>
            </w:r>
          </w:p>
        </w:tc>
        <w:tc>
          <w:tcPr/>
          <w:p>
            <w:pPr>
              <w:pStyle w:val="Compact"/>
            </w:pPr>
            <w:r>
              <w:t xml:space="preserve">Cheapest at scale; standard SaaS pattern</w:t>
            </w:r>
          </w:p>
        </w:tc>
        <w:tc>
          <w:tcPr/>
          <w:p>
            <w:pPr>
              <w:pStyle w:val="Compact"/>
            </w:pPr>
            <w:r>
              <w:t xml:space="preserve">Isolation is enforced by application/policy logic, not physical separation - a query or RLS bug is a cross-tenant data leak, which is a serious risk given the safeguarding/legal-evidence purpose of this data</w:t>
            </w:r>
          </w:p>
        </w:tc>
      </w:tr>
      <w:tr>
        <w:tc>
          <w:tcPr/>
          <w:p>
            <w:pPr>
              <w:pStyle w:val="Compact"/>
            </w:pPr>
            <w:r>
              <w:rPr>
                <w:b/>
                <w:bCs/>
              </w:rPr>
              <w:t xml:space="preserve">Bridge</w:t>
            </w:r>
            <w:r>
              <w:t xml:space="preserve">: schema-per-tenant on a shared Aurora Postgres cluster</w:t>
            </w:r>
          </w:p>
        </w:tc>
        <w:tc>
          <w:tcPr/>
          <w:p>
            <w:pPr>
              <w:pStyle w:val="Compact"/>
            </w:pPr>
            <w:r>
              <w:t xml:space="preserve">Strong logical isolation without full silo cost; migrations run per-schema but infrastructure is shared</w:t>
            </w:r>
          </w:p>
        </w:tc>
        <w:tc>
          <w:tcPr/>
          <w:p>
            <w:pPr>
              <w:pStyle w:val="Compact"/>
            </w:pPr>
            <w:r>
              <w:t xml:space="preserve">Needs disciplined, scripted per-schema migration tooling from day one, or it becomes an operational burden as organisations are onboarded</w:t>
            </w:r>
          </w:p>
        </w:tc>
      </w:tr>
    </w:tbl>
    <w:bookmarkEnd w:id="23"/>
    <w:bookmarkStart w:id="24" w:name="recommendation-2"/>
    <w:p>
      <w:pPr>
        <w:pStyle w:val="Heading2"/>
      </w:pPr>
      <w:r>
        <w:t xml:space="preserve">Recommendation</w:t>
      </w:r>
    </w:p>
    <w:p>
      <w:pPr>
        <w:pStyle w:val="FirstParagraph"/>
      </w:pPr>
      <w:r>
        <w:t xml:space="preserve">Schema-per-tenant (the bridge model) on a shared Aurora Postgres cluster, paired with the per-tenant OpenSearch index from ADR-002. This gives isolation at both the relational and vector layers without the cost profile of full silo hosting for what is expected to be a large number of small-to-medium organisations. A dedicated RDS instance per tenant is reserved as an enterprise upgrade path for a large single client, not the MVP default.</w:t>
      </w:r>
    </w:p>
    <w:p>
      <w:pPr>
        <w:pStyle w:val="BodyText"/>
      </w:pPr>
      <w:r>
        <w:t xml:space="preserve">A small platform-level</w:t>
      </w:r>
      <w:r>
        <w:t xml:space="preserve"> </w:t>
      </w:r>
      <w:r>
        <w:rPr>
          <w:b/>
          <w:bCs/>
        </w:rPr>
        <w:t xml:space="preserve">control-plane schema</w:t>
      </w:r>
      <w:r>
        <w:t xml:space="preserve"> </w:t>
      </w:r>
      <w:r>
        <w:t xml:space="preserve">sits outside any tenant schema, holding the organisation registry (name, sector, schema name, provisioning status) and the SafeIQ-internal support account(s) described in the requirements addendum - these are cross-tenant by definition and cannot live inside a single tenant’s schema. See</w:t>
      </w:r>
      <w:r>
        <w:t xml:space="preserve"> </w:t>
      </w:r>
      <w:r>
        <w:rPr>
          <w:rStyle w:val="VerbatimChar"/>
        </w:rPr>
        <w:t xml:space="preserve">multi-tenant-schema.md</w:t>
      </w:r>
      <w:r>
        <w:t xml:space="preserve">.</w:t>
      </w:r>
    </w:p>
    <w:bookmarkEnd w:id="24"/>
    <w:bookmarkStart w:id="25" w:name="consequences-2"/>
    <w:p>
      <w:pPr>
        <w:pStyle w:val="Heading2"/>
      </w:pPr>
      <w:r>
        <w:t xml:space="preserve">Consequences</w:t>
      </w:r>
    </w:p>
    <w:p>
      <w:pPr>
        <w:pStyle w:val="Compact"/>
        <w:numPr>
          <w:ilvl w:val="0"/>
          <w:numId w:val="1007"/>
        </w:numPr>
      </w:pPr>
      <w:r>
        <w:t xml:space="preserve">Schema provisioning and migration must be fully automated (Terraform + a migration runner invoked on organisation sign-up) - a manual per-tenant setup step will not scale past a handful of clients.</w:t>
      </w:r>
    </w:p>
    <w:p>
      <w:pPr>
        <w:pStyle w:val="Compact"/>
        <w:numPr>
          <w:ilvl w:val="0"/>
          <w:numId w:val="1007"/>
        </w:numPr>
      </w:pPr>
      <w:r>
        <w:t xml:space="preserve">Row-level security can still be layered in as defense-in-depth even with schema-per-tenant isolation, at negligible extra cost.</w:t>
      </w:r>
    </w:p>
    <w:p>
      <w:pPr>
        <w:pStyle w:val="Compact"/>
        <w:numPr>
          <w:ilvl w:val="0"/>
          <w:numId w:val="1007"/>
        </w:numPr>
      </w:pPr>
      <w:r>
        <w:t xml:space="preserve">The SafeIQ-internal account’s cross-tenant read access (item 5 in the requirements addendum) is a control-plane-level permission, not a per-tenant role - it must be modelled and audited separately from any organisation’s own role hierarchy.</w:t>
      </w:r>
    </w:p>
    <w:bookmarkEnd w:id="25"/>
    <w:bookmarkStart w:id="26" w:name="what-would-change-this-decision-2"/>
    <w:p>
      <w:pPr>
        <w:pStyle w:val="Heading2"/>
      </w:pPr>
      <w:r>
        <w:t xml:space="preserve">What would change this decision</w:t>
      </w:r>
    </w:p>
    <w:p>
      <w:pPr>
        <w:pStyle w:val="Compact"/>
        <w:numPr>
          <w:ilvl w:val="0"/>
          <w:numId w:val="1008"/>
        </w:numPr>
      </w:pPr>
      <w:r>
        <w:t xml:space="preserve">Confirmed client scale is much larger than assumed (e.g. hundreds of large enterprise tenants) - at that scale, full silo may be justified for the largest tenants.</w:t>
      </w:r>
    </w:p>
    <w:p>
      <w:pPr>
        <w:pStyle w:val="Compact"/>
        <w:numPr>
          <w:ilvl w:val="0"/>
          <w:numId w:val="1008"/>
        </w:numPr>
      </w:pPr>
      <w:r>
        <w:t xml:space="preserve">Aurora Postgres schema-per-tenant migration tooling proves unworkable in practice during early implementation - would need to fall back to the pool model with RLS as defense-in-depth only.</w:t>
      </w:r>
    </w:p>
    <w:bookmarkEnd w:id="26"/>
    <w:bookmarkEnd w:id="27"/>
    <w:bookmarkStart w:id="33" w:name="X0e80907d72abfae097b50d293e21a9483f5aa65"/>
    <w:p>
      <w:pPr>
        <w:pStyle w:val="Heading1"/>
      </w:pPr>
      <w:r>
        <w:t xml:space="preserve">ADR-004: Real-Time Stack (chat, calls, screen share, live feeds)</w:t>
      </w:r>
    </w:p>
    <w:p>
      <w:pPr>
        <w:pStyle w:val="FirstParagraph"/>
      </w:pPr>
      <w:r>
        <w:rPr>
          <w:b/>
          <w:bCs/>
        </w:rPr>
        <w:t xml:space="preserve">Status:</w:t>
      </w:r>
      <w:r>
        <w:t xml:space="preserve"> </w:t>
      </w:r>
      <w:r>
        <w:t xml:space="preserve">PROPOSED - not ready to accept. Blocked on Milestone 1 item 2(c), a real voice/video/screen-share round-trip spike.</w:t>
      </w:r>
    </w:p>
    <w:bookmarkStart w:id="28" w:name="context-3"/>
    <w:p>
      <w:pPr>
        <w:pStyle w:val="Heading2"/>
      </w:pPr>
      <w:r>
        <w:t xml:space="preserve">Context</w:t>
      </w:r>
    </w:p>
    <w:p>
      <w:pPr>
        <w:pStyle w:val="FirstParagraph"/>
      </w:pPr>
      <w:r>
        <w:t xml:space="preserve">The brief requires the floating AI agent to carry live chat, voice calls, and screen share between assigned end users, plus near-real-time dashboard feeds (live questions coming in, alerts). Item 4 asks specifically for</w:t>
      </w:r>
      <w:r>
        <w:t xml:space="preserve"> </w:t>
      </w:r>
      <w:r>
        <w:t xml:space="preserve">“the shared real-time backbone… used by chat, calls, screen share and the live feeds”</w:t>
      </w:r>
      <w:r>
        <w:t xml:space="preserve"> </w:t>
      </w:r>
      <w:r>
        <w:t xml:space="preserve">- i.e. one coherent design reused across all four, not four separate bespoke systems bolted together.</w:t>
      </w:r>
    </w:p>
    <w:bookmarkEnd w:id="28"/>
    <w:bookmarkStart w:id="29" w:name="options-considered-3"/>
    <w:p>
      <w:pPr>
        <w:pStyle w:val="Heading2"/>
      </w:pPr>
      <w:r>
        <w:t xml:space="preserve">Options considered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Pros</w:t>
            </w:r>
          </w:p>
        </w:tc>
        <w:tc>
          <w:tcPr/>
          <w:p>
            <w:pPr>
              <w:pStyle w:val="Compact"/>
            </w:pPr>
            <w:r>
              <w:t xml:space="preserve">Cons</w:t>
            </w:r>
          </w:p>
        </w:tc>
      </w:tr>
      <w:tr>
        <w:tc>
          <w:tcPr/>
          <w:p>
            <w:pPr>
              <w:pStyle w:val="Compact"/>
            </w:pPr>
            <w:r>
              <w:rPr>
                <w:b/>
                <w:bCs/>
              </w:rPr>
              <w:t xml:space="preserve">Fully self-hosted</w:t>
            </w:r>
            <w:r>
              <w:t xml:space="preserve">: WebSocket service (ECS/Fargate) for chat/live-feeds + a self-managed SFU (e.g. LiveKit or mediasoup) and TURN server (coturn) for calls/screen-share, all in AWS London</w:t>
            </w:r>
          </w:p>
        </w:tc>
        <w:tc>
          <w:tcPr/>
          <w:p>
            <w:pPr>
              <w:pStyle w:val="Compact"/>
            </w:pPr>
            <w:r>
              <w:t xml:space="preserve">Full control, clean data-residency story, no per-minute vendor fee</w:t>
            </w:r>
          </w:p>
        </w:tc>
        <w:tc>
          <w:tcPr/>
          <w:p>
            <w:pPr>
              <w:pStyle w:val="Compact"/>
            </w:pPr>
            <w:r>
              <w:t xml:space="preserve">Real engineering lift and ongoing operational burden (SFU/TURN are not</w:t>
            </w:r>
            <w:r>
              <w:t xml:space="preserve"> </w:t>
            </w:r>
            <w:r>
              <w:t xml:space="preserve">“set and forget”</w:t>
            </w:r>
            <w:r>
              <w:t xml:space="preserve">) - exactly the kind of cost/risk item 2(c) exists to surface before committing to a fixed price</w:t>
            </w:r>
          </w:p>
        </w:tc>
      </w:tr>
      <w:tr>
        <w:tc>
          <w:tcPr/>
          <w:p>
            <w:pPr>
              <w:pStyle w:val="Compact"/>
            </w:pPr>
            <w:r>
              <w:rPr>
                <w:b/>
                <w:bCs/>
              </w:rPr>
              <w:t xml:space="preserve">Managed media platform</w:t>
            </w:r>
            <w:r>
              <w:t xml:space="preserve"> </w:t>
            </w:r>
            <w:r>
              <w:t xml:space="preserve">(Amazon Chime SDK, or a third party such as Agora/Twilio/Vonage) for the call/screen-share leg, combined with a lighter self-hosted layer (API Gateway WebSockets or AppSync subscriptions) for chat and live feeds</w:t>
            </w:r>
          </w:p>
        </w:tc>
        <w:tc>
          <w:tcPr/>
          <w:p>
            <w:pPr>
              <w:pStyle w:val="Compact"/>
            </w:pPr>
            <w:r>
              <w:t xml:space="preserve">Materially faster to ship; offloads SFU/TURN operations to a vendor with an SLA</w:t>
            </w:r>
          </w:p>
        </w:tc>
        <w:tc>
          <w:tcPr/>
          <w:p>
            <w:pPr>
              <w:pStyle w:val="Compact"/>
            </w:pPr>
            <w:r>
              <w:t xml:space="preserve">Media-server region footprint needs verifying against the UK-only data-residency requirement; recurring per-minute cost needs modelling in item 9; a third-party platform (if not Chime) adds a vendor relationship outside AWS</w:t>
            </w:r>
          </w:p>
        </w:tc>
      </w:tr>
    </w:tbl>
    <w:bookmarkEnd w:id="29"/>
    <w:bookmarkStart w:id="30" w:name="recommendation-3"/>
    <w:p>
      <w:pPr>
        <w:pStyle w:val="Heading2"/>
      </w:pPr>
      <w:r>
        <w:t xml:space="preserve">Recommendation</w:t>
      </w:r>
    </w:p>
    <w:p>
      <w:pPr>
        <w:pStyle w:val="FirstParagraph"/>
      </w:pPr>
      <w:r>
        <w:t xml:space="preserve">Amazon Chime SDK for the call/screen-share leg (keeps the vendor relationship inside AWS, easiest to reason about alongside the rest of the London-region design), with API Gateway WebSockets or AppSync subscriptions carrying chat messages and the live dashboard feeds (new questions, new alerts). This is</w:t>
      </w:r>
      <w:r>
        <w:t xml:space="preserve"> </w:t>
      </w:r>
      <w:r>
        <w:t xml:space="preserve">“one backbone”</w:t>
      </w:r>
      <w:r>
        <w:t xml:space="preserve"> </w:t>
      </w:r>
      <w:r>
        <w:t xml:space="preserve">in the sense of one coherent real-time transport layer, split into two purpose-fit transports rather than forcing interactive media through the same channel as text/event messages.</w:t>
      </w:r>
    </w:p>
    <w:bookmarkEnd w:id="30"/>
    <w:bookmarkStart w:id="31" w:name="consequences-3"/>
    <w:p>
      <w:pPr>
        <w:pStyle w:val="Heading2"/>
      </w:pPr>
      <w:r>
        <w:t xml:space="preserve">Consequences</w:t>
      </w:r>
    </w:p>
    <w:p>
      <w:pPr>
        <w:pStyle w:val="Compact"/>
        <w:numPr>
          <w:ilvl w:val="0"/>
          <w:numId w:val="1009"/>
        </w:numPr>
      </w:pPr>
      <w:r>
        <w:t xml:space="preserve">Chime SDK’s exact media-routing region must be confirmed before this can move past PROPOSED - if it cannot guarantee UK/acceptable-EU media routing, the self-hosted SFU option becomes the default instead, with a corresponding increase in delivery risk and cost that must be reflected in the estimate.</w:t>
      </w:r>
    </w:p>
    <w:p>
      <w:pPr>
        <w:pStyle w:val="Compact"/>
        <w:numPr>
          <w:ilvl w:val="0"/>
          <w:numId w:val="1009"/>
        </w:numPr>
      </w:pPr>
      <w:r>
        <w:t xml:space="preserve">The live-feed transport (WebSockets/AppSync) should be designed so the same event stream backs both the organisation dashboard’s</w:t>
      </w:r>
      <w:r>
        <w:t xml:space="preserve"> </w:t>
      </w:r>
      <w:r>
        <w:t xml:space="preserve">“live questions”</w:t>
      </w:r>
      <w:r>
        <w:t xml:space="preserve"> </w:t>
      </w:r>
      <w:r>
        <w:t xml:space="preserve">panel and the employee’s floating widget - a single publish path, multiple subscribers, rather than separate polling implementations per screen.</w:t>
      </w:r>
    </w:p>
    <w:bookmarkEnd w:id="31"/>
    <w:bookmarkStart w:id="32" w:name="what-would-change-this-decision-3"/>
    <w:p>
      <w:pPr>
        <w:pStyle w:val="Heading2"/>
      </w:pPr>
      <w:r>
        <w:t xml:space="preserve">What would change this decision</w:t>
      </w:r>
    </w:p>
    <w:p>
      <w:pPr>
        <w:pStyle w:val="Compact"/>
        <w:numPr>
          <w:ilvl w:val="0"/>
          <w:numId w:val="1010"/>
        </w:numPr>
      </w:pPr>
      <w:r>
        <w:t xml:space="preserve">Spike 2(c) finds Chime SDK cannot meet the round-trip latency, quality, or data-residency bar in practice.</w:t>
      </w:r>
    </w:p>
    <w:p>
      <w:pPr>
        <w:pStyle w:val="Compact"/>
        <w:numPr>
          <w:ilvl w:val="0"/>
          <w:numId w:val="1010"/>
        </w:numPr>
      </w:pPr>
      <w:r>
        <w:t xml:space="preserve">Confirmed usage volume (item 9) makes the self-hosted SFU materially cheaper at scale than the managed platform’s per-minute pricing, and the team accepts the added operational risk.</w:t>
      </w:r>
    </w:p>
    <w:bookmarkEnd w:id="32"/>
    <w:bookmarkEnd w:id="33"/>
    <w:bookmarkStart w:id="39" w:name="adr-005-audit-ledger-technology"/>
    <w:p>
      <w:pPr>
        <w:pStyle w:val="Heading1"/>
      </w:pPr>
      <w:r>
        <w:t xml:space="preserve">ADR-005: Audit Ledger Technology</w:t>
      </w:r>
    </w:p>
    <w:p>
      <w:pPr>
        <w:pStyle w:val="FirstParagraph"/>
      </w:pPr>
      <w:r>
        <w:rPr>
          <w:b/>
          <w:bCs/>
        </w:rPr>
        <w:t xml:space="preserve">Status:</w:t>
      </w:r>
      <w:r>
        <w:t xml:space="preserve"> </w:t>
      </w:r>
      <w:r>
        <w:t xml:space="preserve">PROPOSED - not ready to accept. Needs explicit client sign-off, since it reinterprets a literal brief requirement (see Consequences).</w:t>
      </w:r>
    </w:p>
    <w:bookmarkStart w:id="34" w:name="context-4"/>
    <w:p>
      <w:pPr>
        <w:pStyle w:val="Heading2"/>
      </w:pPr>
      <w:r>
        <w:t xml:space="preserve">Context</w:t>
      </w:r>
    </w:p>
    <w:p>
      <w:pPr>
        <w:pStyle w:val="FirstParagraph"/>
      </w:pPr>
      <w:r>
        <w:t xml:space="preserve">The brief states:</w:t>
      </w:r>
      <w:r>
        <w:t xml:space="preserve"> </w:t>
      </w:r>
      <w:r>
        <w:t xml:space="preserve">“the RAG data needs to sit in blockchain so their an audit of the data, who added it and a audit trail of its usage by any assigned users”</w:t>
      </w:r>
      <w:r>
        <w:t xml:space="preserve"> </w:t>
      </w:r>
      <w:r>
        <w:t xml:space="preserve">- specifically so an organisation can prove an employee was given correct advice via the RAG if it’s later sued or prosecuted. Milestone 1, item 8, separately identifies a conflict this creates: an immutable ledger is in direct tension with GDPR’s right to erasure, and recommends resolving it as</w:t>
      </w:r>
      <w:r>
        <w:t xml:space="preserve"> </w:t>
      </w:r>
      <w:r>
        <w:t xml:space="preserve">“hash, version, timestamp and owner on a tamper-evident append-only ledger; PII and full documents held off-ledger and erasable.”</w:t>
      </w:r>
    </w:p>
    <w:bookmarkEnd w:id="34"/>
    <w:bookmarkStart w:id="35" w:name="options-considered-4"/>
    <w:p>
      <w:pPr>
        <w:pStyle w:val="Heading2"/>
      </w:pPr>
      <w:r>
        <w:t xml:space="preserve">Options considered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Pros</w:t>
            </w:r>
          </w:p>
        </w:tc>
        <w:tc>
          <w:tcPr/>
          <w:p>
            <w:pPr>
              <w:pStyle w:val="Compact"/>
            </w:pPr>
            <w:r>
              <w:t xml:space="preserve">Cons</w:t>
            </w:r>
          </w:p>
        </w:tc>
      </w:tr>
      <w:tr>
        <w:tc>
          <w:tcPr/>
          <w:p>
            <w:pPr>
              <w:pStyle w:val="Compact"/>
            </w:pPr>
            <w:r>
              <w:rPr>
                <w:b/>
                <w:bCs/>
              </w:rPr>
              <w:t xml:space="preserve">Literal blockchain</w:t>
            </w:r>
            <w:r>
              <w:t xml:space="preserve"> </w:t>
            </w:r>
            <w:r>
              <w:t xml:space="preserve">(permissioned Hyperledger Fabric network, or hash-anchoring to a public chain)</w:t>
            </w:r>
          </w:p>
        </w:tc>
        <w:tc>
          <w:tcPr/>
          <w:p>
            <w:pPr>
              <w:pStyle w:val="Compact"/>
            </w:pPr>
            <w:r>
              <w:t xml:space="preserve">Satisfies the brief’s literal wording</w:t>
            </w:r>
          </w:p>
        </w:tc>
        <w:tc>
          <w:tcPr/>
          <w:p>
            <w:pPr>
              <w:pStyle w:val="Compact"/>
            </w:pPr>
            <w:r>
              <w:t xml:space="preserve">Heavy, unusual infrastructure for a single-vendor SaaS audit trail; does not actually solve the GDPR-erasure conflict any better than a database ledger (a hash on a public/immutable chain still can’t be un-published, and anchoring introduces its own retention questions); materially higher build and ops cost for no clear evidential benefit over the alternative below</w:t>
            </w:r>
          </w:p>
        </w:tc>
      </w:tr>
      <w:tr>
        <w:tc>
          <w:tcPr/>
          <w:p>
            <w:pPr>
              <w:pStyle w:val="Compact"/>
            </w:pPr>
            <w:r>
              <w:rPr>
                <w:b/>
                <w:bCs/>
              </w:rPr>
              <w:t xml:space="preserve">Application-level hash-chained append-only table</w:t>
            </w:r>
            <w:r>
              <w:t xml:space="preserve"> </w:t>
            </w:r>
            <w:r>
              <w:t xml:space="preserve">- each ledger row includes the previous row’s hash (classic tamper-evident log construction), storing only hash + version + timestamp + owner + event-type per entry; the actual document content and any PII live in normal, erasable storage (S3/Postgres) and are only</w:t>
            </w:r>
            <w:r>
              <w:t xml:space="preserve"> </w:t>
            </w:r>
            <w:r>
              <w:rPr>
                <w:i/>
                <w:iCs/>
              </w:rPr>
              <w:t xml:space="preserve">referenced</w:t>
            </w:r>
            <w:r>
              <w:t xml:space="preserve"> </w:t>
            </w:r>
            <w:r>
              <w:t xml:space="preserve">from the ledger by hash</w:t>
            </w:r>
          </w:p>
        </w:tc>
        <w:tc>
          <w:tcPr/>
          <w:p>
            <w:pPr>
              <w:pStyle w:val="Compact"/>
            </w:pPr>
            <w:r>
              <w:t xml:space="preserve">Directly implements item 8’s own recommended resolution; tamper-evidence without blockchain’s operational weight; erasure requests delete the underlying content while the ledger entry itself remains (proving</w:t>
            </w:r>
            <w:r>
              <w:t xml:space="preserve"> </w:t>
            </w:r>
            <w:r>
              <w:rPr>
                <w:i/>
                <w:iCs/>
              </w:rPr>
              <w:t xml:space="preserve">that</w:t>
            </w:r>
            <w:r>
              <w:t xml:space="preserve"> </w:t>
            </w:r>
            <w:r>
              <w:t xml:space="preserve">an event happened, without needing to retain the personal content that made it sensitive)</w:t>
            </w:r>
          </w:p>
        </w:tc>
        <w:tc>
          <w:tcPr/>
          <w:p>
            <w:pPr>
              <w:pStyle w:val="Compact"/>
            </w:pPr>
            <w:r>
              <w:t xml:space="preserve">Requires careful implementation discipline (insert-only DB permissions, hash-chain verification tooling) to actually be tamper-evident, not just tamper-</w:t>
            </w:r>
            <w:r>
              <w:rPr>
                <w:i/>
                <w:iCs/>
              </w:rPr>
              <w:t xml:space="preserve">labelled</w:t>
            </w:r>
          </w:p>
        </w:tc>
      </w:tr>
      <w:tr>
        <w:tc>
          <w:tcPr/>
          <w:p>
            <w:pPr>
              <w:pStyle w:val="Compact"/>
            </w:pPr>
            <w:r>
              <w:rPr>
                <w:b/>
                <w:bCs/>
              </w:rPr>
              <w:t xml:space="preserve">Amazon QLDB</w:t>
            </w:r>
            <w:r>
              <w:t xml:space="preserve"> </w:t>
            </w:r>
            <w:r>
              <w:t xml:space="preserve">(managed, cryptographically verifiable ledger database)</w:t>
            </w:r>
          </w:p>
        </w:tc>
        <w:tc>
          <w:tcPr/>
          <w:p>
            <w:pPr>
              <w:pStyle w:val="Compact"/>
            </w:pPr>
            <w:r>
              <w:t xml:space="preserve">AWS-native, purpose-built for exactly this pattern, removes the need to hand-roll hash-chaining</w:t>
            </w:r>
          </w:p>
        </w:tc>
        <w:tc>
          <w:tcPr/>
          <w:p>
            <w:pPr>
              <w:pStyle w:val="Compact"/>
            </w:pPr>
            <w:r>
              <w:t xml:space="preserve">Narrower/niche AWS service - worth a due-diligence check on long-term product roadmap and support before committing a client-facing evidential system to it</w:t>
            </w:r>
          </w:p>
        </w:tc>
      </w:tr>
    </w:tbl>
    <w:bookmarkEnd w:id="35"/>
    <w:bookmarkStart w:id="36" w:name="recommendation-4"/>
    <w:p>
      <w:pPr>
        <w:pStyle w:val="Heading2"/>
      </w:pPr>
      <w:r>
        <w:t xml:space="preserve">Recommendation</w:t>
      </w:r>
    </w:p>
    <w:p>
      <w:pPr>
        <w:pStyle w:val="FirstParagraph"/>
      </w:pPr>
      <w:r>
        <w:t xml:space="preserve">An application-level hash-chained append-only ledger (or Amazon QLDB if due-diligence confirms it as a safe long-term choice), storing only</w:t>
      </w:r>
      <w:r>
        <w:t xml:space="preserve"> </w:t>
      </w:r>
      <w:r>
        <w:rPr>
          <w:rStyle w:val="VerbatimChar"/>
        </w:rPr>
        <w:t xml:space="preserve">hash + version + timestamp + owner + event-type</w:t>
      </w:r>
      <w:r>
        <w:t xml:space="preserve"> </w:t>
      </w:r>
      <w:r>
        <w:t xml:space="preserve">per entry. All actual document content and personal data live in normal erasable storage, referenced from the ledger by hash rather than stored in it. This is item 8’s own recommended shape, applied specifically to the RAG audit requirement.</w:t>
      </w:r>
    </w:p>
    <w:bookmarkEnd w:id="36"/>
    <w:bookmarkStart w:id="37" w:name="consequences-4"/>
    <w:p>
      <w:pPr>
        <w:pStyle w:val="Heading2"/>
      </w:pPr>
      <w:r>
        <w:t xml:space="preserve">Consequences</w:t>
      </w:r>
    </w:p>
    <w:p>
      <w:pPr>
        <w:pStyle w:val="Compact"/>
        <w:numPr>
          <w:ilvl w:val="0"/>
          <w:numId w:val="1011"/>
        </w:numPr>
      </w:pPr>
      <w:r>
        <w:rPr>
          <w:b/>
          <w:bCs/>
        </w:rPr>
        <w:t xml:space="preserve">This does not literally implement</w:t>
      </w:r>
      <w:r>
        <w:rPr>
          <w:b/>
          <w:bCs/>
        </w:rPr>
        <w:t xml:space="preserve"> </w:t>
      </w:r>
      <w:r>
        <w:rPr>
          <w:b/>
          <w:bCs/>
        </w:rPr>
        <w:t xml:space="preserve">“blockchain”</w:t>
      </w:r>
      <w:r>
        <w:rPr>
          <w:b/>
          <w:bCs/>
        </w:rPr>
        <w:t xml:space="preserve"> </w:t>
      </w:r>
      <w:r>
        <w:rPr>
          <w:b/>
          <w:bCs/>
        </w:rPr>
        <w:t xml:space="preserve">as the brief states it.</w:t>
      </w:r>
      <w:r>
        <w:t xml:space="preserve"> </w:t>
      </w:r>
      <w:r>
        <w:t xml:space="preserve">That substitution needs to be surfaced explicitly to the client as part of the requirements addendum (item 1) - not assumed - since</w:t>
      </w:r>
      <w:r>
        <w:t xml:space="preserve"> </w:t>
      </w:r>
      <w:r>
        <w:t xml:space="preserve">“blockchain”</w:t>
      </w:r>
      <w:r>
        <w:t xml:space="preserve"> </w:t>
      </w:r>
      <w:r>
        <w:t xml:space="preserve">may carry specific expectations (e.g. decentralisation, public verifiability) that a tamper-evident database ledger does not provide. Flag this as an open item requiring explicit sign-off, not a technical detail to quietly resolve.</w:t>
      </w:r>
    </w:p>
    <w:p>
      <w:pPr>
        <w:pStyle w:val="Compact"/>
        <w:numPr>
          <w:ilvl w:val="0"/>
          <w:numId w:val="1011"/>
        </w:numPr>
      </w:pPr>
      <w:r>
        <w:t xml:space="preserve">On a GDPR erasure request: the referenced content is deleted/anonymised; the ledger entry remains, proving an event occurred (e.g. </w:t>
      </w:r>
      <w:r>
        <w:t xml:space="preserve">“a document existed and was viewed by user X at time T”</w:t>
      </w:r>
      <w:r>
        <w:t xml:space="preserve">) without resolving to readable personal content. This flow needs to be written up and reviewed as part of</w:t>
      </w:r>
      <w:r>
        <w:t xml:space="preserve"> </w:t>
      </w:r>
      <w:r>
        <w:rPr>
          <w:rStyle w:val="VerbatimChar"/>
        </w:rPr>
        <w:t xml:space="preserve">security-compliance-design.md</w:t>
      </w:r>
      <w:r>
        <w:t xml:space="preserve">, ideally with legal input given its evidential purpose.</w:t>
      </w:r>
    </w:p>
    <w:p>
      <w:pPr>
        <w:pStyle w:val="Compact"/>
        <w:numPr>
          <w:ilvl w:val="0"/>
          <w:numId w:val="1011"/>
        </w:numPr>
      </w:pPr>
      <w:r>
        <w:t xml:space="preserve">Every RAG document version (per the brief’s own requirement:</w:t>
      </w:r>
      <w:r>
        <w:t xml:space="preserve"> </w:t>
      </w:r>
      <w:r>
        <w:t xml:space="preserve">“if each RAG accepts documents if anything ever updated it logs the version”</w:t>
      </w:r>
      <w:r>
        <w:t xml:space="preserve">) produces a ledger entry, tying this ADR directly to the document-versioning design in</w:t>
      </w:r>
      <w:r>
        <w:t xml:space="preserve"> </w:t>
      </w:r>
      <w:r>
        <w:rPr>
          <w:rStyle w:val="VerbatimChar"/>
        </w:rPr>
        <w:t xml:space="preserve">rag-architecture.md</w:t>
      </w:r>
      <w:r>
        <w:t xml:space="preserve">.</w:t>
      </w:r>
    </w:p>
    <w:bookmarkEnd w:id="37"/>
    <w:bookmarkStart w:id="38" w:name="what-would-change-this-decision-4"/>
    <w:p>
      <w:pPr>
        <w:pStyle w:val="Heading2"/>
      </w:pPr>
      <w:r>
        <w:t xml:space="preserve">What would change this decision</w:t>
      </w:r>
    </w:p>
    <w:p>
      <w:pPr>
        <w:pStyle w:val="Compact"/>
        <w:numPr>
          <w:ilvl w:val="0"/>
          <w:numId w:val="1012"/>
        </w:numPr>
      </w:pPr>
      <w:r>
        <w:t xml:space="preserve">The client, once shown this substitution, insists on a literal blockchain for contractual, marketing, or evidential-standard reasons - in which case the cost and delivery-risk implications need to be re-costed under item 9 and re-planned under item 12, likely pushing it to a phase-2 item.</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SafeIQ - Architecture Decision Records</dc:title>
  <dc:creator/>
  <cp:keywords/>
  <dcterms:created xsi:type="dcterms:W3CDTF">2026-08-10T09:36:51Z</dcterms:created>
  <dcterms:modified xsi:type="dcterms:W3CDTF">2026-08-10T09:36:51Z</dcterms:modified>
</cp:coreProperties>
</file>

<file path=docProps/custom.xml><?xml version="1.0" encoding="utf-8"?>
<Properties xmlns="http://schemas.openxmlformats.org/officeDocument/2006/custom-properties" xmlns:vt="http://schemas.openxmlformats.org/officeDocument/2006/docPropsVTypes"/>
</file>