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SafeIQ - Delivery Plan and Phasing</w:t>
      </w:r>
    </w:p>
    <w:bookmarkStart w:id="14" w:name="X936614dfc84bb4239bf20b799374e4ea24b47ba"/>
    <w:p>
      <w:pPr>
        <w:pStyle w:val="Heading1"/>
      </w:pPr>
      <w:r>
        <w:t xml:space="preserve">Delivery Plan, Dependency Graph &amp; Phasing (Milestone 1, item 12)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PROPOSAL — a sequencing and scope-split proposal, not a dated schedule. Real dates depend on spike outcomes and team capacity, neither confirmed yet.</w:t>
      </w:r>
    </w:p>
    <w:bookmarkStart w:id="9" w:name="dependency-graph"/>
    <w:p>
      <w:pPr>
        <w:pStyle w:val="Heading2"/>
      </w:pPr>
      <w:r>
        <w:t xml:space="preserve">1. Dependency graph</w:t>
      </w:r>
    </w:p>
    <w:p>
      <w:pPr>
        <w:pStyle w:val="SourceCode"/>
      </w:pPr>
      <w:r>
        <w:rPr>
          <w:rStyle w:val="VerbatimChar"/>
        </w:rPr>
        <w:t xml:space="preserve"> Item 1                Item 2                 Item 3</w:t>
      </w:r>
      <w:r>
        <w:br/>
      </w:r>
      <w:r>
        <w:rPr>
          <w:rStyle w:val="VerbatimChar"/>
        </w:rPr>
        <w:t xml:space="preserve"> Requirements          Technical spikes       ADRs 001-005</w:t>
      </w:r>
      <w:r>
        <w:br/>
      </w:r>
      <w:r>
        <w:rPr>
          <w:rStyle w:val="VerbatimChar"/>
        </w:rPr>
        <w:t xml:space="preserve"> addendum              2a RAG grounding       (LLM, vector DB,</w:t>
      </w:r>
      <w:r>
        <w:br/>
      </w:r>
      <w:r>
        <w:rPr>
          <w:rStyle w:val="VerbatimChar"/>
        </w:rPr>
        <w:t xml:space="preserve"> (workshops with       2b widget mechanism    tenant isolation,</w:t>
      </w:r>
      <w:r>
        <w:br/>
      </w:r>
      <w:r>
        <w:rPr>
          <w:rStyle w:val="VerbatimChar"/>
        </w:rPr>
        <w:t xml:space="preserve"> client)               2c real-time media     real-time, ledger)</w:t>
      </w:r>
      <w:r>
        <w:br/>
      </w:r>
      <w:r>
        <w:rPr>
          <w:rStyle w:val="VerbatimChar"/>
        </w:rPr>
        <w:t xml:space="preserve">     │                 2d mobile/iOS               │</w:t>
      </w:r>
      <w:r>
        <w:br/>
      </w:r>
      <w:r>
        <w:rPr>
          <w:rStyle w:val="VerbatimChar"/>
        </w:rPr>
        <w:t xml:space="preserve">     │                      │                       │</w:t>
      </w:r>
      <w:r>
        <w:br/>
      </w:r>
      <w:r>
        <w:rPr>
          <w:rStyle w:val="VerbatimChar"/>
        </w:rPr>
        <w:t xml:space="preserve">     │        ┌─────────────┴──────────┐            │</w:t>
      </w:r>
      <w:r>
        <w:br/>
      </w:r>
      <w:r>
        <w:rPr>
          <w:rStyle w:val="VerbatimChar"/>
        </w:rPr>
        <w:t xml:space="preserve">     │        │                        │            │</w:t>
      </w:r>
      <w:r>
        <w:br/>
      </w:r>
      <w:r>
        <w:rPr>
          <w:rStyle w:val="VerbatimChar"/>
        </w:rPr>
        <w:t xml:space="preserve">     │        ▼                        ▼            ▼</w:t>
      </w:r>
      <w:r>
        <w:br/>
      </w:r>
      <w:r>
        <w:rPr>
          <w:rStyle w:val="VerbatimChar"/>
        </w:rPr>
        <w:t xml:space="preserve">     │   validates ADR-001        validates ADR-004  │</w:t>
      </w:r>
      <w:r>
        <w:br/>
      </w:r>
      <w:r>
        <w:rPr>
          <w:rStyle w:val="VerbatimChar"/>
        </w:rPr>
        <w:t xml:space="preserve">     │   (2a) &amp; feeds item 7      (2c) &amp; item 2b/2d   │</w:t>
      </w:r>
      <w:r>
        <w:br/>
      </w:r>
      <w:r>
        <w:rPr>
          <w:rStyle w:val="VerbatimChar"/>
        </w:rPr>
        <w:t xml:space="preserve">     │   (evaluation harness)     feeds mobile/widget │</w:t>
      </w:r>
      <w:r>
        <w:br/>
      </w:r>
      <w:r>
        <w:rPr>
          <w:rStyle w:val="VerbatimChar"/>
        </w:rPr>
        <w:t xml:space="preserve">     │        │                  delivery decision    │</w:t>
      </w:r>
      <w:r>
        <w:br/>
      </w:r>
      <w:r>
        <w:rPr>
          <w:rStyle w:val="VerbatimChar"/>
        </w:rPr>
        <w:t xml:space="preserve">     │        │                        │              │</w:t>
      </w:r>
      <w:r>
        <w:br/>
      </w:r>
      <w:r>
        <w:rPr>
          <w:rStyle w:val="VerbatimChar"/>
        </w:rPr>
        <w:t xml:space="preserve">     └────────┴───────────┬────────────┴──────────────┘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Item 4 Solution architecture &amp; AWS   │◀── Item 9 cost model</w:t>
      </w:r>
      <w:r>
        <w:br/>
      </w:r>
      <w:r>
        <w:rPr>
          <w:rStyle w:val="VerbatimChar"/>
        </w:rPr>
        <w:t xml:space="preserve">        │  Item 5 Multi-tenant schema           │     (needs confirmed</w:t>
      </w:r>
      <w:r>
        <w:br/>
      </w:r>
      <w:r>
        <w:rPr>
          <w:rStyle w:val="VerbatimChar"/>
        </w:rPr>
        <w:t xml:space="preserve">        │  Item 6 RAG architecture              │      client scale from</w:t>
      </w:r>
      <w:r>
        <w:br/>
      </w:r>
      <w:r>
        <w:rPr>
          <w:rStyle w:val="VerbatimChar"/>
        </w:rPr>
        <w:t xml:space="preserve">        │  Item 8 Security &amp; compliance design  │      item 1 workshops)</w:t>
      </w:r>
      <w:r>
        <w:br/>
      </w:r>
      <w:r>
        <w:rPr>
          <w:rStyle w:val="VerbatimChar"/>
        </w:rPr>
        <w:t xml:space="preserve">        └───────────────────┬───────────────────┘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Item 10 API specification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Item 11 Repos / Terraform /</w:t>
      </w:r>
      <w:r>
        <w:br/>
      </w:r>
      <w:r>
        <w:rPr>
          <w:rStyle w:val="VerbatimChar"/>
        </w:rPr>
        <w:t xml:space="preserve">                  environments / CI-CD / secrets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Item 13 Discovery pack +</w:t>
      </w:r>
      <w:r>
        <w:br/>
      </w:r>
      <w:r>
        <w:rPr>
          <w:rStyle w:val="VerbatimChar"/>
        </w:rPr>
        <w:t xml:space="preserve">                  design sign-off  ──────▶  BUILD STARTS</w:t>
      </w:r>
    </w:p>
    <w:p>
      <w:pPr>
        <w:pStyle w:val="FirstParagraph"/>
      </w:pPr>
      <w:r>
        <w:t xml:space="preserve">Items 4, 5, 6, 8 and 10 (architecture, schema, RAG design, security design, API spec) have already proceeded as detailed drafts ahead of items 1/2/9 landing — this was a deliberate choice to move discovery forward in parallel rather than serially, per the note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What they cannot do is reach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status until items 1, 2, and 9 resolve, because several of their central recommendations are explicitly conditional on those results (ADR-001 on spike 2a, ADR-002/003 on confirmed scale, ADR-004 on spike 2c).</w:t>
      </w:r>
    </w:p>
    <w:bookmarkEnd w:id="9"/>
    <w:bookmarkStart w:id="10" w:name="critical-path"/>
    <w:p>
      <w:pPr>
        <w:pStyle w:val="Heading2"/>
      </w:pPr>
      <w:r>
        <w:t xml:space="preserve">2. Critical path</w:t>
      </w:r>
    </w:p>
    <w:p>
      <w:pPr>
        <w:pStyle w:val="FirstParagraph"/>
      </w:pPr>
      <w:r>
        <w:t xml:space="preserve">Three things genuinely block the start of build, everything else can and has proceeded in draft form ahead of them: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spikes (item 2).</w:t>
      </w:r>
      <w:r>
        <w:t xml:space="preserve"> </w:t>
      </w:r>
      <w:r>
        <w:t xml:space="preserve">Spike 2(a) (RAG grounding on real documents) and 2(c) (real-time media round-trip) each gate an ADR that the whole architecture depends on. Spikes 2(b)/2(d) (widget delivery mechanism, mobile/iOS feasibility) gate a scope decision (§4) more than an architecture decision, but are equally blocking for estimating that part of the work honestly.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Confirmed client scale.</w:t>
      </w:r>
      <w:r>
        <w:t xml:space="preserve"> </w:t>
      </w:r>
      <w:r>
        <w:t xml:space="preserve">Blocks ADR-002 (vector DB cost-at-scale), ADR-003 (tenant isolation model), and the cost model (item 9) directly — see</w:t>
      </w:r>
      <w:r>
        <w:t xml:space="preserve"> </w:t>
      </w:r>
      <w:r>
        <w:rPr>
          <w:rStyle w:val="VerbatimChar"/>
        </w:rPr>
        <w:t xml:space="preserve">cost-model.md</w:t>
      </w:r>
      <w:r>
        <w:t xml:space="preserve"> </w:t>
      </w:r>
      <w:r>
        <w:t xml:space="preserve">§6 for the exact numbers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Requirements addendum sign-off (item 1).</w:t>
      </w:r>
      <w:r>
        <w:t xml:space="preserve"> </w:t>
      </w:r>
      <w:r>
        <w:t xml:space="preserve">Blocks a</w:t>
      </w:r>
      <w: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fixed price full stop, independent of the engineering work above — several role/capability questions (Manager vs. Support, Super Admin vs. Administrator, SafeIQ Internal’s real scope) are still open per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 the ADR-005 blockchain-wording question specifically needs the client’s explicit answer, not an engineering assumption.</w:t>
      </w:r>
    </w:p>
    <w:p>
      <w:pPr>
        <w:pStyle w:val="FirstParagraph"/>
      </w:pPr>
      <w:r>
        <w:t xml:space="preserve">Everything else on the milestone-1 list (schema, RAG architecture, security design, API spec, this plan) can be — and has been — drafted in parallel with the above, but final sign-off on all of it (item 13) cannot happen before these three resolve.</w:t>
      </w:r>
    </w:p>
    <w:bookmarkEnd w:id="10"/>
    <w:bookmarkStart w:id="11" w:name="mvp-vs.-phase-2-split-recommendation"/>
    <w:p>
      <w:pPr>
        <w:pStyle w:val="Heading2"/>
      </w:pPr>
      <w:r>
        <w:t xml:space="preserve">3. MVP vs. phase-2 split — 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area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Safety/Emergency module</w:t>
            </w:r>
            <w:r>
              <w:t xml:space="preserve"> </w:t>
            </w:r>
            <w:r>
              <w:t xml:space="preserve">(real siren, real</w:t>
            </w:r>
            <w:r>
              <w:t xml:space="preserve"> </w:t>
            </w:r>
            <w:r>
              <w:t xml:space="preserve">“notify police,”</w:t>
            </w:r>
            <w:r>
              <w:t xml:space="preserve"> </w:t>
            </w:r>
            <w:r>
              <w:t xml:space="preserve">lock-screen audio recording, real GPS-linked safe word)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  <w:r>
              <w:t xml:space="preserve">, gated behind legal review and spike 2(d)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security-compliance-design.md</w:t>
            </w:r>
            <w:r>
              <w:t xml:space="preserve"> </w:t>
            </w:r>
            <w:r>
              <w:t xml:space="preserve">§6: this carries genuine legal exposure (recording consent, false-confidence risk in anything claiming to contact emergency services, iOS platform/App Store constraints) that cannot be resolved by engineering alone. The prototype demonstrates this as a clearly-labelled UI simulation deliberately for this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Literal blockchain ledger</w:t>
            </w:r>
            <w:r>
              <w:t xml:space="preserve"> </w:t>
            </w:r>
            <w:r>
              <w:t xml:space="preserve">(if the client insists on the brief’s literal wording after the ADR-005 conversation)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  <w:r>
              <w:t xml:space="preserve">, re-costed and re-planned if chosen</w:t>
            </w:r>
          </w:p>
        </w:tc>
        <w:tc>
          <w:tcPr/>
          <w:p>
            <w:pPr>
              <w:pStyle w:val="Compact"/>
            </w:pPr>
            <w:r>
              <w:t xml:space="preserve">ADR-005 recommends a hash-chained database ledger instead, for good technical reasons; a literal blockchain is a legitimate client choice but is heavier infrastructure that should be costed and scheduled deliberately, not folded into the phase-1 estimate by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floating widget</w:t>
            </w:r>
            <w:r>
              <w:t xml:space="preserve"> </w:t>
            </w:r>
            <w:r>
              <w:t xml:space="preserve">(if spike 2(b)/2(d) shows materially higher risk/cost than the web/desktop delivery mechanism)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Web-first for MVP</w:t>
            </w:r>
            <w:r>
              <w:t xml:space="preserve">, mobile in phase 2 if the spike result warrants it</w:t>
            </w:r>
          </w:p>
        </w:tc>
        <w:tc>
          <w:tcPr/>
          <w:p>
            <w:pPr>
              <w:pStyle w:val="Compact"/>
            </w:pPr>
            <w:r>
              <w:t xml:space="preserve">Avoids the fixed-price estimate absorbing an unresolved feasibility question (especially iOS lock-screen behaviour, which is as much a platform-policy question as a technical one).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Cross-region disaster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  <w:r>
              <w:t xml:space="preserve"> </w:t>
            </w:r>
            <w:r>
              <w:t xml:space="preserve">(single-region London with Multi-AZ for MVP)</w:t>
            </w:r>
          </w:p>
        </w:tc>
        <w:tc>
          <w:tcPr/>
          <w:p>
            <w:pPr>
              <w:pStyle w:val="Compact"/>
            </w:pPr>
            <w:r>
              <w:t xml:space="preserve">Multi-AZ within eu-west-2 covers standard availability needs; cross-region DR is a real cost and complexity step up that should be an explicit client decision, not a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 else in the current brief and prototype</w:t>
            </w:r>
            <w:r>
              <w:t xml:space="preserve"> </w:t>
            </w:r>
            <w:r>
              <w:t xml:space="preserve">(RAG creation/knowledge management, Alerts/Incidents, dashboards, chat/calls/screen-share on web, calendar, Internal account cross-org RAG assignment)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/ MVP</w:t>
            </w:r>
          </w:p>
        </w:tc>
        <w:tc>
          <w:tcPr/>
          <w:p>
            <w:pPr>
              <w:pStyle w:val="Compact"/>
            </w:pPr>
            <w:r>
              <w:t xml:space="preserve">Already validated at the UX level in the prototype; no open legal or platform-feasibility blocker of the kind the Safety module has.</w:t>
            </w:r>
          </w:p>
        </w:tc>
      </w:tr>
    </w:tbl>
    <w:bookmarkEnd w:id="11"/>
    <w:bookmarkStart w:id="12" w:name="suggested-milestone-structure"/>
    <w:p>
      <w:pPr>
        <w:pStyle w:val="Heading2"/>
      </w:pPr>
      <w:r>
        <w:t xml:space="preserve">4. Suggested milestone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1 — Discovery (current).</w:t>
      </w:r>
      <w:r>
        <w:t xml:space="preserve"> </w:t>
      </w:r>
      <w:r>
        <w:t xml:space="preserve">This document and its companions. Ends with the discovery pack review below (item 13), not with build starting.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2 — Spikes, requirements addendum, ADR sign-off.</w:t>
      </w:r>
      <w:r>
        <w:t xml:space="preserve"> </w:t>
      </w:r>
      <w:r>
        <w:t xml:space="preserve">Runs the four spikes (item 2), the requirement workshops (item 1), and converts every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ADR to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or revised. Produces the confirmed-scale numbers the cost model needs.</w:t>
      </w:r>
      <w:r>
        <w:t xml:space="preserve"> </w:t>
      </w:r>
      <w:r>
        <w:rPr>
          <w:b/>
          <w:bCs/>
        </w:rPr>
        <w:t xml:space="preserve">This milestone is what the fixed price for the rest of the project should be committed after, not before.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3 — Environments &amp; platform foundation.</w:t>
      </w:r>
      <w:r>
        <w:t xml:space="preserve"> </w:t>
      </w:r>
      <w:r>
        <w:t xml:space="preserve">Repos, Terraform, dev/staging/prod environments, secrets management, CI/CD, AI cost/token observability (item 11). Multi-tenant schema and control plane stood 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4 — RAG pipeline &amp; evaluation harness.</w:t>
      </w:r>
      <w:r>
        <w:t xml:space="preserve"> </w:t>
      </w:r>
      <w:r>
        <w:t xml:space="preserve">Ingestion, chunking, embeddings, hybrid retrieval, re-ranking, grounding/refusal, keyword alerting (</w:t>
      </w:r>
      <w:r>
        <w:rPr>
          <w:rStyle w:val="VerbatimChar"/>
        </w:rPr>
        <w:t xml:space="preserve">rag-architecture.md</w:t>
      </w:r>
      <w:r>
        <w:t xml:space="preserve">), plus the evaluation harness (</w:t>
      </w:r>
      <w:r>
        <w:rPr>
          <w:rStyle w:val="VerbatimChar"/>
        </w:rPr>
        <w:t xml:space="preserve">rag-evaluation-strategy.md</w:t>
      </w:r>
      <w:r>
        <w:t xml:space="preserve">) running against real content from spike 2(a).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5 — Real-time backbone.</w:t>
      </w:r>
      <w:r>
        <w:t xml:space="preserve"> </w:t>
      </w:r>
      <w:r>
        <w:t xml:space="preserve">Chat, calls, screen-share, live dashboard feeds (ADR-004), on whichever platform spike 2(c) validated.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Milestone 6 — UAT &amp; compliance sign-off.</w:t>
      </w:r>
      <w:r>
        <w:t xml:space="preserve"> </w:t>
      </w:r>
      <w:r>
        <w:t xml:space="preserve">Evaluation-harness thresholds met (</w:t>
      </w:r>
      <w:r>
        <w:rPr>
          <w:rStyle w:val="VerbatimChar"/>
        </w:rPr>
        <w:t xml:space="preserve">rag-evaluation-strategy.md</w:t>
      </w:r>
      <w:r>
        <w:t xml:space="preserve"> </w:t>
      </w:r>
      <w:r>
        <w:t xml:space="preserve">§6), DPIA and legal review complete (</w:t>
      </w:r>
      <w:r>
        <w:rPr>
          <w:rStyle w:val="VerbatimChar"/>
        </w:rPr>
        <w:t xml:space="preserve">security-compliance-design.md</w:t>
      </w:r>
      <w:r>
        <w:t xml:space="preserve"> </w:t>
      </w:r>
      <w:r>
        <w:t xml:space="preserve">§5), security review 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 — Phase 1 scope only</w:t>
      </w:r>
      <w:r>
        <w:t xml:space="preserve"> </w:t>
      </w:r>
      <w:r>
        <w:t xml:space="preserve">(per §3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— Safety/Emergency module, mobile widget (if warranted), any deferred items, each with its own spike/legal review where flagged.</w:t>
      </w:r>
    </w:p>
    <w:bookmarkEnd w:id="12"/>
    <w:bookmarkStart w:id="13" w:name="whats-needed-to-accept-this-plan"/>
    <w:p>
      <w:pPr>
        <w:pStyle w:val="Heading2"/>
      </w:pPr>
      <w:r>
        <w:t xml:space="preserve">5. What’s needed to accept this plan</w:t>
      </w:r>
    </w:p>
    <w:p>
      <w:pPr>
        <w:pStyle w:val="Compact"/>
        <w:numPr>
          <w:ilvl w:val="0"/>
          <w:numId w:val="1003"/>
        </w:numPr>
      </w:pPr>
      <w:r>
        <w:t xml:space="preserve">Client engagement on the requirement workshops (item 1) and access/permission to run the technical spikes (item 2), including sample real documents for spike 2(a) — likely needs an NDA or data-handling agreement to be in place first, since real client content is involved even at spike stage.</w:t>
      </w:r>
    </w:p>
    <w:p>
      <w:pPr>
        <w:pStyle w:val="Compact"/>
        <w:numPr>
          <w:ilvl w:val="0"/>
          <w:numId w:val="1003"/>
        </w:numPr>
      </w:pPr>
      <w:r>
        <w:t xml:space="preserve">Confirmed team capacity, which turns the milestone structure above into an actual dated schedule — deliberately not estimated here, since committing dates before the critical-path items (§2) resolve would be the same estimating-without-data problem this whole discovery phase exists to avoid.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SafeIQ - Delivery Plan and Phasing</dc:title>
  <dc:creator/>
  <cp:keywords/>
  <dcterms:created xsi:type="dcterms:W3CDTF">2026-08-10T09:36:25Z</dcterms:created>
  <dcterms:modified xsi:type="dcterms:W3CDTF">2026-08-10T09:36:25Z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