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7BD" w:rsidRPr="005E7E09" w:rsidRDefault="008977BD" w:rsidP="008977BD">
      <w:pPr>
        <w:pStyle w:val="a3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5E7E09">
        <w:rPr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977BD" w:rsidRPr="005E7E09" w:rsidRDefault="008977BD" w:rsidP="008977BD">
      <w:pPr>
        <w:pStyle w:val="a3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5E7E09">
        <w:rPr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:rsidR="008977BD" w:rsidRPr="005E7E09" w:rsidRDefault="008977BD" w:rsidP="008977BD">
      <w:pPr>
        <w:pStyle w:val="a3"/>
        <w:jc w:val="center"/>
        <w:rPr>
          <w:b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5E7E09">
        <w:rPr>
          <w:b/>
          <w:color w:val="000000" w:themeColor="text1"/>
          <w:sz w:val="28"/>
          <w:szCs w:val="28"/>
        </w:rPr>
        <w:t>Департамент «Департамент математики»</w:t>
      </w:r>
    </w:p>
    <w:p w:rsidR="008977BD" w:rsidRPr="005E7E09" w:rsidRDefault="008977BD" w:rsidP="008977BD">
      <w:pPr>
        <w:pStyle w:val="a3"/>
        <w:rPr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pStyle w:val="a3"/>
        <w:rPr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5E7E09">
        <w:rPr>
          <w:b/>
          <w:color w:val="000000" w:themeColor="text1"/>
          <w:sz w:val="28"/>
          <w:szCs w:val="28"/>
        </w:rPr>
        <w:t xml:space="preserve">Домашнее творческое задание на тему: </w:t>
      </w:r>
    </w:p>
    <w:p w:rsidR="008977BD" w:rsidRPr="005E7E09" w:rsidRDefault="008977BD" w:rsidP="008977B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E7E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Воздействие социально-экономических факторов на объём </w:t>
      </w:r>
      <w:r w:rsidR="000F3596" w:rsidRPr="005E7E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ВРП</w:t>
      </w:r>
      <w:r w:rsidRPr="005E7E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в субъектах Российской Федерации</w:t>
      </w:r>
    </w:p>
    <w:p w:rsidR="008977BD" w:rsidRPr="005E7E09" w:rsidRDefault="008977BD" w:rsidP="008977B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ind w:firstLine="354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Выполнил: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КФиБА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20-1</w:t>
      </w:r>
    </w:p>
    <w:p w:rsidR="008977BD" w:rsidRPr="005E7E09" w:rsidRDefault="008977BD" w:rsidP="008977BD">
      <w:pPr>
        <w:ind w:firstLine="354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Зархин Иван Евгеньевич</w:t>
      </w:r>
    </w:p>
    <w:p w:rsidR="008977BD" w:rsidRPr="005E7E09" w:rsidRDefault="008977BD" w:rsidP="008977BD">
      <w:pPr>
        <w:ind w:firstLine="3544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Проверил:</w:t>
      </w:r>
    </w:p>
    <w:p w:rsidR="008977BD" w:rsidRPr="005E7E09" w:rsidRDefault="008977BD" w:rsidP="008977BD">
      <w:pPr>
        <w:ind w:firstLine="354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Ященко Наталия Алексеевна</w:t>
      </w:r>
    </w:p>
    <w:p w:rsidR="008977BD" w:rsidRPr="005E7E09" w:rsidRDefault="008977BD" w:rsidP="008977BD">
      <w:pPr>
        <w:ind w:firstLine="354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7BD" w:rsidRPr="005E7E09" w:rsidRDefault="008977BD" w:rsidP="008977B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F3596" w:rsidRPr="005E7E09" w:rsidRDefault="000F3596" w:rsidP="000F359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6EED" w:rsidRDefault="00B66EED" w:rsidP="000F359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6EED" w:rsidRDefault="00B66EED" w:rsidP="000F359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6EED" w:rsidRDefault="008977BD" w:rsidP="000F359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2022</w:t>
      </w:r>
    </w:p>
    <w:p w:rsidR="00B66EED" w:rsidRDefault="00B66EE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id w:val="153423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66EED" w:rsidRPr="00666DBF" w:rsidRDefault="00666DBF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6DB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66DBF" w:rsidRDefault="00B66E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50664" w:history="1">
            <w:r w:rsidR="00666DBF"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Теоретические предпосылки</w:t>
            </w:r>
            <w:r w:rsidR="00666DBF">
              <w:rPr>
                <w:noProof/>
                <w:webHidden/>
              </w:rPr>
              <w:tab/>
            </w:r>
            <w:r w:rsidR="00666DBF">
              <w:rPr>
                <w:noProof/>
                <w:webHidden/>
              </w:rPr>
              <w:fldChar w:fldCharType="begin"/>
            </w:r>
            <w:r w:rsidR="00666DBF">
              <w:rPr>
                <w:noProof/>
                <w:webHidden/>
              </w:rPr>
              <w:instrText xml:space="preserve"> PAGEREF _Toc121950664 \h </w:instrText>
            </w:r>
            <w:r w:rsidR="00666DBF">
              <w:rPr>
                <w:noProof/>
                <w:webHidden/>
              </w:rPr>
            </w:r>
            <w:r w:rsidR="00666DBF">
              <w:rPr>
                <w:noProof/>
                <w:webHidden/>
              </w:rPr>
              <w:fldChar w:fldCharType="separate"/>
            </w:r>
            <w:r w:rsidR="00666DBF">
              <w:rPr>
                <w:noProof/>
                <w:webHidden/>
              </w:rPr>
              <w:t>4</w:t>
            </w:r>
            <w:r w:rsidR="00666DBF"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65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Выбор эндогенных переменных (регрессоров)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66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Построение спецификации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67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Проверка на основные виды ошибок и внесение корректировок в эконометрическую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68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Тестирование адекватности предпосылок теоремы Гаусса-Маркова и оценка параметров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69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Проверка адекватности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70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71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BF" w:rsidRDefault="00666D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0672" w:history="1">
            <w:r w:rsidRPr="00EA133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EED" w:rsidRDefault="00B66EED">
          <w:r>
            <w:rPr>
              <w:b/>
              <w:bCs/>
            </w:rPr>
            <w:fldChar w:fldCharType="end"/>
          </w:r>
        </w:p>
      </w:sdtContent>
    </w:sdt>
    <w:p w:rsidR="00B66EED" w:rsidRDefault="00B66EE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B35738" w:rsidRPr="005E7E09" w:rsidRDefault="00B35738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B35738" w:rsidRPr="005E7E09" w:rsidRDefault="00B35738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Несмотря на активные попытки стабилизировать ситуацию в развитии регионов и устранить существующую с советского союза асимметрию, сделать это так и не удаётся. В совокупном ВРП страны отдельные субъекты сильно вырвались вперёд, когда некоторые отстающие даже вдесятером едва могут покрыть 5% от совокупного объёма этого макроэкономического показателя.</w:t>
      </w:r>
    </w:p>
    <w:p w:rsidR="006E35B3" w:rsidRPr="005E7E09" w:rsidRDefault="00B35738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6E35B3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исследования заключается в том, чтобы проанализировать, как факторы производства в регионах влияют на совокупный валовый региональный продукт, найти и доказать статистическую зависимость</w:t>
      </w:r>
      <w:r w:rsidR="006E35B3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6E35B3" w:rsidRPr="005E7E09" w:rsidRDefault="006E35B3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Чтобы достигнуть цели исследования, необходимо выполнить ряд задач, а именно: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Изучить теоретические предпосылки вопроса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Построить спецификацию эконометрической модели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Проверить ее на ошибки первого, второго и третьего рода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Рассчитать коэффициенты модели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Проверить модель на выполнение предпосылок Гаусса-Маркова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Проверить модель на адекватность</w:t>
      </w:r>
    </w:p>
    <w:p w:rsidR="006E35B3" w:rsidRPr="005E7E09" w:rsidRDefault="006E35B3" w:rsidP="006E35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Сделать выводы</w:t>
      </w:r>
    </w:p>
    <w:p w:rsidR="00314A5B" w:rsidRDefault="00314A5B" w:rsidP="006E35B3">
      <w:pPr>
        <w:spacing w:after="160"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Актуальность темы заключается в том, что асимметрия между регионами только возрастает, а в ближайшем будущем ожидается лишь большее ее усиление.</w:t>
      </w:r>
    </w:p>
    <w:p w:rsidR="006E35B3" w:rsidRPr="005E7E09" w:rsidRDefault="006E35B3" w:rsidP="006E35B3">
      <w:pPr>
        <w:spacing w:after="160"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исследовании автор будет использовать 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Python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статистические библиотеки.</w:t>
      </w:r>
    </w:p>
    <w:p w:rsidR="00ED1AD8" w:rsidRPr="005E7E09" w:rsidRDefault="00B35738" w:rsidP="00C555AA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ED1AD8" w:rsidRPr="00314A5B" w:rsidRDefault="000F3596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1950664"/>
      <w:r w:rsidRPr="00314A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Теоретические предпосылки</w:t>
      </w:r>
      <w:bookmarkEnd w:id="0"/>
    </w:p>
    <w:p w:rsidR="000F3596" w:rsidRPr="005E7E09" w:rsidRDefault="000F3596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точки зрения макроэкономики, ВРП (валовый региональный продукт) – это один из основных показателей экономического состояния региона, который показывает </w:t>
      </w:r>
      <w:r w:rsidR="004E4E08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стоимость всех товаров и услуг, произведенных в конкретном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субъекте</w:t>
      </w:r>
      <w:r w:rsidR="004E4E08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4E4E08" w:rsidRPr="005E7E09" w:rsidRDefault="004E4E08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976B9F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Исследование ВРП представляет важность для прогнозирования экономического потенциала не только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одного отдельно взятого</w:t>
      </w:r>
      <w:r w:rsidR="00976B9F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региона, но и всей страны в целом: несмотря на то, что сумма ВРП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субъектов федерации</w:t>
      </w:r>
      <w:r w:rsidR="00976B9F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не равна ВВП ни количественно, ни качественно, она занимает значительную часть Внутреннего Валового Продукта России.</w:t>
      </w:r>
    </w:p>
    <w:p w:rsidR="00976B9F" w:rsidRPr="005E7E09" w:rsidRDefault="00976B9F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Проблема аномального распределения ВРП страны стоит остро. Так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46,3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% всей суммы исходит от 10 регионов, остальные 75 делят между собой оставшиеся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53,7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%. На од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только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Ненецкий автономный округ 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приходится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% всего совокупного ВРП.</w:t>
      </w:r>
      <w:r w:rsidR="00066310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5086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[1]</w:t>
      </w:r>
    </w:p>
    <w:p w:rsidR="00066310" w:rsidRPr="005E7E09" w:rsidRDefault="00066310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Отток ресурсов из регионов Сибири, Кавказа и Дальнего Востока в Северо-Западную часть страны лишь усиливает асимметрию регионального экономического развития.</w:t>
      </w:r>
    </w:p>
    <w:p w:rsidR="00066310" w:rsidRPr="005E7E09" w:rsidRDefault="00066310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«Минэкономразвития» обратил внимание на эту проблему и потому разработал Стратегию пространственного развития РФ до 2025 года, которая предусматривает сбалансированное развитие регионов по всей стране и выравнивание их уровня ВРП. Однако, исходя из последней 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геополитческой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ситуации, достижение целей стратегии к 2025-ому выглядит неубедительным.</w:t>
      </w:r>
    </w:p>
    <w:p w:rsidR="00066310" w:rsidRDefault="00066310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1950665"/>
      <w:r w:rsidRPr="002E3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эндогенных переменных (регрессоров)</w:t>
      </w:r>
      <w:bookmarkEnd w:id="1"/>
    </w:p>
    <w:p w:rsidR="002E3CC1" w:rsidRPr="002E3CC1" w:rsidRDefault="002E3CC1" w:rsidP="002E3CC1"/>
    <w:p w:rsidR="00B50862" w:rsidRPr="005E7E09" w:rsidRDefault="00B50862" w:rsidP="008977B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 первую очередь определимся, что в качестве экзогенной переменной мы будем брать объём ВРП, произведённого регионом.</w:t>
      </w:r>
      <w:r w:rsidRPr="005E7E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Прежде всего стоит предположить, что на объём производства региона (т.е. ВРП) влияют сами факторы производства. В экономике выделяют четыре основных фактора производства: труд, земля, капитал и информация.</w:t>
      </w: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Относительно регионов интересно обратить внимание на такой показатель как «инвестиции в основной капитал», который показывает объём средств, направленных на создание и воспроизводство основных средств, таких как покупка машин, зданий или высадку насаждений. Так как объём 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вложенного капитала приводит к обновлению производственных фондов, выпуск предприятий становится эффективнее, себестоимость производства становится дешевле. Следовательно, увеличивается стоимость совокупного выпуска.</w:t>
      </w: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Другой эндогенной переменной может стать объём средств, которые регионы вложили в развитие технологий. Информация как фактор производства представляет собой именно ресурсы, затраченные на развитие НПК. Предположим, что чем больше объём средств, вложенных в технологический бизнес, тем больше будет возврат ВРП от интенсивного эффекта научных разработок. </w:t>
      </w: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Третьей эндогенной переменной, которая может оказаться статистически значимой, может являться объём средств, который в субъекте тратится на трудовые ресурсы. Чтобы узнать эту величину, нам следует умножить количество трудоспособного населения на среднюю зарплату в регионе, так как отдельно эта информация будет малоинформативной. В таблице 1 показана оптимизация двух разрозненных показателей и сведение их к общей сумме затрат на труд в субъекте на примере Белгородской области.</w:t>
      </w: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7E09" w:rsidRPr="005E7E09" w:rsidTr="00B50862">
        <w:tc>
          <w:tcPr>
            <w:tcW w:w="2336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Регион</w:t>
            </w:r>
          </w:p>
        </w:tc>
        <w:tc>
          <w:tcPr>
            <w:tcW w:w="2336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Средний доход (руб.)</w:t>
            </w:r>
          </w:p>
        </w:tc>
        <w:tc>
          <w:tcPr>
            <w:tcW w:w="2336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Кол-во трудоспособного населения от 15 до 72 лет (тыс. чел)</w:t>
            </w:r>
          </w:p>
        </w:tc>
        <w:tc>
          <w:tcPr>
            <w:tcW w:w="2337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Затраты на труд в регионе (тыс. руб.)</w:t>
            </w:r>
          </w:p>
        </w:tc>
      </w:tr>
      <w:tr w:rsidR="005E7E09" w:rsidRPr="005E7E09" w:rsidTr="00B50862">
        <w:tc>
          <w:tcPr>
            <w:tcW w:w="2336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Белгородская область</w:t>
            </w:r>
          </w:p>
        </w:tc>
        <w:tc>
          <w:tcPr>
            <w:tcW w:w="2336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35781</w:t>
            </w: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,0</w:t>
            </w:r>
          </w:p>
        </w:tc>
        <w:tc>
          <w:tcPr>
            <w:tcW w:w="2336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827</w:t>
            </w: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</w:t>
            </w: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769</w:t>
            </w:r>
          </w:p>
        </w:tc>
        <w:tc>
          <w:tcPr>
            <w:tcW w:w="2337" w:type="dxa"/>
          </w:tcPr>
          <w:p w:rsidR="00B50862" w:rsidRPr="005E7E09" w:rsidRDefault="00B50862" w:rsidP="008977BD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29 618 402, 589</w:t>
            </w:r>
          </w:p>
        </w:tc>
      </w:tr>
    </w:tbl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Labour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Revenue*Number</w:t>
      </w:r>
    </w:p>
    <w:p w:rsidR="00B50862" w:rsidRPr="005E7E09" w:rsidRDefault="00B50862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Фактор земли в качестве эндогенной переменной для каждого региона решено не брать, так как его достаточно тяжело объективно оценить и точной статистики, какая часть земли в каждом субъекте отдана под производство не существует. В открытом доступе содержится информация только по сельскохозяйственным угодиям и по общей площади регионов. Проблема первого вида статистики заключается в том, что она не учитывает, 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какая площадь отдана под несельскохозяйственный бизнес и результаты будут искажаться сельскохозяйственными регионами, такими, как Краснодарский край. По второму виду статистики не известно, как в площади регионов распределяется доля, отданная под бизнес единицы. В случае учета этого фактора мы рискуем получить искажение в сторону крупных регионов (таких как республика Саха). </w:t>
      </w:r>
    </w:p>
    <w:p w:rsidR="00B50862" w:rsidRDefault="00B50862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Toc121950666"/>
      <w:r w:rsidRPr="002E3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спецификации модели</w:t>
      </w:r>
      <w:bookmarkEnd w:id="2"/>
    </w:p>
    <w:p w:rsidR="002E3CC1" w:rsidRPr="002E3CC1" w:rsidRDefault="002E3CC1" w:rsidP="002E3CC1"/>
    <w:p w:rsidR="00B50862" w:rsidRPr="005E7E09" w:rsidRDefault="00B50862" w:rsidP="00B50862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 основу спецификации возьмём производственную модель Кобба-Дугласа и расширим её дополнительным фактором «затраты на научные разработки». </w:t>
      </w:r>
    </w:p>
    <w:p w:rsidR="00B50862" w:rsidRPr="005E7E09" w:rsidRDefault="00B50862" w:rsidP="00B50862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итоге спецификация будет выглядеть следующим образом:</w:t>
      </w:r>
    </w:p>
    <w:p w:rsidR="00B50862" w:rsidRPr="005E7E09" w:rsidRDefault="00B50862" w:rsidP="00B50862">
      <w:pPr>
        <w:ind w:firstLine="708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Yt=a0×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a1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a3</m:t>
            </m:r>
          </m:sup>
        </m:sSup>
      </m:oMath>
      <w:r w:rsidRPr="005E7E0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×</w:t>
      </w:r>
      <w:proofErr w:type="spellStart"/>
      <w:r w:rsidRPr="005E7E0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ut</w:t>
      </w:r>
      <w:proofErr w:type="spellEnd"/>
      <w:r w:rsidR="00A06189" w:rsidRPr="005E7E0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(1.1)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Где: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Yt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ВРП региона (эндогенная переменная),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Lt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затраты на труд в регионе (экзогенная переменная),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Kt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затраты на капитал в регионе (экзогенная переменная),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Tt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затраты на технологии в регионе (экзогенная переменная),</w:t>
      </w:r>
    </w:p>
    <w:p w:rsidR="00384E3C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&gt; 0,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 </w:t>
      </w:r>
      <w:proofErr w:type="gramStart"/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&lt; </w:t>
      </w:r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proofErr w:type="gramEnd"/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1, </w:t>
      </w:r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2, </w:t>
      </w:r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F10CD2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&lt;1</w:t>
      </w:r>
      <w:r w:rsidR="00384E3C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ut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случайные возмущения</w:t>
      </w:r>
    </w:p>
    <w:p w:rsidR="00B50862" w:rsidRPr="005E7E09" w:rsidRDefault="00B50862" w:rsidP="00B5086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Теперь перейдем к сбору статистики. За основу были взяты данные Росстат по следующим категориям:</w:t>
      </w:r>
    </w:p>
    <w:p w:rsidR="00B50862" w:rsidRPr="005E7E09" w:rsidRDefault="00B50862" w:rsidP="00B5086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Показатели Валового регионального продукта за 2021 год [</w:t>
      </w:r>
      <w:r w:rsidR="00384E3C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</w:p>
    <w:p w:rsidR="00B50862" w:rsidRPr="005E7E09" w:rsidRDefault="00B50862" w:rsidP="00B5086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Статистика по трудоспособному населению в разрезе субъектов РФ за 2021 год [</w:t>
      </w:r>
      <w:r w:rsidR="00384E3C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</w:p>
    <w:p w:rsidR="00B50862" w:rsidRPr="005E7E09" w:rsidRDefault="00B50862" w:rsidP="00B5086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Статистика по среднедушевому доходу в разрезе субъектов РФ за 2021 год [</w:t>
      </w:r>
      <w:r w:rsidR="005A002A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</w:p>
    <w:p w:rsidR="00B50862" w:rsidRPr="005E7E09" w:rsidRDefault="00B50862" w:rsidP="00B5086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Статистика по затратам на технологический бизнес в разрезе по субъектам РФ [</w:t>
      </w:r>
      <w:r w:rsidR="005A002A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</w:p>
    <w:p w:rsidR="00D24B18" w:rsidRPr="005E7E09" w:rsidRDefault="00B50862" w:rsidP="00D24B18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Статистика по инвестициям в основной капитал в разрезе по субъектам РФ за 2021 год [</w:t>
      </w:r>
      <w:r w:rsidR="00993CBE"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</w:p>
    <w:p w:rsidR="00B50862" w:rsidRPr="005E7E09" w:rsidRDefault="00436F24" w:rsidP="00436F24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Чтобы мы смогли применить метод МНК нам необходимо 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линеизировать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существующую модель методом логарифмирования. В результате проведенных операций мы получим следующий вид спецификации:</w:t>
      </w:r>
    </w:p>
    <w:p w:rsidR="00436F24" w:rsidRPr="005E7E09" w:rsidRDefault="00436F24" w:rsidP="00436F24">
      <w:pPr>
        <w:ind w:firstLine="708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Yt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Lt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Kt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⁡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5E7E0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+ </w:t>
      </w:r>
      <w:proofErr w:type="spellStart"/>
      <w:r w:rsidRPr="005E7E0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ut</w:t>
      </w:r>
      <w:proofErr w:type="spellEnd"/>
      <w:r w:rsidRPr="005E7E0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(1.1)</w:t>
      </w:r>
    </w:p>
    <w:p w:rsidR="00595EF9" w:rsidRDefault="00595EF9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1950667"/>
      <w:r w:rsidRPr="002E3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на основные виды ошибок и внесение корректировок в эконометрическую модель</w:t>
      </w:r>
      <w:bookmarkEnd w:id="3"/>
    </w:p>
    <w:p w:rsidR="002E3CC1" w:rsidRPr="002E3CC1" w:rsidRDefault="002E3CC1" w:rsidP="002E3CC1"/>
    <w:p w:rsidR="00BC463D" w:rsidRPr="005E7E09" w:rsidRDefault="00BC463D" w:rsidP="00436F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Сперва </w:t>
      </w:r>
      <w:r w:rsidR="00662FC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оценим коэффициенты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множественной линейной регрессии при помощи инструментов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Воспользуемся статистическим пакетом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</w:t>
      </w:r>
      <w:proofErr w:type="spellEnd"/>
      <w:r w:rsidR="000065BD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[6]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, с помощью которого мы будем не только рассчитывать коэффициенты, но и проводить в будущем необходимые тесты на соблюдение предпосылок.</w:t>
      </w:r>
    </w:p>
    <w:p w:rsidR="00BC463D" w:rsidRPr="005E7E09" w:rsidRDefault="00BC463D" w:rsidP="00436F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Разделим нашу выборку на две части: зависимую переменную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статистику по которой составляют значения ВРП субъектов РФ и матрицу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которую формируют статистика по объясняющим переменным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с помощью метода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OLS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библиотеки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оценим параметры модели и основные статистики.</w:t>
      </w:r>
    </w:p>
    <w:p w:rsidR="00F441B7" w:rsidRPr="005E7E09" w:rsidRDefault="00F441B7" w:rsidP="00436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1. МНК-оценка модели.</w:t>
      </w:r>
    </w:p>
    <w:p w:rsidR="00BC463D" w:rsidRPr="005E7E09" w:rsidRDefault="00BC463D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DDB8A78" wp14:editId="41DD794C">
            <wp:extent cx="5486218" cy="32537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206" cy="329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C4" w:rsidRPr="005E7E09" w:rsidRDefault="00662FC4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ab/>
        <w:t xml:space="preserve">В первую очередь обратим внимание на столбец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summary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анализа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OLS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Коэффициент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показывает отношение оценённого коэффициента к среднеквадратической ошибке и с помощью него можно проверить модель на ошибку второго типа, а именно </w:t>
      </w:r>
      <w:r w:rsidRPr="005E7E0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включение незначащих регрессоров в модель.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Так, если модуль коэффициента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окажется больше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критического, значит регрессор считается значимым. В противном случае регрессор стоит убрать из модели.</w:t>
      </w:r>
    </w:p>
    <w:p w:rsidR="00662FC4" w:rsidRPr="005E7E09" w:rsidRDefault="00662FC4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Чтобы узнать значение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-распределения используем библиотеку 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scipy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модуль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ppf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в котором нам необходимо указать два значения: критический уровень и степень свободы.</w:t>
      </w:r>
      <w:r w:rsidR="0070651E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Критический уровень </w:t>
      </w:r>
      <w:r w:rsidR="0070651E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alfa</w:t>
      </w:r>
      <w:r w:rsidR="0070651E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мы примем за 0.05, степень свободы по нашей модели равна 56. Итого, </w:t>
      </w:r>
      <w:r w:rsidR="0070651E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="0070651E" w:rsidRPr="00D17E6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="0070651E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критическое = </w:t>
      </w:r>
      <w:r w:rsidR="004A4F7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1.997</w:t>
      </w:r>
      <w:r w:rsidR="0070651E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0651E" w:rsidRPr="005E7E09" w:rsidRDefault="0070651E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Все коэффициенты выше критического уровня кроме свободного члена. Исключим его из модели и снова проведем МНК-оценку.</w:t>
      </w:r>
    </w:p>
    <w:p w:rsidR="00F441B7" w:rsidRPr="005E7E09" w:rsidRDefault="00F441B7" w:rsidP="00436F2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Рисунок 2. МНК-оценка модели без свободного члена</w:t>
      </w:r>
    </w:p>
    <w:p w:rsidR="00F441B7" w:rsidRPr="005E7E09" w:rsidRDefault="00F441B7" w:rsidP="00436F2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0D79C11" wp14:editId="049B89E5">
            <wp:extent cx="5940425" cy="3241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B7" w:rsidRPr="005E7E09" w:rsidRDefault="00F441B7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ab/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Теперь проверим модель на ошибку первого рода, а именно на </w:t>
      </w:r>
      <w:r w:rsidRPr="005E7E0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правильно подобранную функцию регрессии.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этого нам нужно оценить знаки случайных остатков и коэффициенты двух моделей из разбитый поровну выборок.</w:t>
      </w:r>
    </w:p>
    <w:p w:rsidR="00F441B7" w:rsidRPr="005E7E09" w:rsidRDefault="00F441B7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Для начала посмотрим на случайные остатки.</w:t>
      </w:r>
      <w:r w:rsidR="00D87939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Расположим модули регрессоров по возрастанию и посмотрим на знаки.</w:t>
      </w:r>
      <w:r w:rsidR="00E6279B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Обратите внимание на приложение 1. В целом знаки остатков не задерживаются на одном месте и </w:t>
      </w:r>
      <w:r w:rsidR="00E6279B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постоянно меняются. Можем говорить о том, что остатки действительно случайные.</w:t>
      </w:r>
    </w:p>
    <w:p w:rsidR="00E6279B" w:rsidRPr="005E7E09" w:rsidRDefault="00E6279B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Оценим коэффициенты двух моделей. Разделим выборку на две части: с 1-ого наблюдения по 3</w:t>
      </w:r>
      <w:r w:rsidR="004A4F7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-е и с 34-ого по </w:t>
      </w:r>
      <w:r w:rsidR="004A4F7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65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-ое.</w:t>
      </w:r>
    </w:p>
    <w:p w:rsidR="004A4F74" w:rsidRPr="005E7E09" w:rsidRDefault="004A4F74" w:rsidP="00436F2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После анализа мы получили следующие результаты, приведенные в таблице 1.</w:t>
      </w:r>
    </w:p>
    <w:p w:rsidR="004A4F74" w:rsidRPr="005E7E09" w:rsidRDefault="004A4F74" w:rsidP="00436F2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Таблица 1. Коэффициенты половины выборки</w:t>
      </w:r>
    </w:p>
    <w:p w:rsidR="004A4F74" w:rsidRPr="005E7E09" w:rsidRDefault="004A4F74" w:rsidP="00436F2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4A4F74" w:rsidRPr="005E7E09" w:rsidTr="004A4F74">
        <w:tc>
          <w:tcPr>
            <w:tcW w:w="70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Первая половина</w:t>
            </w:r>
          </w:p>
        </w:tc>
        <w:tc>
          <w:tcPr>
            <w:tcW w:w="481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Вторая половина</w:t>
            </w:r>
          </w:p>
        </w:tc>
      </w:tr>
      <w:tr w:rsidR="005E7E09" w:rsidRPr="005E7E09" w:rsidTr="004A4F74">
        <w:tc>
          <w:tcPr>
            <w:tcW w:w="70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3827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0.040525</w:t>
            </w:r>
          </w:p>
        </w:tc>
        <w:tc>
          <w:tcPr>
            <w:tcW w:w="481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0.072230</w:t>
            </w:r>
          </w:p>
        </w:tc>
      </w:tr>
      <w:tr w:rsidR="005E7E09" w:rsidRPr="005E7E09" w:rsidTr="004A4F74">
        <w:tc>
          <w:tcPr>
            <w:tcW w:w="70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3827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0.451013</w:t>
            </w:r>
          </w:p>
        </w:tc>
        <w:tc>
          <w:tcPr>
            <w:tcW w:w="481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0.446753</w:t>
            </w:r>
          </w:p>
        </w:tc>
      </w:tr>
      <w:tr w:rsidR="005E7E09" w:rsidRPr="005E7E09" w:rsidTr="004A4F74">
        <w:tc>
          <w:tcPr>
            <w:tcW w:w="704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3827" w:type="dxa"/>
          </w:tcPr>
          <w:p w:rsidR="004A4F74" w:rsidRPr="005E7E09" w:rsidRDefault="004A4F74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0.450765</w:t>
            </w:r>
          </w:p>
        </w:tc>
        <w:tc>
          <w:tcPr>
            <w:tcW w:w="4814" w:type="dxa"/>
          </w:tcPr>
          <w:p w:rsidR="004A4F74" w:rsidRPr="005E7E09" w:rsidRDefault="00A16E0F" w:rsidP="004A4F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0.440291</w:t>
            </w:r>
          </w:p>
        </w:tc>
      </w:tr>
    </w:tbl>
    <w:p w:rsidR="004A4F74" w:rsidRPr="005E7E09" w:rsidRDefault="004A4F74" w:rsidP="00436F2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:rsidR="0070651E" w:rsidRPr="005E7E09" w:rsidRDefault="004A4F74" w:rsidP="004A4F7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Как мы видим, оценки коэффициентов мало отличаются друг от друга при разделении выборок на две равные части.</w:t>
      </w:r>
    </w:p>
    <w:p w:rsidR="00D87939" w:rsidRPr="005E7E09" w:rsidRDefault="00D87939" w:rsidP="004A4F7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Также необходимо проверить модель на ошибки третьего рода, а именно </w:t>
      </w:r>
      <w:r w:rsidRPr="005E7E0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невключение важных регрессоров в модель.</w:t>
      </w:r>
      <w:r w:rsidR="00647908" w:rsidRPr="005E7E0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целом симптоматика очень похожа на ошибки первого рода, </w:t>
      </w:r>
      <w:proofErr w:type="gramStart"/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</w:t>
      </w:r>
      <w:proofErr w:type="gramEnd"/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чтобы убедиться дополнительно в том, что этой ошибки не наблюдается, проверим знаки остатков еще с помощью одного критерия, а именно с помощью теста на автокорреляцию. Так как в спецификации отсутствует свободный член, статистику </w:t>
      </w:r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DW</w:t>
      </w:r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применять нельзя. Поэтому использует аналог, другой тест на автокорреляцию, который предполагает намного меньше ограничений, чем </w:t>
      </w:r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DW</w:t>
      </w:r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 том числе возможность его использования без свободного члена), а именно статистику </w:t>
      </w:r>
      <w:proofErr w:type="spellStart"/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Бреуша</w:t>
      </w:r>
      <w:proofErr w:type="spellEnd"/>
      <w:r w:rsidR="0064790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-Годфри.</w:t>
      </w:r>
    </w:p>
    <w:p w:rsidR="00647908" w:rsidRPr="005E7E09" w:rsidRDefault="00647908" w:rsidP="0064790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Гипотеза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0 заключается в том, что в модели отсутствует корреляция случайных остатков. Альтернативная гипотеза говорит об обратном. </w:t>
      </w:r>
    </w:p>
    <w:p w:rsidR="00647908" w:rsidRPr="005E7E09" w:rsidRDefault="00647908" w:rsidP="0064790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того, чтобы провести этот тест воспользуемся методом 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acorr_breusch_</w:t>
      </w:r>
      <w:proofErr w:type="gram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godfrey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из библиотеки 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statsmodels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Входные данные для функции </w:t>
      </w:r>
      <w:r w:rsidR="004778C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это исходная модель и номер порядка. В нашем случае порядок будет равен единице, так как у нас стационарный, а не временной ряд, тогда </w:t>
      </w:r>
      <w:r w:rsidR="004778C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тест </w:t>
      </w:r>
      <w:proofErr w:type="spellStart"/>
      <w:r w:rsidR="004778C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Бреуша</w:t>
      </w:r>
      <w:proofErr w:type="spellEnd"/>
      <w:r w:rsidR="004778C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-Годфри будет аналогичен по результатам тесту </w:t>
      </w:r>
      <w:proofErr w:type="spellStart"/>
      <w:r w:rsidR="004778C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Дарбина</w:t>
      </w:r>
      <w:proofErr w:type="spellEnd"/>
      <w:r w:rsidR="004778C8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-Уотсона. Введем код:</w:t>
      </w:r>
    </w:p>
    <w:p w:rsidR="004778C8" w:rsidRPr="005E7E09" w:rsidRDefault="004778C8" w:rsidP="004778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sm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stats</w:t>
      </w:r>
      <w:proofErr w:type="gram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diagnostic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acorr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breusch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godfrey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nlags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1 )</w:t>
      </w:r>
    </w:p>
    <w:p w:rsidR="004778C8" w:rsidRPr="005E7E09" w:rsidRDefault="004778C8" w:rsidP="0064790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выходе мы получаем список значений, из которых нас интересует первые два – это сама статистика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BG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проверки нулевой гипотезы.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равен 0.38. Так как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уровня значимости 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alfa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который мы берем как 0.05, это значит, что мы можем принять нулевую гипотезу об отсутствии автокорреляции случайных остатков.</w:t>
      </w:r>
    </w:p>
    <w:p w:rsidR="004778C8" w:rsidRPr="005E7E09" w:rsidRDefault="004778C8" w:rsidP="00647908">
      <w:pPr>
        <w:ind w:firstLine="708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 данном случае не целесообразно проверять нашу модель на ошибку 4 типа: непостоянство параметров линейной регрессионной модели</w:t>
      </w:r>
      <w:r w:rsidRPr="005E7E0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 Наши данные не временные, а пространственные, тест Чоу использовать не нужно.</w:t>
      </w:r>
    </w:p>
    <w:p w:rsidR="004778C8" w:rsidRPr="0014051F" w:rsidRDefault="004778C8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1950668"/>
      <w:r w:rsidRPr="00140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адекватности предпосылок теоремы Гаусса-Маркова и оценка параметров модели</w:t>
      </w:r>
      <w:bookmarkEnd w:id="4"/>
    </w:p>
    <w:p w:rsidR="0014051F" w:rsidRDefault="0014051F" w:rsidP="004778C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8C8" w:rsidRPr="005E7E09" w:rsidRDefault="004778C8" w:rsidP="004778C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После проверки на основные симптомы некачественной модели, мы убедились, что явных признаков плохой спецификации нет. Теперь перейдем к тестированию предпосылок Гаусса-Маркова, а именно:</w:t>
      </w:r>
    </w:p>
    <w:p w:rsidR="004778C8" w:rsidRPr="005E7E09" w:rsidRDefault="004778C8" w:rsidP="004778C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Математическое ожидание случайных остатков равно нулю.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H0: E(</w:t>
      </w:r>
      <w:proofErr w:type="spellStart"/>
      <w:r w:rsidR="00E03BD2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03BD2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:rsidR="00E03BD2" w:rsidRPr="005E7E09" w:rsidRDefault="00E03BD2" w:rsidP="004778C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Предпосылка о постоянстве дисперсии случайных остатков во всех наблюдениях.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0: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sigma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^2</w:t>
      </w:r>
    </w:p>
    <w:p w:rsidR="00E03BD2" w:rsidRPr="005E7E09" w:rsidRDefault="00E03BD2" w:rsidP="00E03BD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корреляции между случайными остатками в любом наблюдении: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0: </w:t>
      </w:r>
      <w:proofErr w:type="spellStart"/>
      <w:proofErr w:type="gram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Cov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) = 0</w:t>
      </w:r>
    </w:p>
    <w:p w:rsidR="00E03BD2" w:rsidRPr="005E7E09" w:rsidRDefault="00E03BD2" w:rsidP="00E03BD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Случайный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остаток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распределен независимо от объясняющих переменных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proofErr w:type="spellStart"/>
      <w:proofErr w:type="gram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Cov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i) = M (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·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) = 0</w:t>
      </w:r>
    </w:p>
    <w:p w:rsidR="00E03BD2" w:rsidRPr="005E7E09" w:rsidRDefault="00E03BD2" w:rsidP="00E03BD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7726" w:rsidRPr="005E7E09" w:rsidRDefault="00367726" w:rsidP="00367726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делом разделим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датафрейм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две выборки – обучающую и контролирующую. Пусть значения с </w:t>
      </w:r>
      <w:r w:rsidR="00DE4F4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пятого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последнее будут в обучающей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выборке. </w:t>
      </w:r>
      <w:r w:rsidR="00DE4F4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С первого по пятое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</w:t>
      </w:r>
      <w:r w:rsidR="00DE4F4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затем проверим адекватность модели. </w:t>
      </w:r>
    </w:p>
    <w:p w:rsidR="00367726" w:rsidRPr="005E7E09" w:rsidRDefault="00367726" w:rsidP="00367726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первой предпосылки мы должны провести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-тест. Сначала вычисляется значение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формуле:</w:t>
      </w:r>
    </w:p>
    <w:p w:rsidR="00367726" w:rsidRPr="005E7E09" w:rsidRDefault="00367726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*(n-(k+1)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*k</m:t>
              </m:r>
            </m:den>
          </m:f>
        </m:oMath>
      </m:oMathPara>
    </w:p>
    <w:p w:rsidR="00367726" w:rsidRPr="005E7E09" w:rsidRDefault="00367726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Оно для модели равняется </w:t>
      </w:r>
      <w:r w:rsidR="00A5145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125429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-статистика намного больше 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-критического при уровне значимости 5% и степенях свободы 3 и </w:t>
      </w:r>
      <w:r w:rsidR="00DE4F4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критическое по таблице в таком случае равно 2, 76). Кроме того, на то, что предпосылка выполняется указывает значение </w:t>
      </w:r>
      <w:proofErr w:type="spellStart"/>
      <w:r w:rsidR="00095C6F" w:rsidRPr="005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Prob</w:t>
      </w:r>
      <w:proofErr w:type="spellEnd"/>
      <w:r w:rsidR="00095C6F" w:rsidRPr="005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(F-</w:t>
      </w:r>
      <w:proofErr w:type="spellStart"/>
      <w:r w:rsidR="00095C6F" w:rsidRPr="005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statistic</w:t>
      </w:r>
      <w:proofErr w:type="spellEnd"/>
      <w:r w:rsidR="00095C6F" w:rsidRPr="005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намного меньше установленного 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="00095C6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5%. Это значит, что мы принимаем гипотезу о нулевом математическом ожидании случайных остатков и можем доверять коэффициенту детерминации, который для данной модели равен </w:t>
      </w:r>
      <w:r w:rsidR="00DB3150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0,99.</w:t>
      </w:r>
      <w:r w:rsidR="00652FF9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Спецификация признана качественной.</w:t>
      </w:r>
    </w:p>
    <w:p w:rsidR="00DB3150" w:rsidRPr="005E7E09" w:rsidRDefault="00DB3150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проверки второй предпосылки Гаусса-Маркова о гомоскедастичности случайных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остаков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обратимся к тесту Готфрида-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Квандта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библиотеке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выполняется с помощью модуля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het_</w:t>
      </w:r>
      <w:proofErr w:type="gram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goldfeldquandt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входные данные для которого </w:t>
      </w:r>
      <w:r w:rsidR="00A14CE1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это вектор статистики по эндогенной переменной и матрица статистики по экзогенным переменным. Третий параметр, который необходимо задать – это мера отсечения </w:t>
      </w:r>
      <w:r w:rsidR="00652FF9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переменных из середины, чтобы потом алгоритм сравнил, как отличается распределение остатков по обе стороны от середины. Документация </w:t>
      </w:r>
      <w:proofErr w:type="spellStart"/>
      <w:r w:rsidR="00652FF9"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</w:t>
      </w:r>
      <w:proofErr w:type="spellEnd"/>
      <w:r w:rsidR="00652FF9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рекомендует задавать этот параметр как 20% от выборки. </w:t>
      </w:r>
    </w:p>
    <w:p w:rsidR="00652FF9" w:rsidRPr="005E7E09" w:rsidRDefault="00652FF9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Суть теста заключается в проверке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0: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=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=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sigma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^2. Если значения теста окажется меньше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5%, то мы отвергаем нулевую гипотезу. Если нет, то принимаем.</w:t>
      </w:r>
    </w:p>
    <w:p w:rsidR="00652FF9" w:rsidRPr="005E7E09" w:rsidRDefault="00652FF9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Тест показал значение равное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0.0</w:t>
      </w:r>
      <w:r w:rsidR="00A51454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отсечении 20% выборки. Мы принимаем гипотезу о гомоскедастичности случайных остатков.</w:t>
      </w:r>
    </w:p>
    <w:p w:rsidR="00652FF9" w:rsidRPr="005E7E09" w:rsidRDefault="00652FF9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Третью предпосылку о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неавтокоррелированности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случайных остатков мы проверили на этапе разбора возможных ошибок статистиков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Бреуша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-Годфри и установили, что в модели не наблюдается автокорреляция случайных остатков.</w:t>
      </w:r>
    </w:p>
    <w:p w:rsidR="00580EDB" w:rsidRPr="005E7E09" w:rsidRDefault="00580EDB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Sigma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вычислим вручную, так как пакет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statsmodels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имеет такой функции. Вычисления произведем по следующей формуле:</w:t>
      </w:r>
    </w:p>
    <w:p w:rsidR="00580EDB" w:rsidRPr="005E7E09" w:rsidRDefault="00580EDB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Sigma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</m:den>
            </m:f>
          </m:e>
        </m:rad>
      </m:oMath>
      <w:r w:rsidR="00824DCA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0,16</w:t>
      </w:r>
      <w:r w:rsidR="00A5145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8</w:t>
      </w:r>
    </w:p>
    <w:p w:rsidR="00652FF9" w:rsidRPr="005E7E09" w:rsidRDefault="00652FF9" w:rsidP="0036772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Теперь, после проверки всех предпосылок Гаусса-Маркова составим оцененную модель: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7E09" w:rsidRPr="005E7E09" w:rsidTr="00652FF9">
        <w:tc>
          <w:tcPr>
            <w:tcW w:w="9345" w:type="dxa"/>
          </w:tcPr>
          <w:p w:rsidR="00652FF9" w:rsidRPr="005E7E09" w:rsidRDefault="00652FF9" w:rsidP="00652FF9">
            <w:pPr>
              <w:ind w:firstLine="708"/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44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Lt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45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Kt+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(Tt)</m:t>
              </m:r>
            </m:oMath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ut</w:t>
            </w:r>
            <w:proofErr w:type="spellEnd"/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(1.1)</w:t>
            </w:r>
          </w:p>
        </w:tc>
      </w:tr>
      <w:tr w:rsidR="005E7E09" w:rsidRPr="005E7E09" w:rsidTr="00652FF9">
        <w:tc>
          <w:tcPr>
            <w:tcW w:w="9345" w:type="dxa"/>
          </w:tcPr>
          <w:p w:rsidR="00652FF9" w:rsidRPr="005E7E09" w:rsidRDefault="00580EDB" w:rsidP="00824D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Sa1 = </w:t>
            </w:r>
            <w:proofErr w:type="gramStart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</w:t>
            </w:r>
            <w:r w:rsidR="00B357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Sa</w:t>
            </w:r>
            <w:proofErr w:type="gramEnd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= 0,04</w:t>
            </w:r>
            <w:r w:rsidR="00B357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Sa3 = 0,0</w:t>
            </w:r>
            <w:r w:rsidR="000B6C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S(</w:t>
            </w:r>
            <w:proofErr w:type="spellStart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</w:t>
            </w:r>
            <w:proofErr w:type="spellEnd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= </w:t>
            </w:r>
            <w:r w:rsidR="00824DCA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0, 16</w:t>
            </w:r>
            <w:r w:rsidR="00B357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824DCA" w:rsidRPr="005E7E09" w:rsidRDefault="00824DCA" w:rsidP="00824DC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24DCA" w:rsidRDefault="00824DCA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1950669"/>
      <w:r w:rsidRPr="005E7E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адекватности модели</w:t>
      </w:r>
      <w:bookmarkEnd w:id="5"/>
    </w:p>
    <w:p w:rsidR="005E7E09" w:rsidRPr="005E7E09" w:rsidRDefault="005E7E09" w:rsidP="005E7E09"/>
    <w:p w:rsidR="00824DCA" w:rsidRPr="005E7E09" w:rsidRDefault="00824DCA" w:rsidP="00824DCA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адекватности модели мы должны составить доверительный интервал и узнать, попадает ли фактическое значение ВРП в него или нет.</w:t>
      </w:r>
    </w:p>
    <w:p w:rsidR="00824DCA" w:rsidRPr="005E7E09" w:rsidRDefault="00824DCA" w:rsidP="00824DCA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найдём коэффициент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= </w:t>
      </w:r>
      <w:proofErr w:type="spell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xT</w:t>
      </w:r>
      <w:proofErr w:type="spell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*(XT*</w:t>
      </w:r>
      <w:proofErr w:type="gramStart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X)*</w:t>
      </w:r>
      <w:proofErr w:type="gramEnd"/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*-1*x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B47BA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Оно оказалось равно </w:t>
      </w:r>
      <w:r w:rsidR="00CB47BA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0.04</w:t>
      </w:r>
      <w:r w:rsidR="00CB47BA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B47BA" w:rsidRPr="005E7E09" w:rsidRDefault="00CB47BA" w:rsidP="00824DCA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вычислим значение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E764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E764F"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границы доверительного интервала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формулам: </w:t>
      </w:r>
    </w:p>
    <w:p w:rsidR="00CB47BA" w:rsidRPr="005E7E09" w:rsidRDefault="00CB47BA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 = sigma*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1+q</m:t>
            </m:r>
          </m:e>
        </m:rad>
      </m:oMath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0, 17</w:t>
      </w:r>
    </w:p>
    <w:p w:rsidR="00CB47BA" w:rsidRPr="005E7E09" w:rsidRDefault="00CB47BA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Y1</w:t>
      </w:r>
      <w:r w:rsidR="00FD66B3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_</w:t>
      </w:r>
      <w:r w:rsidR="00FD66B3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прогнозное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0,06*</w:t>
      </w:r>
      <w:r w:rsidR="00CE764F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10,34 + 0,45*12,02 + 0,44*17,2 = 13,65</w:t>
      </w:r>
    </w:p>
    <w:p w:rsidR="00CE764F" w:rsidRPr="005E7E09" w:rsidRDefault="00CE764F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Y1- = Y1 – S*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tcrit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13,31</w:t>
      </w:r>
    </w:p>
    <w:p w:rsidR="00CE764F" w:rsidRPr="005E7E09" w:rsidRDefault="00CE764F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Y1+ = Y1 + S*</w:t>
      </w:r>
      <w:proofErr w:type="spellStart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tcrit</w:t>
      </w:r>
      <w:proofErr w:type="spellEnd"/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13,98</w:t>
      </w:r>
    </w:p>
    <w:p w:rsidR="00DE4F44" w:rsidRDefault="00CE764F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фактическое равняется 13, 81, оно попадает в доверительный интервал. Следовательно, модель адекватн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Аналогично, проверяем 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остальные строки с помощью авторской функции 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adequate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DE4F44"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Представим их в виде таблицы для удобства.</w:t>
      </w:r>
    </w:p>
    <w:p w:rsidR="00B92BD5" w:rsidRPr="00B92BD5" w:rsidRDefault="00B92BD5" w:rsidP="00B92BD5">
      <w:pPr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B92BD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Таблица 2. Доверительные интервалы контролирующей выборки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7E09" w:rsidRPr="005E7E09" w:rsidTr="00DE4F44"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Левая граница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Правая граница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Фактический </w:t>
            </w: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5E7E09" w:rsidRPr="005E7E09" w:rsidTr="00DE4F44"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</w:t>
            </w: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13, 99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13, 81</w:t>
            </w:r>
          </w:p>
        </w:tc>
      </w:tr>
      <w:tr w:rsidR="005E7E09" w:rsidRPr="005E7E09" w:rsidTr="00DE4F44"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12, 63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13,32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12,92</w:t>
            </w:r>
          </w:p>
        </w:tc>
      </w:tr>
      <w:tr w:rsidR="005E7E09" w:rsidRPr="005E7E09" w:rsidTr="00DE4F44"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12,84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13,53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13,22</w:t>
            </w:r>
          </w:p>
        </w:tc>
      </w:tr>
      <w:tr w:rsidR="005E7E09" w:rsidRPr="005E7E09" w:rsidTr="00DE4F44"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13,67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14,36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13,88</w:t>
            </w:r>
          </w:p>
        </w:tc>
      </w:tr>
      <w:tr w:rsidR="005E7E09" w:rsidRPr="005E7E09" w:rsidTr="00DE4F44"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12,17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12,87</w:t>
            </w:r>
          </w:p>
        </w:tc>
        <w:tc>
          <w:tcPr>
            <w:tcW w:w="3115" w:type="dxa"/>
          </w:tcPr>
          <w:p w:rsidR="00DE4F44" w:rsidRPr="005E7E09" w:rsidRDefault="00DE4F44" w:rsidP="00DE4F44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12,51</w:t>
            </w:r>
          </w:p>
        </w:tc>
      </w:tr>
    </w:tbl>
    <w:p w:rsidR="00DE4F44" w:rsidRPr="005E7E09" w:rsidRDefault="00DE4F44" w:rsidP="00DE4F44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Как мы видим, после проверки на контролирующей выборке мы окончательно убедились в адекватности модели.</w:t>
      </w:r>
    </w:p>
    <w:p w:rsidR="00DE4F44" w:rsidRPr="005E7E09" w:rsidRDefault="00DE4F44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E4F44" w:rsidRPr="005E7E09" w:rsidRDefault="00DE4F44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CE764F" w:rsidRPr="005E7E09" w:rsidRDefault="00CE764F" w:rsidP="00824DCA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Осталось только привести её к стандартному виду.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7E09" w:rsidRPr="005E7E09" w:rsidTr="00CE764F">
        <w:tc>
          <w:tcPr>
            <w:tcW w:w="9345" w:type="dxa"/>
          </w:tcPr>
          <w:p w:rsidR="00CE764F" w:rsidRPr="005E7E09" w:rsidRDefault="00CE764F" w:rsidP="00CE764F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0,44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0,45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06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</m:oMath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ut</w:t>
            </w:r>
            <w:proofErr w:type="spellEnd"/>
          </w:p>
        </w:tc>
      </w:tr>
      <w:tr w:rsidR="005E7E09" w:rsidRPr="005E7E09" w:rsidTr="00CE764F">
        <w:tc>
          <w:tcPr>
            <w:tcW w:w="9345" w:type="dxa"/>
          </w:tcPr>
          <w:p w:rsidR="00CE764F" w:rsidRPr="005E7E09" w:rsidRDefault="00FD66B3" w:rsidP="00FD66B3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Sa1 = </w:t>
            </w:r>
            <w:proofErr w:type="gramStart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</w:t>
            </w:r>
            <w:r w:rsidR="00B357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Sa</w:t>
            </w:r>
            <w:proofErr w:type="gramEnd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= 0,04</w:t>
            </w:r>
            <w:r w:rsidR="00B357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Sa3 = 0,017 S(</w:t>
            </w:r>
            <w:proofErr w:type="spellStart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</w:t>
            </w:r>
            <w:proofErr w:type="spellEnd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= 0, 16</w:t>
            </w:r>
            <w:r w:rsidR="00B35738"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2526B1" w:rsidRPr="005E7E09" w:rsidRDefault="002526B1" w:rsidP="00F10CD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F3596" w:rsidRPr="005E7E09" w:rsidRDefault="002526B1" w:rsidP="005E7E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B35738" w:rsidRPr="005E7E09" w:rsidRDefault="00B35738" w:rsidP="005E7E0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1950670"/>
      <w:r w:rsidRPr="005E7E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:rsidR="00B35738" w:rsidRPr="005E7E09" w:rsidRDefault="00B35738" w:rsidP="00F10CD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предпосылок макроэкономической теории и производственной функции Кобба-Дугласа нам удалось построить эконометрическую модель, которая способна объяснить объём ВРП в регионе, исходя из объема капитала, инвестированного в основные средства, исходя из объема капитала, инвестированного в технологичный бизнес и уровня расходов на труд в регионе. Найденные нами коэффициенты показывают уровень эластичности ВРП по перечисленным факторам производства.</w:t>
      </w:r>
    </w:p>
    <w:p w:rsidR="00B35738" w:rsidRPr="005E7E09" w:rsidRDefault="00B35738" w:rsidP="00F10CD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Все предпосылки Гаусса-Маркова выполняются, спецификация составлена корректно. Модель адекватна после проверки на контролирующей выборке.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7E09" w:rsidRPr="005E7E09" w:rsidTr="00365B26">
        <w:tc>
          <w:tcPr>
            <w:tcW w:w="9345" w:type="dxa"/>
          </w:tcPr>
          <w:p w:rsidR="00B35738" w:rsidRPr="005E7E09" w:rsidRDefault="00B35738" w:rsidP="00365B26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Yt=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0,44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0,45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Tt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0,06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</m:oMath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7E09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ut</w:t>
            </w:r>
            <w:proofErr w:type="spellEnd"/>
          </w:p>
        </w:tc>
      </w:tr>
      <w:tr w:rsidR="005E7E09" w:rsidRPr="005E7E09" w:rsidTr="00365B26">
        <w:tc>
          <w:tcPr>
            <w:tcW w:w="9345" w:type="dxa"/>
          </w:tcPr>
          <w:p w:rsidR="00B35738" w:rsidRPr="005E7E09" w:rsidRDefault="00B35738" w:rsidP="00365B26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Sa1 = </w:t>
            </w:r>
            <w:proofErr w:type="gramStart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Sa</w:t>
            </w:r>
            <w:proofErr w:type="gramEnd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= 0,04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Sa3 = 0,017 S(</w:t>
            </w:r>
            <w:proofErr w:type="spellStart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</w:t>
            </w:r>
            <w:proofErr w:type="spellEnd"/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 = 0, 16</w:t>
            </w:r>
            <w:r w:rsidRPr="005E7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B35738" w:rsidRPr="005E7E09" w:rsidRDefault="00B35738" w:rsidP="00F10CD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Может быть применима при расчете ВРП в субъектах РФ.</w:t>
      </w: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7E09" w:rsidRDefault="005E7E09" w:rsidP="002526B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6B1" w:rsidRPr="005E7E09" w:rsidRDefault="002526B1" w:rsidP="002526B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21950671"/>
      <w:r w:rsidRPr="005E7E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7"/>
    </w:p>
    <w:p w:rsidR="00F43344" w:rsidRPr="005E7E09" w:rsidRDefault="00F4334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1. Исходная статистика по регионам России.</w:t>
      </w:r>
    </w:p>
    <w:tbl>
      <w:tblPr>
        <w:tblW w:w="10349" w:type="dxa"/>
        <w:tblInd w:w="-998" w:type="dxa"/>
        <w:tblLook w:val="04A0" w:firstRow="1" w:lastRow="0" w:firstColumn="1" w:lastColumn="0" w:noHBand="0" w:noVBand="1"/>
      </w:tblPr>
      <w:tblGrid>
        <w:gridCol w:w="2411"/>
        <w:gridCol w:w="1417"/>
        <w:gridCol w:w="1555"/>
        <w:gridCol w:w="863"/>
        <w:gridCol w:w="1328"/>
        <w:gridCol w:w="1843"/>
        <w:gridCol w:w="1476"/>
      </w:tblGrid>
      <w:tr w:rsidR="005E7E09" w:rsidRPr="005E7E09" w:rsidTr="009265C5">
        <w:trPr>
          <w:trHeight w:val="288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Регионы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ВРП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Инвестиции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Доход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Занятые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Затраты на инновации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344" w:rsidRPr="00F43344" w:rsidRDefault="00F43344" w:rsidP="00F4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Затраты на труд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999081,6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165671,672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35781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827,769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30798,647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29618402,59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412335,5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81337,259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31666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588,309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2525,8497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18629392,79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554204,3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103846,331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28600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706,528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7359,9405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20206700,8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1063999,2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285891,629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34970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1181,394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19090,7049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41313348,18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271653,7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44981,231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28684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525,775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544,0583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15081330,1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559166,5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128508,077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34599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541,53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7733,3103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18736396,47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Костромская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204382,3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42742,559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28156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307,951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9253,5128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8670668,356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535854,6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193351,808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32716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566,788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1829,8417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18543036,21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619216,6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179400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34911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597,181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53767,7141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20848185,89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5265389,3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1144659,889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53792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4133,356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207162,0161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222341486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284470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60612,018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29531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349,245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2979,5693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10313554,1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Рязанская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455596,1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73886,424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30457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518,875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4323,6656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15803375,88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358466,1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70327,196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30731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479,871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3228,8124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14746915,7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Тамбовская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378676,8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79396,717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30039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501,511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3436,8105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15064888,93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490827,5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84293,233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30505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644,508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4305,6599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19660716,54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709197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182296,59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31816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792,747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22241,6113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25222038,55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Ярославская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617593,9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109966,586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33106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658,352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12947,3082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21795401,31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Карелия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319388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70637,771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34918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294,252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9465,5784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10274691,34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612136,2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119825,675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38478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408,234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4106,9266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15708027,85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789593,3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178958,278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39440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551,048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2014,4582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21733333,12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629163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207271,049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31612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556,063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2363,6903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17578263,56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1246136,1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442841,494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36273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997,315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25044,4496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36175607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790456,1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240976,925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51166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411,859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1434,7283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21073177,59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280189,3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43334,178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28934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297,763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2463,1394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8615474,642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202945,2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43021,009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29303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314,599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381,1405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9218694,497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143191,8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33374,05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34556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201,951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345,1194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6978618,756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Калмыкия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93325,1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16327,453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21250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134,582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95,5378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2859867,5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2616754,4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542996,616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41944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2815,609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32301,9104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118097903,9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527888,9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125682,25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26799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504,646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1426,909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13524008,15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Волгоградская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978858,4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185605,159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27788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1246,106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3324,3058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34626793,53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1692406,6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392753,556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34955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2129,233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32956,6569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74427339,52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Дагестан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748177,3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251368,073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30258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1365,771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1278,0439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41325498,92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Кабардино-Балкарская Республика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183027,5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51063,038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25824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450,212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414,6641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11626274,69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Ставропольский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863173,2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254163,851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26129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1372,646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5706,6129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35865867,33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Башкортостан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1711684,7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419336,844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32524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1911,262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20819,6399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62161885,29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Марий Эл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196982,9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35546,235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23241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329,91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1377,2067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7667438,31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Мордовия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268963,1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49690,169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22928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421,946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5510,6725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9674377,888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2633912,6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683304,811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39729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2027,516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203075,6221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80551183,16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Удмуртская Республика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675952,3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117156,297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27516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759,621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5093,0754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20901731,44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Чувашская Республика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348342,2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61325,495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23458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607,206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5088,1927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14243838,35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1403198,8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307824,421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32746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1243,181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54866,4319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40709205,03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395923,7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75540,38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26471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630,004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41175,7679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16676835,88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1050927,9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198131,403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26418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942,94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16817,9831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24910588,92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Пензенская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493094,2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96202,209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26255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663,242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8110,1815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17413418,71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1599554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364150,874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32264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1681,386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69821,7468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54248237,9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Саратовская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863401,1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173053,652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26219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1168,157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3375,2127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30627908,38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Ульяновская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440802,9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108493,379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26908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609,35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8109,4904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16396389,8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242305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46884,416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23764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364,023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818,0472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8650642,572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7287696,1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2413220,023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53101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1963,069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83260,56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104240927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1615149,2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317776,571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29237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1851,534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27067,796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54133299,56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Тыва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82810,7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14751,466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20041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126,702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402,6046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2539234,782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Хакасия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266799,9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47378,21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25737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254,202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887,7486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6542396,874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Алтайский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671626,9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124423,678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25683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1109,823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8673,2844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28503584,11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2722640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589107,152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35703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1460,146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51924,5388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52131592,64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1505151,1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527470,813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30277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1146,927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51990,7767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34725508,78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763465,3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188689,878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29981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1001,289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11782,5267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30019645,51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Томская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556941,9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114673,824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30995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546,277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20434,2223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16931855,62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303155,8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72324,64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27767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432,822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11291,9688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12018168,47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1141265,2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387961,963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49938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499,805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10063,6864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24959262,09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425378,2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161548,307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28880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522,572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478,8122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15091879,36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294476,6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73215,152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60226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180,147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2044,1851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10849533,22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1099944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246541,379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41217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999,997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7136,1242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41216876,35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449059,2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382062,998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39551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401,734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1589,1503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15888981,43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284070,7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68555,466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75470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86,535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686,7445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6530796,45</w:t>
            </w:r>
          </w:p>
        </w:tc>
      </w:tr>
      <w:tr w:rsidR="005E7E09" w:rsidRPr="005E7E09" w:rsidTr="009265C5">
        <w:trPr>
          <w:trHeight w:val="288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1002707,9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241022,478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63853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274,294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59817,6754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44" w:rsidRPr="00F43344" w:rsidRDefault="00F43344" w:rsidP="00F43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33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17514494,78</w:t>
            </w:r>
          </w:p>
        </w:tc>
      </w:tr>
    </w:tbl>
    <w:p w:rsidR="00F43344" w:rsidRPr="005E7E09" w:rsidRDefault="00F4334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26B1" w:rsidRPr="005E7E09" w:rsidRDefault="00252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2. Анализ случайных остатков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460"/>
        <w:gridCol w:w="2140"/>
        <w:gridCol w:w="2192"/>
      </w:tblGrid>
      <w:tr w:rsidR="005E7E09" w:rsidRPr="005E7E09" w:rsidTr="002526B1">
        <w:trPr>
          <w:trHeight w:val="288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6B1" w:rsidRPr="002526B1" w:rsidRDefault="002526B1" w:rsidP="00252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Регионы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6B1" w:rsidRPr="002526B1" w:rsidRDefault="002526B1" w:rsidP="00252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Модули регрессоров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6B1" w:rsidRPr="002526B1" w:rsidRDefault="002526B1" w:rsidP="00252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Остатки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Калмыкия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29,12641104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0,225359069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Тыва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30,34442601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0,113561024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32,01778594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-0,142986631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32,64935592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-0,037659088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Кабардино-Балкарская Республика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33,13706314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-0,325856247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Хакасия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33,24842044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0,290978509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33,3594002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0,20457713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33,43550482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0,081041587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33,54202512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-0,006073276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Марий Эл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33,55889525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0,018966751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34,45495945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0,194185068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34,69353531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-0,124515521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35,02354479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-0,081989544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35,16075203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-0,032956913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35,42475507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0,184044105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Мордовия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35,51299583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-0,010100323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35,74732804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-0,0316927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Костромская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35,77116536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-0,201163974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35,88094343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-0,044932855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Тамбовская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35,9523888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-0,044714927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Чувашская Республика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36,03046389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-0,012042543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Рязанская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36,15787736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0,136942879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36,41985626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-0,149743612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Карелия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36,46593173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-0,05698973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36,50387568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0,055919939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36,52469882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0,098796635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36,58390597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0,22089914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36,59737126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0,196452813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36,69193567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-0,012935468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36,80543198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-0,555388131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36,82269728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-0,200140041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Удмуртская Республика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37,06224388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0,190374745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Дагестан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37,12474983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-0,265605302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Пензенская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37,14783478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0,014978321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Ульяновская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37,20780647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-0,124551952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37,27599946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0,037783039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Саратовская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37,42299277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0,116776577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37,46301785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-0,018780851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Волгоградская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37,60053136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0,157520965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Алтайский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37,964991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-0,013701807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Ярославская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37,97378458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0,051367111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Томская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38,21952076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0,012089659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38,48755907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-0,178898332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Ставропольский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38,49041199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-0,159053848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Омская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38,73959559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-0,114858593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38,82256855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0,021496518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38,95769329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0,242856781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39,11810694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0,054746065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39,16633917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-0,136073462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39,5568957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0,158105662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39,84257918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-0,235866804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39,95702115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-0,141193495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40,07024132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0,183756492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40,5332703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-0,138210202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40,68216384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0,087245574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Башкортостан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40,83533444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-0,023973499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41,07190663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0,042432349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41,39765552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-0,055806327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41,40922006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-0,114358571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41,76810542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-0,044203883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41,91319184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0,307699442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42,17476455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-0,026995261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43,86043339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-0,070214756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44,48841815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0,322522081</w:t>
            </w:r>
          </w:p>
        </w:tc>
      </w:tr>
      <w:tr w:rsidR="005E7E09" w:rsidRPr="005E7E09" w:rsidTr="002526B1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45,41159955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6B1" w:rsidRPr="002526B1" w:rsidRDefault="002526B1" w:rsidP="002526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526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-0,059503297</w:t>
            </w:r>
          </w:p>
        </w:tc>
      </w:tr>
    </w:tbl>
    <w:p w:rsidR="002526B1" w:rsidRPr="005E7E09" w:rsidRDefault="002526B1" w:rsidP="00F4334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5738" w:rsidRPr="005E7E09" w:rsidRDefault="002526B1" w:rsidP="00F4334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F3596" w:rsidRPr="005E7E09" w:rsidRDefault="00B50862" w:rsidP="002526B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1950672"/>
      <w:r w:rsidRPr="005E7E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8"/>
    </w:p>
    <w:p w:rsidR="00B50862" w:rsidRPr="005E7E09" w:rsidRDefault="00B50862" w:rsidP="00B5086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Аюшеева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В.Г., 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Батомункуев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В.С., 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Зангеева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Н.Р. Асимметрия (неравномерность) пространственного развития в России // Трансграничные территории востока России: факторы, возможности, барьеры развития. - Улан-Удэ: Байкальский институт природопользования СО РАН, 2021. - С. 35-39.</w:t>
      </w:r>
    </w:p>
    <w:p w:rsidR="00384E3C" w:rsidRPr="005E7E09" w:rsidRDefault="005A002A" w:rsidP="00B5086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Национальные счета // Росстат URL: https://rosstat.gov.ru/folder/210/document/13204 (дата обращения: 12.12.2022).</w:t>
      </w:r>
    </w:p>
    <w:p w:rsidR="005A002A" w:rsidRPr="005E7E09" w:rsidRDefault="005A002A" w:rsidP="00B5086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Трудовые ресурсы, занятость и безработица // Росстат URL: https://rosstat.gov.ru/labour_force (дата обращения: 12.12.2022).</w:t>
      </w:r>
    </w:p>
    <w:p w:rsidR="005A002A" w:rsidRPr="005E7E09" w:rsidRDefault="005A002A" w:rsidP="00B5086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Наука, инновации, технологии // Росстат URL: https://rosstat.gov.ru/statistics/science (дата обращения: 12.12.2022).</w:t>
      </w:r>
    </w:p>
    <w:p w:rsidR="005A002A" w:rsidRPr="005E7E09" w:rsidRDefault="00C65469" w:rsidP="00B5086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Инвестиции в нефинансовые активы // Росстат URL: https://rosstat.gov.ru/investment_nonfinancial (дата обращения: 12.12.2022).</w:t>
      </w:r>
    </w:p>
    <w:p w:rsidR="000065BD" w:rsidRPr="005E7E09" w:rsidRDefault="000065BD" w:rsidP="00B50862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API Reference // 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statsmodels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0. 13. 5 URL: https://www.statsmodels.org/stable/api.html (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дата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5E7E0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12.12.2022).</w:t>
      </w:r>
    </w:p>
    <w:p w:rsidR="00AB7ADA" w:rsidRPr="005E7E09" w:rsidRDefault="00AB7ADA" w:rsidP="008977BD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CE2E2E" w:rsidRPr="005E7E09" w:rsidRDefault="00CE2E2E" w:rsidP="008977B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E2E2E" w:rsidRPr="005E7E09" w:rsidSect="00D17E6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C81" w:rsidRDefault="00F27C81" w:rsidP="00D17E67">
      <w:pPr>
        <w:spacing w:after="0" w:line="240" w:lineRule="auto"/>
      </w:pPr>
      <w:r>
        <w:separator/>
      </w:r>
    </w:p>
  </w:endnote>
  <w:endnote w:type="continuationSeparator" w:id="0">
    <w:p w:rsidR="00F27C81" w:rsidRDefault="00F27C81" w:rsidP="00D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66301"/>
      <w:docPartObj>
        <w:docPartGallery w:val="Page Numbers (Bottom of Page)"/>
        <w:docPartUnique/>
      </w:docPartObj>
    </w:sdtPr>
    <w:sdtContent>
      <w:p w:rsidR="00D17E67" w:rsidRDefault="00D17E6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7E67" w:rsidRDefault="00D17E6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C81" w:rsidRDefault="00F27C81" w:rsidP="00D17E67">
      <w:pPr>
        <w:spacing w:after="0" w:line="240" w:lineRule="auto"/>
      </w:pPr>
      <w:r>
        <w:separator/>
      </w:r>
    </w:p>
  </w:footnote>
  <w:footnote w:type="continuationSeparator" w:id="0">
    <w:p w:rsidR="00F27C81" w:rsidRDefault="00F27C81" w:rsidP="00D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A6A"/>
    <w:multiLevelType w:val="hybridMultilevel"/>
    <w:tmpl w:val="9BF6D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32D4"/>
    <w:multiLevelType w:val="hybridMultilevel"/>
    <w:tmpl w:val="6D780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3291"/>
    <w:multiLevelType w:val="hybridMultilevel"/>
    <w:tmpl w:val="3DC89C48"/>
    <w:lvl w:ilvl="0" w:tplc="6EC609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EE2D3E"/>
    <w:multiLevelType w:val="hybridMultilevel"/>
    <w:tmpl w:val="6D780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359E"/>
    <w:multiLevelType w:val="hybridMultilevel"/>
    <w:tmpl w:val="64B2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032FF"/>
    <w:multiLevelType w:val="hybridMultilevel"/>
    <w:tmpl w:val="AB9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596323">
    <w:abstractNumId w:val="5"/>
  </w:num>
  <w:num w:numId="2" w16cid:durableId="255525693">
    <w:abstractNumId w:val="4"/>
  </w:num>
  <w:num w:numId="3" w16cid:durableId="73742887">
    <w:abstractNumId w:val="1"/>
  </w:num>
  <w:num w:numId="4" w16cid:durableId="1656104649">
    <w:abstractNumId w:val="2"/>
  </w:num>
  <w:num w:numId="5" w16cid:durableId="1651598509">
    <w:abstractNumId w:val="3"/>
  </w:num>
  <w:num w:numId="6" w16cid:durableId="132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BD"/>
    <w:rsid w:val="000065BD"/>
    <w:rsid w:val="00066310"/>
    <w:rsid w:val="00095C6F"/>
    <w:rsid w:val="000B6C38"/>
    <w:rsid w:val="000F3596"/>
    <w:rsid w:val="0014051F"/>
    <w:rsid w:val="002526B1"/>
    <w:rsid w:val="002E3CC1"/>
    <w:rsid w:val="00314A5B"/>
    <w:rsid w:val="00367726"/>
    <w:rsid w:val="00384E3C"/>
    <w:rsid w:val="00436F24"/>
    <w:rsid w:val="004778C8"/>
    <w:rsid w:val="004A4F74"/>
    <w:rsid w:val="004E4E08"/>
    <w:rsid w:val="00580EDB"/>
    <w:rsid w:val="00595EF9"/>
    <w:rsid w:val="005A002A"/>
    <w:rsid w:val="005E7E09"/>
    <w:rsid w:val="00647908"/>
    <w:rsid w:val="00652FF9"/>
    <w:rsid w:val="00662FC4"/>
    <w:rsid w:val="00666DBF"/>
    <w:rsid w:val="006E35B3"/>
    <w:rsid w:val="0070651E"/>
    <w:rsid w:val="00824DCA"/>
    <w:rsid w:val="008977BD"/>
    <w:rsid w:val="008A6E8E"/>
    <w:rsid w:val="008E5EC5"/>
    <w:rsid w:val="009265C5"/>
    <w:rsid w:val="00976B9F"/>
    <w:rsid w:val="00993CBE"/>
    <w:rsid w:val="00A06189"/>
    <w:rsid w:val="00A14CE1"/>
    <w:rsid w:val="00A16E0F"/>
    <w:rsid w:val="00A3583D"/>
    <w:rsid w:val="00A51454"/>
    <w:rsid w:val="00AB7ADA"/>
    <w:rsid w:val="00B35738"/>
    <w:rsid w:val="00B50862"/>
    <w:rsid w:val="00B66EED"/>
    <w:rsid w:val="00B92BD5"/>
    <w:rsid w:val="00BC463D"/>
    <w:rsid w:val="00C555AA"/>
    <w:rsid w:val="00C65469"/>
    <w:rsid w:val="00C966E1"/>
    <w:rsid w:val="00CB47BA"/>
    <w:rsid w:val="00CE2E2E"/>
    <w:rsid w:val="00CE764F"/>
    <w:rsid w:val="00D17E67"/>
    <w:rsid w:val="00D24B18"/>
    <w:rsid w:val="00D87939"/>
    <w:rsid w:val="00DB3150"/>
    <w:rsid w:val="00DE4F44"/>
    <w:rsid w:val="00E03BD2"/>
    <w:rsid w:val="00E6279B"/>
    <w:rsid w:val="00ED1AD8"/>
    <w:rsid w:val="00F10CD2"/>
    <w:rsid w:val="00F27C81"/>
    <w:rsid w:val="00F43344"/>
    <w:rsid w:val="00F441B7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59C"/>
  <w15:chartTrackingRefBased/>
  <w15:docId w15:val="{1E04A764-6367-433B-B978-240BB260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F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52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0862"/>
    <w:pPr>
      <w:ind w:left="720"/>
      <w:contextualSpacing/>
    </w:pPr>
  </w:style>
  <w:style w:type="table" w:styleId="a5">
    <w:name w:val="Table Grid"/>
    <w:basedOn w:val="a1"/>
    <w:uiPriority w:val="39"/>
    <w:rsid w:val="00B5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5086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52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2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66E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6E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E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66EE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17E67"/>
  </w:style>
  <w:style w:type="paragraph" w:styleId="ab">
    <w:name w:val="footer"/>
    <w:basedOn w:val="a"/>
    <w:link w:val="ac"/>
    <w:uiPriority w:val="99"/>
    <w:unhideWhenUsed/>
    <w:rsid w:val="00D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1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1A07-7B2D-4E09-B3D8-EA116FD6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19</Pages>
  <Words>3879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Зархин</dc:creator>
  <cp:keywords/>
  <dc:description/>
  <cp:lastModifiedBy>Иван Зархин</cp:lastModifiedBy>
  <cp:revision>29</cp:revision>
  <dcterms:created xsi:type="dcterms:W3CDTF">2022-12-11T19:11:00Z</dcterms:created>
  <dcterms:modified xsi:type="dcterms:W3CDTF">2022-12-14T19:51:00Z</dcterms:modified>
</cp:coreProperties>
</file>